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3108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310842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310842" w:rsidP="003108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842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310842" w:rsidP="003108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15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نوفمبر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310842" w:rsidP="003108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075CDF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إلى إدارات الدول الأعضاء في </w:t>
            </w:r>
            <w:r w:rsidRPr="00075CDF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>الاتحاد</w:t>
            </w:r>
            <w:r w:rsidRPr="00075CDF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 وأعضاء قطاع الاتصالات الراديوية </w:t>
            </w:r>
            <w:r w:rsidR="00A7252A" w:rsidRPr="00075CDF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>والمنتسبين</w:t>
            </w:r>
            <w:r w:rsidRPr="00075CDF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 إليه</w:t>
            </w:r>
            <w:r w:rsidRPr="00310842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310842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Pr="00310842">
              <w:rPr>
                <w:rFonts w:eastAsiaTheme="minorEastAsia"/>
                <w:b/>
                <w:bCs/>
                <w:lang w:val="en-GB" w:eastAsia="zh-CN"/>
              </w:rPr>
              <w:t>4</w:t>
            </w:r>
            <w:r w:rsidRPr="00310842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3D6C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10842" w:rsidRPr="00310842" w:rsidRDefault="00310842" w:rsidP="003D6C0F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310842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310842">
              <w:rPr>
                <w:b/>
                <w:bCs/>
                <w:lang w:bidi="ar-EG"/>
              </w:rPr>
              <w:t>4</w:t>
            </w:r>
            <w:r w:rsidRPr="00310842">
              <w:rPr>
                <w:b/>
                <w:bCs/>
                <w:rtl/>
                <w:lang w:bidi="ar-EG"/>
              </w:rPr>
              <w:t xml:space="preserve"> للاتصالات الراديوية (الخدمات الساتلية)</w:t>
            </w:r>
          </w:p>
          <w:p w:rsidR="00AF70F6" w:rsidRPr="00AF70F6" w:rsidRDefault="00310842" w:rsidP="003D6C0F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3D6C0F">
              <w:rPr>
                <w:rtl/>
                <w:lang w:bidi="ar-EG"/>
              </w:rPr>
              <w:t>-</w:t>
            </w:r>
            <w:r w:rsidRPr="00310842">
              <w:rPr>
                <w:b/>
                <w:bCs/>
                <w:rtl/>
                <w:lang w:bidi="ar-EG"/>
              </w:rPr>
              <w:tab/>
            </w:r>
            <w:r w:rsidRPr="00722D55">
              <w:rPr>
                <w:b/>
                <w:bCs/>
                <w:spacing w:val="2"/>
                <w:rtl/>
                <w:lang w:bidi="ar-EG"/>
              </w:rPr>
              <w:t xml:space="preserve">اقتراح اعتماد مشروع </w:t>
            </w:r>
            <w:r w:rsidRPr="00722D55">
              <w:rPr>
                <w:b/>
                <w:bCs/>
                <w:spacing w:val="2"/>
                <w:rtl/>
              </w:rPr>
              <w:t>توصية جديدة ومشروعي مراج</w:t>
            </w:r>
            <w:r w:rsidR="00DE5D4C" w:rsidRPr="00722D55">
              <w:rPr>
                <w:rFonts w:hint="cs"/>
                <w:b/>
                <w:bCs/>
                <w:spacing w:val="2"/>
                <w:rtl/>
              </w:rPr>
              <w:t>َ</w:t>
            </w:r>
            <w:r w:rsidRPr="00722D55">
              <w:rPr>
                <w:b/>
                <w:bCs/>
                <w:spacing w:val="2"/>
                <w:rtl/>
              </w:rPr>
              <w:t>عة توصيتين لقطاع الاتصالات الراديوية</w:t>
            </w:r>
            <w:r w:rsidRPr="00722D55">
              <w:rPr>
                <w:b/>
                <w:bCs/>
                <w:spacing w:val="2"/>
                <w:rtl/>
                <w:lang w:bidi="ar-EG"/>
              </w:rPr>
              <w:t xml:space="preserve"> والموافقة عليها في نفس الوقت بالمراسلة وفقاً للفقرة </w:t>
            </w:r>
            <w:r w:rsidRPr="00722D55">
              <w:rPr>
                <w:b/>
                <w:bCs/>
                <w:spacing w:val="2"/>
                <w:lang w:val="fr-FR" w:bidi="ar-EG"/>
              </w:rPr>
              <w:t>4.2.6.A2</w:t>
            </w:r>
            <w:r w:rsidRPr="00722D55">
              <w:rPr>
                <w:b/>
                <w:bCs/>
                <w:spacing w:val="2"/>
                <w:rtl/>
                <w:lang w:bidi="ar-EG"/>
              </w:rPr>
              <w:t xml:space="preserve"> من القرار </w:t>
            </w:r>
            <w:r w:rsidRPr="00722D55">
              <w:rPr>
                <w:b/>
                <w:bCs/>
                <w:spacing w:val="2"/>
                <w:lang w:val="fr-FR" w:bidi="ar-EG"/>
              </w:rPr>
              <w:t>ITU-R 1-7</w:t>
            </w:r>
            <w:r w:rsidRPr="00310842">
              <w:rPr>
                <w:b/>
                <w:bCs/>
                <w:rtl/>
                <w:lang w:bidi="ar-EG"/>
              </w:rPr>
              <w:t xml:space="preserve"> </w:t>
            </w:r>
            <w:r w:rsidRPr="00310842">
              <w:rPr>
                <w:b/>
                <w:bCs/>
                <w:rtl/>
                <w:lang w:bidi="ar-EG"/>
              </w:rPr>
              <w:br/>
              <w:t>(إجراء الاعتماد والموافقة في نفس الوقت عن طريق المراسلة)</w:t>
            </w:r>
          </w:p>
        </w:tc>
      </w:tr>
    </w:tbl>
    <w:p w:rsidR="00310842" w:rsidRPr="00310842" w:rsidRDefault="00310842" w:rsidP="003D6C0F">
      <w:pPr>
        <w:spacing w:before="840"/>
        <w:rPr>
          <w:lang w:bidi="ar-EG"/>
        </w:rPr>
      </w:pPr>
      <w:r w:rsidRPr="00310842">
        <w:rPr>
          <w:rtl/>
          <w:lang w:bidi="ar-EG"/>
        </w:rPr>
        <w:t xml:space="preserve">قررت </w:t>
      </w:r>
      <w:r w:rsidRPr="00310842">
        <w:rPr>
          <w:rFonts w:hint="cs"/>
          <w:rtl/>
          <w:lang w:bidi="ar-EG"/>
        </w:rPr>
        <w:t>لجنة</w:t>
      </w:r>
      <w:r w:rsidRPr="00310842">
        <w:rPr>
          <w:rtl/>
          <w:lang w:bidi="ar-EG"/>
        </w:rPr>
        <w:t xml:space="preserve"> الدراسات </w:t>
      </w:r>
      <w:r w:rsidRPr="00310842">
        <w:rPr>
          <w:lang w:bidi="ar-EG"/>
        </w:rPr>
        <w:t>4</w:t>
      </w:r>
      <w:r w:rsidRPr="00310842">
        <w:rPr>
          <w:rtl/>
          <w:lang w:bidi="ar-EG"/>
        </w:rPr>
        <w:t xml:space="preserve"> للاتصالات الراديوية في اجتماعها </w:t>
      </w:r>
      <w:r w:rsidRPr="00310842">
        <w:rPr>
          <w:rFonts w:hint="cs"/>
          <w:rtl/>
          <w:lang w:bidi="ar-EG"/>
        </w:rPr>
        <w:t>المنعقد</w:t>
      </w:r>
      <w:r w:rsidRPr="00310842">
        <w:rPr>
          <w:rtl/>
          <w:lang w:bidi="ar-EG"/>
        </w:rPr>
        <w:t xml:space="preserve"> في </w:t>
      </w:r>
      <w:r w:rsidRPr="00310842">
        <w:rPr>
          <w:lang w:bidi="ar-EG"/>
        </w:rPr>
        <w:t>27</w:t>
      </w:r>
      <w:r w:rsidRPr="00310842">
        <w:rPr>
          <w:rtl/>
          <w:lang w:bidi="ar-EG"/>
        </w:rPr>
        <w:t> أكتوبر </w:t>
      </w:r>
      <w:r w:rsidRPr="00310842">
        <w:rPr>
          <w:lang w:bidi="ar-EG"/>
        </w:rPr>
        <w:t>2017</w:t>
      </w:r>
      <w:r w:rsidRPr="00310842">
        <w:rPr>
          <w:rtl/>
          <w:lang w:bidi="ar-EG"/>
        </w:rPr>
        <w:t xml:space="preserve"> أن تلتمس اعتماد مشروع توصية جديدة ومشروعي مراجَعة توصيتين لقطاع الاتصالات الراديوية عن طريق </w:t>
      </w:r>
      <w:r w:rsidRPr="00310842">
        <w:rPr>
          <w:rFonts w:hint="cs"/>
          <w:rtl/>
          <w:lang w:bidi="ar-EG"/>
        </w:rPr>
        <w:t>المراسلة</w:t>
      </w:r>
      <w:r w:rsidRPr="00310842">
        <w:rPr>
          <w:rtl/>
          <w:lang w:bidi="ar-EG"/>
        </w:rPr>
        <w:t xml:space="preserve"> (الفقرة </w:t>
      </w:r>
      <w:r w:rsidRPr="00310842">
        <w:rPr>
          <w:lang w:bidi="ar-EG"/>
        </w:rPr>
        <w:t>2.6.A2</w:t>
      </w:r>
      <w:r w:rsidRPr="00310842">
        <w:rPr>
          <w:rtl/>
          <w:lang w:bidi="ar-EG"/>
        </w:rPr>
        <w:t xml:space="preserve"> من القرار </w:t>
      </w:r>
      <w:r w:rsidRPr="00310842">
        <w:rPr>
          <w:lang w:bidi="ar-EG"/>
        </w:rPr>
        <w:t>ITU</w:t>
      </w:r>
      <w:r w:rsidRPr="00310842">
        <w:rPr>
          <w:lang w:bidi="ar-EG"/>
        </w:rPr>
        <w:noBreakHyphen/>
        <w:t>R 1</w:t>
      </w:r>
      <w:r w:rsidRPr="00310842">
        <w:rPr>
          <w:lang w:bidi="ar-EG"/>
        </w:rPr>
        <w:noBreakHyphen/>
        <w:t>7</w:t>
      </w:r>
      <w:r w:rsidRPr="00310842">
        <w:rPr>
          <w:rtl/>
          <w:lang w:bidi="ar-EG"/>
        </w:rPr>
        <w:t xml:space="preserve">) وقررت كذلك تطبيق إجراء الاعتماد </w:t>
      </w:r>
      <w:r w:rsidRPr="00310842">
        <w:rPr>
          <w:rFonts w:hint="cs"/>
          <w:rtl/>
          <w:lang w:bidi="ar-EG"/>
        </w:rPr>
        <w:t>والموافقة</w:t>
      </w:r>
      <w:r w:rsidRPr="00310842">
        <w:rPr>
          <w:rtl/>
          <w:lang w:bidi="ar-EG"/>
        </w:rPr>
        <w:t xml:space="preserve"> في نفس الوقت عن طريق </w:t>
      </w:r>
      <w:r w:rsidRPr="00310842">
        <w:rPr>
          <w:rFonts w:hint="cs"/>
          <w:rtl/>
          <w:lang w:bidi="ar-EG"/>
        </w:rPr>
        <w:t>المراسلة</w:t>
      </w:r>
      <w:r w:rsidRPr="00310842">
        <w:rPr>
          <w:rtl/>
          <w:lang w:bidi="ar-EG"/>
        </w:rPr>
        <w:t> </w:t>
      </w:r>
      <w:r w:rsidRPr="00310842">
        <w:rPr>
          <w:lang w:bidi="ar-EG"/>
        </w:rPr>
        <w:t>PSAA)</w:t>
      </w:r>
      <w:r w:rsidRPr="00310842">
        <w:rPr>
          <w:rtl/>
          <w:lang w:bidi="ar-EG"/>
        </w:rPr>
        <w:t xml:space="preserve">، الفقرة </w:t>
      </w:r>
      <w:r w:rsidRPr="00310842">
        <w:rPr>
          <w:lang w:bidi="ar-EG"/>
        </w:rPr>
        <w:t>4.2.6.A2</w:t>
      </w:r>
      <w:r w:rsidRPr="00310842">
        <w:rPr>
          <w:rtl/>
          <w:lang w:bidi="ar-EG"/>
        </w:rPr>
        <w:t xml:space="preserve"> من القرار </w:t>
      </w:r>
      <w:r w:rsidRPr="00310842">
        <w:rPr>
          <w:lang w:bidi="ar-EG"/>
        </w:rPr>
        <w:t>ITU</w:t>
      </w:r>
      <w:r w:rsidRPr="00310842">
        <w:rPr>
          <w:lang w:bidi="ar-EG"/>
        </w:rPr>
        <w:noBreakHyphen/>
        <w:t>R 1</w:t>
      </w:r>
      <w:r w:rsidRPr="00310842">
        <w:rPr>
          <w:lang w:bidi="ar-EG"/>
        </w:rPr>
        <w:noBreakHyphen/>
        <w:t>7</w:t>
      </w:r>
      <w:r w:rsidRPr="00310842">
        <w:rPr>
          <w:rtl/>
          <w:lang w:bidi="ar-EG"/>
        </w:rPr>
        <w:t>). ويرد في</w:t>
      </w:r>
      <w:r w:rsidR="00DE5D4C">
        <w:rPr>
          <w:rFonts w:hint="cs"/>
          <w:rtl/>
          <w:lang w:bidi="ar-EG"/>
        </w:rPr>
        <w:t> </w:t>
      </w:r>
      <w:r w:rsidRPr="00310842">
        <w:rPr>
          <w:rFonts w:hint="cs"/>
          <w:rtl/>
          <w:lang w:bidi="ar-EG"/>
        </w:rPr>
        <w:t>الملحق</w:t>
      </w:r>
      <w:r w:rsidRPr="00310842">
        <w:rPr>
          <w:rtl/>
          <w:lang w:bidi="ar-EG"/>
        </w:rPr>
        <w:t xml:space="preserve"> </w:t>
      </w:r>
      <w:r w:rsidRPr="00310842">
        <w:rPr>
          <w:rtl/>
        </w:rPr>
        <w:t>بهذه الرسالة</w:t>
      </w:r>
      <w:r w:rsidRPr="00310842">
        <w:rPr>
          <w:rtl/>
          <w:lang w:bidi="ar-EG"/>
        </w:rPr>
        <w:t xml:space="preserve"> عناوين وملخصات مشاريع التوصيات. ويرجى من أي دولة عضو تعترض على اعتماد مشروع توصية أن </w:t>
      </w:r>
      <w:r w:rsidRPr="00310842">
        <w:rPr>
          <w:rFonts w:hint="cs"/>
          <w:rtl/>
          <w:lang w:bidi="ar-EG"/>
        </w:rPr>
        <w:t>تخبر</w:t>
      </w:r>
      <w:r w:rsidRPr="00310842">
        <w:rPr>
          <w:rtl/>
          <w:lang w:bidi="ar-EG"/>
        </w:rPr>
        <w:t xml:space="preserve"> </w:t>
      </w:r>
      <w:r w:rsidRPr="00310842">
        <w:rPr>
          <w:rFonts w:hint="cs"/>
          <w:rtl/>
          <w:lang w:bidi="ar-EG"/>
        </w:rPr>
        <w:t>المدير</w:t>
      </w:r>
      <w:r w:rsidRPr="00310842">
        <w:rPr>
          <w:rtl/>
          <w:lang w:bidi="ar-EG"/>
        </w:rPr>
        <w:t xml:space="preserve"> ورئيس ل‍جنة الدراسات بأسباب اعتراضها.</w:t>
      </w:r>
    </w:p>
    <w:p w:rsidR="00310842" w:rsidRPr="00310842" w:rsidRDefault="00310842" w:rsidP="00310842">
      <w:pPr>
        <w:rPr>
          <w:lang w:bidi="ar-EG"/>
        </w:rPr>
      </w:pPr>
      <w:r w:rsidRPr="00310842">
        <w:rPr>
          <w:rFonts w:hint="cs"/>
          <w:rtl/>
          <w:lang w:bidi="ar-EG"/>
        </w:rPr>
        <w:t>وتمتد</w:t>
      </w:r>
      <w:r w:rsidRPr="00310842">
        <w:rPr>
          <w:rtl/>
          <w:lang w:bidi="ar-EG"/>
        </w:rPr>
        <w:t xml:space="preserve"> فترة النظر </w:t>
      </w:r>
      <w:r w:rsidR="00D45AF6" w:rsidRPr="00310842">
        <w:rPr>
          <w:rFonts w:hint="cs"/>
          <w:rtl/>
          <w:lang w:bidi="ar-EG"/>
        </w:rPr>
        <w:t>لمدة</w:t>
      </w:r>
      <w:r w:rsidRPr="00310842">
        <w:rPr>
          <w:rtl/>
          <w:lang w:bidi="ar-EG"/>
        </w:rPr>
        <w:t xml:space="preserve"> شهرين تنتهي في </w:t>
      </w:r>
      <w:r w:rsidRPr="00310842">
        <w:rPr>
          <w:u w:val="single"/>
          <w:lang w:bidi="ar-EG"/>
        </w:rPr>
        <w:t>15</w:t>
      </w:r>
      <w:r w:rsidRPr="00310842">
        <w:rPr>
          <w:u w:val="single"/>
          <w:rtl/>
          <w:lang w:bidi="ar-EG"/>
        </w:rPr>
        <w:t xml:space="preserve"> يناير </w:t>
      </w:r>
      <w:r w:rsidRPr="00310842">
        <w:rPr>
          <w:u w:val="single"/>
          <w:lang w:bidi="ar-EG"/>
        </w:rPr>
        <w:t>2018</w:t>
      </w:r>
      <w:r w:rsidRPr="00310842">
        <w:rPr>
          <w:rtl/>
          <w:lang w:bidi="ar-EG"/>
        </w:rPr>
        <w:t xml:space="preserve">. وإذا </w:t>
      </w:r>
      <w:r w:rsidR="00D45AF6" w:rsidRPr="00310842">
        <w:rPr>
          <w:rFonts w:hint="cs"/>
          <w:rtl/>
          <w:lang w:bidi="ar-EG"/>
        </w:rPr>
        <w:t>لم</w:t>
      </w:r>
      <w:r w:rsidRPr="00310842">
        <w:rPr>
          <w:rtl/>
          <w:lang w:bidi="ar-EG"/>
        </w:rPr>
        <w:t xml:space="preserve"> ترد أي اعتراضات من الدول الأعضاء خلال هذه الفترة فإن مشاريع التوصيات تعتبر قد اعتمدتها </w:t>
      </w:r>
      <w:r w:rsidR="00D45AF6" w:rsidRPr="00310842">
        <w:rPr>
          <w:rFonts w:hint="cs"/>
          <w:rtl/>
          <w:lang w:bidi="ar-EG"/>
        </w:rPr>
        <w:t>لجنة</w:t>
      </w:r>
      <w:r w:rsidRPr="00310842">
        <w:rPr>
          <w:rtl/>
          <w:lang w:bidi="ar-EG"/>
        </w:rPr>
        <w:t xml:space="preserve"> الدراسات </w:t>
      </w:r>
      <w:r w:rsidRPr="00310842">
        <w:rPr>
          <w:lang w:bidi="ar-EG"/>
        </w:rPr>
        <w:t>4</w:t>
      </w:r>
      <w:r w:rsidRPr="00310842">
        <w:rPr>
          <w:rtl/>
          <w:lang w:bidi="ar-EG"/>
        </w:rPr>
        <w:t xml:space="preserve">. وعلاوةً على ذلك، </w:t>
      </w:r>
      <w:r w:rsidR="00D45AF6" w:rsidRPr="00310842">
        <w:rPr>
          <w:rFonts w:hint="cs"/>
          <w:rtl/>
          <w:lang w:bidi="ar-EG"/>
        </w:rPr>
        <w:t>ولما</w:t>
      </w:r>
      <w:r w:rsidRPr="00310842">
        <w:rPr>
          <w:rtl/>
          <w:lang w:bidi="ar-EG"/>
        </w:rPr>
        <w:t xml:space="preserve"> كان قد </w:t>
      </w:r>
      <w:r w:rsidR="00D45AF6" w:rsidRPr="00310842">
        <w:rPr>
          <w:rFonts w:hint="cs"/>
          <w:rtl/>
          <w:lang w:bidi="ar-EG"/>
        </w:rPr>
        <w:t>تم</w:t>
      </w:r>
      <w:r w:rsidRPr="00310842">
        <w:rPr>
          <w:rtl/>
          <w:lang w:bidi="ar-EG"/>
        </w:rPr>
        <w:t xml:space="preserve"> اتباع إجراء الاعتماد </w:t>
      </w:r>
      <w:r w:rsidR="00D45AF6" w:rsidRPr="00310842">
        <w:rPr>
          <w:rFonts w:hint="cs"/>
          <w:rtl/>
          <w:lang w:bidi="ar-EG"/>
        </w:rPr>
        <w:t>والموافقة</w:t>
      </w:r>
      <w:r w:rsidRPr="00310842">
        <w:rPr>
          <w:rtl/>
          <w:lang w:bidi="ar-EG"/>
        </w:rPr>
        <w:t xml:space="preserve"> في نفس الوقت عن طريق </w:t>
      </w:r>
      <w:r w:rsidR="00D45AF6" w:rsidRPr="00310842">
        <w:rPr>
          <w:rFonts w:hint="cs"/>
          <w:rtl/>
          <w:lang w:bidi="ar-EG"/>
        </w:rPr>
        <w:t>المراسلة</w:t>
      </w:r>
      <w:r w:rsidRPr="00310842">
        <w:rPr>
          <w:rtl/>
          <w:lang w:bidi="ar-EG"/>
        </w:rPr>
        <w:t xml:space="preserve">، فإن مشاريع التوصيات ستعتبر أيضاً </w:t>
      </w:r>
      <w:r w:rsidR="00D45AF6" w:rsidRPr="00310842">
        <w:rPr>
          <w:rFonts w:hint="cs"/>
          <w:rtl/>
          <w:lang w:bidi="ar-EG"/>
        </w:rPr>
        <w:t>بحكم</w:t>
      </w:r>
      <w:r w:rsidRPr="00310842">
        <w:rPr>
          <w:rtl/>
          <w:lang w:bidi="ar-EG"/>
        </w:rPr>
        <w:t xml:space="preserve"> </w:t>
      </w:r>
      <w:r w:rsidR="00D45AF6" w:rsidRPr="00310842">
        <w:rPr>
          <w:rFonts w:hint="cs"/>
          <w:rtl/>
          <w:lang w:bidi="ar-EG"/>
        </w:rPr>
        <w:t>الموافق</w:t>
      </w:r>
      <w:r w:rsidRPr="00310842">
        <w:rPr>
          <w:rtl/>
          <w:lang w:bidi="ar-EG"/>
        </w:rPr>
        <w:t xml:space="preserve"> عليها.</w:t>
      </w:r>
    </w:p>
    <w:p w:rsidR="00310842" w:rsidRPr="00310842" w:rsidRDefault="00310842" w:rsidP="00310842">
      <w:pPr>
        <w:rPr>
          <w:rtl/>
          <w:lang w:bidi="ar-EG"/>
        </w:rPr>
      </w:pPr>
      <w:r w:rsidRPr="00310842">
        <w:rPr>
          <w:rtl/>
        </w:rPr>
        <w:t xml:space="preserve">وبعد </w:t>
      </w:r>
      <w:r w:rsidR="00D45AF6" w:rsidRPr="00310842">
        <w:rPr>
          <w:rFonts w:hint="cs"/>
          <w:rtl/>
        </w:rPr>
        <w:t>المهلة</w:t>
      </w:r>
      <w:r w:rsidRPr="00310842">
        <w:rPr>
          <w:rtl/>
        </w:rPr>
        <w:t xml:space="preserve"> </w:t>
      </w:r>
      <w:r w:rsidR="00D45AF6" w:rsidRPr="00310842">
        <w:rPr>
          <w:rFonts w:hint="cs"/>
          <w:rtl/>
        </w:rPr>
        <w:t>المحددة</w:t>
      </w:r>
      <w:r w:rsidRPr="00310842">
        <w:rPr>
          <w:rtl/>
        </w:rPr>
        <w:t xml:space="preserve"> أعلاه، ستعلن نتائج الإجراءات </w:t>
      </w:r>
      <w:r w:rsidR="00D45AF6" w:rsidRPr="00310842">
        <w:rPr>
          <w:rFonts w:hint="cs"/>
          <w:rtl/>
        </w:rPr>
        <w:t>المذكورة</w:t>
      </w:r>
      <w:r w:rsidRPr="00310842">
        <w:rPr>
          <w:rtl/>
        </w:rPr>
        <w:t xml:space="preserve"> أعلاه في رسالة إدارية معممة وستنشر التوصيات </w:t>
      </w:r>
      <w:r w:rsidR="00D45AF6" w:rsidRPr="00310842">
        <w:rPr>
          <w:rFonts w:hint="cs"/>
          <w:rtl/>
        </w:rPr>
        <w:t>المواف</w:t>
      </w:r>
      <w:r w:rsidR="00822894">
        <w:rPr>
          <w:rFonts w:hint="cs"/>
          <w:rtl/>
        </w:rPr>
        <w:t>َ</w:t>
      </w:r>
      <w:r w:rsidR="00D45AF6" w:rsidRPr="00310842">
        <w:rPr>
          <w:rFonts w:hint="cs"/>
          <w:rtl/>
        </w:rPr>
        <w:t>ق</w:t>
      </w:r>
      <w:r w:rsidRPr="00310842">
        <w:rPr>
          <w:rtl/>
        </w:rPr>
        <w:t xml:space="preserve"> عليها في</w:t>
      </w:r>
      <w:r>
        <w:rPr>
          <w:rFonts w:hint="cs"/>
          <w:rtl/>
        </w:rPr>
        <w:t> </w:t>
      </w:r>
      <w:r w:rsidRPr="00310842">
        <w:rPr>
          <w:rtl/>
        </w:rPr>
        <w:t xml:space="preserve">أقرب وقت </w:t>
      </w:r>
      <w:r w:rsidR="00D45AF6" w:rsidRPr="00310842">
        <w:rPr>
          <w:rFonts w:hint="cs"/>
          <w:rtl/>
        </w:rPr>
        <w:t>ممكن</w:t>
      </w:r>
      <w:r w:rsidRPr="00310842">
        <w:rPr>
          <w:rtl/>
        </w:rPr>
        <w:t xml:space="preserve"> (انظر </w:t>
      </w:r>
      <w:hyperlink r:id="rId10" w:history="1">
        <w:r w:rsidRPr="00310842">
          <w:rPr>
            <w:rStyle w:val="Hyperlink"/>
            <w:rFonts w:ascii="Calibri" w:hAnsi="Calibri"/>
            <w:lang w:bidi="ar-EG"/>
          </w:rPr>
          <w:t>http://www.itu.int/pub/R-REC</w:t>
        </w:r>
      </w:hyperlink>
      <w:r w:rsidRPr="00310842">
        <w:rPr>
          <w:rtl/>
          <w:lang w:bidi="ar-EG"/>
        </w:rPr>
        <w:t>).</w:t>
      </w:r>
    </w:p>
    <w:p w:rsidR="00310842" w:rsidRPr="007C2A7B" w:rsidRDefault="00310842" w:rsidP="007C2A7B">
      <w:pPr>
        <w:pageBreakBefore/>
        <w:rPr>
          <w:spacing w:val="2"/>
          <w:rtl/>
          <w:lang w:bidi="ar-EG"/>
        </w:rPr>
      </w:pPr>
      <w:r w:rsidRPr="007C2A7B">
        <w:rPr>
          <w:spacing w:val="2"/>
          <w:rtl/>
          <w:lang w:bidi="ar-EG"/>
        </w:rPr>
        <w:lastRenderedPageBreak/>
        <w:t>وي</w:t>
      </w:r>
      <w:r w:rsidR="00DE5D4C" w:rsidRPr="007C2A7B">
        <w:rPr>
          <w:rFonts w:hint="cs"/>
          <w:spacing w:val="2"/>
          <w:rtl/>
          <w:lang w:bidi="ar-EG"/>
        </w:rPr>
        <w:t>ُ</w:t>
      </w:r>
      <w:r w:rsidRPr="007C2A7B">
        <w:rPr>
          <w:spacing w:val="2"/>
          <w:rtl/>
          <w:lang w:bidi="ar-EG"/>
        </w:rPr>
        <w:t xml:space="preserve">رجى من أي منظمة عضو في </w:t>
      </w:r>
      <w:r w:rsidR="00D45AF6" w:rsidRPr="007C2A7B">
        <w:rPr>
          <w:rFonts w:hint="cs"/>
          <w:spacing w:val="2"/>
          <w:rtl/>
          <w:lang w:bidi="ar-EG"/>
        </w:rPr>
        <w:t>الاتحاد</w:t>
      </w:r>
      <w:r w:rsidRPr="007C2A7B">
        <w:rPr>
          <w:spacing w:val="2"/>
          <w:rtl/>
          <w:lang w:bidi="ar-EG"/>
        </w:rPr>
        <w:t xml:space="preserve"> تعلم بوجود براءة اختراع لديها أو لدى غيرها تغطي كلياً أو جزئياً عناصر مشاريع التوصيات </w:t>
      </w:r>
      <w:r w:rsidR="00D45AF6" w:rsidRPr="007C2A7B">
        <w:rPr>
          <w:rFonts w:hint="cs"/>
          <w:spacing w:val="2"/>
          <w:rtl/>
          <w:lang w:bidi="ar-EG"/>
        </w:rPr>
        <w:t>المذكورة</w:t>
      </w:r>
      <w:r w:rsidRPr="007C2A7B">
        <w:rPr>
          <w:spacing w:val="2"/>
          <w:rtl/>
          <w:lang w:bidi="ar-EG"/>
        </w:rPr>
        <w:t xml:space="preserve"> في هذه الرسالة أن تبلغ الأمانة بهذه </w:t>
      </w:r>
      <w:r w:rsidR="00D45AF6" w:rsidRPr="007C2A7B">
        <w:rPr>
          <w:rFonts w:hint="cs"/>
          <w:spacing w:val="2"/>
          <w:rtl/>
          <w:lang w:bidi="ar-EG"/>
        </w:rPr>
        <w:t>المعلومات</w:t>
      </w:r>
      <w:r w:rsidRPr="007C2A7B">
        <w:rPr>
          <w:spacing w:val="2"/>
          <w:rtl/>
          <w:lang w:bidi="ar-EG"/>
        </w:rPr>
        <w:t xml:space="preserve"> بأسرع ما </w:t>
      </w:r>
      <w:r w:rsidR="00D45AF6" w:rsidRPr="007C2A7B">
        <w:rPr>
          <w:rFonts w:hint="cs"/>
          <w:spacing w:val="2"/>
          <w:rtl/>
          <w:lang w:bidi="ar-EG"/>
        </w:rPr>
        <w:t>يمكن</w:t>
      </w:r>
      <w:r w:rsidRPr="007C2A7B">
        <w:rPr>
          <w:spacing w:val="2"/>
          <w:rtl/>
          <w:lang w:bidi="ar-EG"/>
        </w:rPr>
        <w:t xml:space="preserve">. </w:t>
      </w:r>
      <w:r w:rsidR="00D45AF6" w:rsidRPr="007C2A7B">
        <w:rPr>
          <w:rFonts w:hint="cs"/>
          <w:spacing w:val="2"/>
          <w:rtl/>
          <w:lang w:bidi="ar-EG"/>
        </w:rPr>
        <w:t>ويمكن</w:t>
      </w:r>
      <w:r w:rsidRPr="007C2A7B">
        <w:rPr>
          <w:spacing w:val="2"/>
          <w:rtl/>
          <w:lang w:bidi="ar-EG"/>
        </w:rPr>
        <w:t xml:space="preserve"> الاطلاع على السياسة </w:t>
      </w:r>
      <w:r w:rsidR="00D45AF6" w:rsidRPr="007C2A7B">
        <w:rPr>
          <w:rFonts w:hint="cs"/>
          <w:spacing w:val="2"/>
          <w:rtl/>
          <w:lang w:bidi="ar-EG"/>
        </w:rPr>
        <w:t>المشتركة</w:t>
      </w:r>
      <w:r w:rsidRPr="007C2A7B">
        <w:rPr>
          <w:spacing w:val="2"/>
          <w:rtl/>
          <w:lang w:bidi="ar-EG"/>
        </w:rPr>
        <w:t xml:space="preserve"> للبراءات </w:t>
      </w:r>
      <w:r w:rsidRPr="007C2A7B">
        <w:rPr>
          <w:spacing w:val="2"/>
          <w:lang w:bidi="ar-EG"/>
        </w:rPr>
        <w:t>"ITU</w:t>
      </w:r>
      <w:r w:rsidRPr="007C2A7B">
        <w:rPr>
          <w:spacing w:val="2"/>
          <w:lang w:bidi="ar-EG"/>
        </w:rPr>
        <w:noBreakHyphen/>
        <w:t>T/ITU</w:t>
      </w:r>
      <w:r w:rsidRPr="007C2A7B">
        <w:rPr>
          <w:spacing w:val="2"/>
          <w:lang w:bidi="ar-EG"/>
        </w:rPr>
        <w:noBreakHyphen/>
        <w:t>R/ISO/IEC"</w:t>
      </w:r>
      <w:r w:rsidRPr="007C2A7B">
        <w:rPr>
          <w:spacing w:val="2"/>
          <w:rtl/>
          <w:lang w:bidi="ar-EG"/>
        </w:rPr>
        <w:t xml:space="preserve"> في </w:t>
      </w:r>
      <w:r w:rsidR="00D45AF6" w:rsidRPr="007C2A7B">
        <w:rPr>
          <w:rFonts w:hint="cs"/>
          <w:spacing w:val="2"/>
          <w:rtl/>
          <w:lang w:bidi="ar-EG"/>
        </w:rPr>
        <w:t>الموقع</w:t>
      </w:r>
      <w:r w:rsidRPr="007C2A7B">
        <w:rPr>
          <w:spacing w:val="2"/>
          <w:rtl/>
          <w:lang w:bidi="ar-EG"/>
        </w:rPr>
        <w:t xml:space="preserve"> الإلكتروني: </w:t>
      </w:r>
      <w:hyperlink r:id="rId11" w:history="1">
        <w:r w:rsidRPr="007C2A7B">
          <w:rPr>
            <w:rStyle w:val="Hyperlink"/>
            <w:rFonts w:ascii="Calibri" w:hAnsi="Calibri"/>
            <w:spacing w:val="2"/>
            <w:lang w:bidi="ar-EG"/>
          </w:rPr>
          <w:t>http://www.itu.int/en/ITU-T/ipr/Pages/policy.aspx</w:t>
        </w:r>
      </w:hyperlink>
      <w:r w:rsidRPr="007C2A7B">
        <w:rPr>
          <w:spacing w:val="2"/>
          <w:rtl/>
          <w:lang w:bidi="ar-EG"/>
        </w:rPr>
        <w:t>.</w:t>
      </w:r>
    </w:p>
    <w:p w:rsidR="00AF70F6" w:rsidRPr="00AF70F6" w:rsidRDefault="00AF70F6" w:rsidP="00AF70F6">
      <w:pPr>
        <w:spacing w:before="1440"/>
        <w:jc w:val="left"/>
        <w:rPr>
          <w:rtl/>
          <w:lang w:bidi="ar-EG"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076856">
      <w:pPr>
        <w:spacing w:before="84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</w:t>
      </w:r>
      <w:r w:rsidRPr="00AF70F6">
        <w:rPr>
          <w:rtl/>
          <w:lang w:bidi="ar-EG"/>
        </w:rPr>
        <w:t xml:space="preserve">: </w:t>
      </w:r>
      <w:r w:rsidR="00310842" w:rsidRPr="00310842">
        <w:rPr>
          <w:rtl/>
          <w:lang w:bidi="ar-EG"/>
        </w:rPr>
        <w:t>عناوين وملخصات مشاريع التوصيات</w:t>
      </w:r>
    </w:p>
    <w:p w:rsidR="00310842" w:rsidRPr="00310842" w:rsidRDefault="00310842" w:rsidP="00076856">
      <w:pPr>
        <w:spacing w:before="1080"/>
        <w:rPr>
          <w:lang w:bidi="ar-EG"/>
        </w:rPr>
      </w:pPr>
      <w:r w:rsidRPr="00310842">
        <w:rPr>
          <w:b/>
          <w:bCs/>
          <w:rtl/>
          <w:lang w:bidi="ar-EG"/>
        </w:rPr>
        <w:t>الوثائق:</w:t>
      </w:r>
      <w:r w:rsidRPr="00310842">
        <w:rPr>
          <w:rtl/>
          <w:lang w:bidi="ar-EG"/>
        </w:rPr>
        <w:tab/>
      </w:r>
      <w:r>
        <w:rPr>
          <w:rFonts w:hint="cs"/>
          <w:rtl/>
          <w:lang w:bidi="ar-EG"/>
        </w:rPr>
        <w:t>الوثائق</w:t>
      </w:r>
      <w:r w:rsidRPr="00310842">
        <w:rPr>
          <w:rtl/>
          <w:lang w:bidi="ar-EG"/>
        </w:rPr>
        <w:t xml:space="preserve"> </w:t>
      </w:r>
      <w:hyperlink r:id="rId12" w:history="1">
        <w:r w:rsidRPr="00310842">
          <w:rPr>
            <w:rStyle w:val="Hyperlink"/>
            <w:rFonts w:ascii="Calibri" w:hAnsi="Calibri"/>
            <w:lang w:bidi="ar-EG"/>
          </w:rPr>
          <w:t>4/40(Rev.1)</w:t>
        </w:r>
      </w:hyperlink>
      <w:r w:rsidRPr="00310842">
        <w:rPr>
          <w:rtl/>
        </w:rPr>
        <w:t xml:space="preserve"> </w:t>
      </w:r>
      <w:r>
        <w:rPr>
          <w:rFonts w:hint="cs"/>
          <w:rtl/>
          <w:lang w:bidi="ar-EG"/>
        </w:rPr>
        <w:t>و</w:t>
      </w:r>
      <w:hyperlink r:id="rId13" w:history="1">
        <w:r w:rsidRPr="00310842">
          <w:rPr>
            <w:rStyle w:val="Hyperlink"/>
            <w:rFonts w:ascii="Calibri" w:hAnsi="Calibri"/>
            <w:lang w:val="en-GB" w:bidi="ar-EG"/>
          </w:rPr>
          <w:t>4/37</w:t>
        </w:r>
      </w:hyperlink>
      <w:r w:rsidRPr="00310842">
        <w:rPr>
          <w:rtl/>
        </w:rPr>
        <w:t xml:space="preserve"> و</w:t>
      </w:r>
      <w:hyperlink r:id="rId14" w:history="1">
        <w:r w:rsidRPr="00310842">
          <w:rPr>
            <w:rStyle w:val="Hyperlink"/>
            <w:rFonts w:ascii="Calibri" w:hAnsi="Calibri"/>
            <w:lang w:bidi="ar-EG"/>
          </w:rPr>
          <w:t>4/41</w:t>
        </w:r>
      </w:hyperlink>
    </w:p>
    <w:p w:rsidR="00310842" w:rsidRPr="00310842" w:rsidRDefault="00310842" w:rsidP="00310842">
      <w:pPr>
        <w:rPr>
          <w:lang w:bidi="ar-EG"/>
        </w:rPr>
      </w:pPr>
      <w:r w:rsidRPr="00310842">
        <w:rPr>
          <w:rtl/>
        </w:rPr>
        <w:t xml:space="preserve">وتتاح هذه الوثائق في نسق إلكتروني في: </w:t>
      </w:r>
      <w:hyperlink r:id="rId15" w:history="1">
        <w:r w:rsidRPr="00310842">
          <w:rPr>
            <w:rStyle w:val="Hyperlink"/>
            <w:rFonts w:ascii="Calibri" w:hAnsi="Calibri"/>
            <w:lang w:bidi="ar-EG"/>
          </w:rPr>
          <w:t>https://www.itu.int/md/R15-sg04-C/</w:t>
        </w:r>
      </w:hyperlink>
    </w:p>
    <w:p w:rsidR="00AF70F6" w:rsidRPr="00E45690" w:rsidRDefault="00AF70F6" w:rsidP="00076856">
      <w:pPr>
        <w:tabs>
          <w:tab w:val="left" w:pos="283"/>
        </w:tabs>
        <w:spacing w:before="5280"/>
        <w:jc w:val="left"/>
        <w:rPr>
          <w:sz w:val="16"/>
          <w:szCs w:val="22"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310842" w:rsidRPr="00310842" w:rsidRDefault="00310842" w:rsidP="00076856">
      <w:pPr>
        <w:tabs>
          <w:tab w:val="left" w:pos="425"/>
        </w:tabs>
        <w:spacing w:before="60" w:line="180" w:lineRule="auto"/>
        <w:rPr>
          <w:sz w:val="18"/>
          <w:szCs w:val="24"/>
          <w:lang w:bidi="ar-EG"/>
        </w:rPr>
      </w:pPr>
      <w:r w:rsidRPr="00310842">
        <w:rPr>
          <w:sz w:val="18"/>
          <w:szCs w:val="24"/>
          <w:rtl/>
          <w:lang w:bidi="ar-EG"/>
        </w:rPr>
        <w:t>-</w:t>
      </w:r>
      <w:r w:rsidRPr="00310842">
        <w:rPr>
          <w:sz w:val="18"/>
          <w:szCs w:val="24"/>
          <w:rtl/>
          <w:lang w:bidi="ar-EG"/>
        </w:rPr>
        <w:tab/>
        <w:t xml:space="preserve">إدارات الدول الأعضاء في </w:t>
      </w:r>
      <w:r w:rsidR="00D45AF6" w:rsidRPr="00310842">
        <w:rPr>
          <w:rFonts w:hint="cs"/>
          <w:sz w:val="18"/>
          <w:szCs w:val="24"/>
          <w:rtl/>
          <w:lang w:bidi="ar-EG"/>
        </w:rPr>
        <w:t>الاتحاد</w:t>
      </w:r>
      <w:r w:rsidRPr="00310842">
        <w:rPr>
          <w:sz w:val="18"/>
          <w:szCs w:val="24"/>
          <w:rtl/>
          <w:lang w:bidi="ar-EG"/>
        </w:rPr>
        <w:t xml:space="preserve"> وأعضاء قطاع الاتصالات الراديوية </w:t>
      </w:r>
      <w:r w:rsidR="00D45AF6" w:rsidRPr="00310842">
        <w:rPr>
          <w:rFonts w:hint="cs"/>
          <w:sz w:val="18"/>
          <w:szCs w:val="24"/>
          <w:rtl/>
          <w:lang w:bidi="ar-EG"/>
        </w:rPr>
        <w:t>المشاركون</w:t>
      </w:r>
      <w:r w:rsidRPr="00310842">
        <w:rPr>
          <w:sz w:val="18"/>
          <w:szCs w:val="24"/>
          <w:rtl/>
          <w:lang w:bidi="ar-EG"/>
        </w:rPr>
        <w:t xml:space="preserve"> في أعمال </w:t>
      </w:r>
      <w:r w:rsidR="00D45AF6" w:rsidRPr="00310842">
        <w:rPr>
          <w:rFonts w:hint="cs"/>
          <w:sz w:val="18"/>
          <w:szCs w:val="24"/>
          <w:rtl/>
          <w:lang w:bidi="ar-EG"/>
        </w:rPr>
        <w:t>لجنة</w:t>
      </w:r>
      <w:r w:rsidRPr="00310842">
        <w:rPr>
          <w:sz w:val="18"/>
          <w:szCs w:val="24"/>
          <w:rtl/>
          <w:lang w:bidi="ar-EG"/>
        </w:rPr>
        <w:t xml:space="preserve"> الدراسات </w:t>
      </w:r>
      <w:r w:rsidRPr="00310842">
        <w:rPr>
          <w:sz w:val="18"/>
          <w:szCs w:val="24"/>
          <w:lang w:val="fr-CH" w:bidi="ar-EG"/>
        </w:rPr>
        <w:t>4</w:t>
      </w:r>
      <w:r w:rsidRPr="00310842">
        <w:rPr>
          <w:sz w:val="18"/>
          <w:szCs w:val="24"/>
          <w:rtl/>
          <w:lang w:bidi="ar-EG"/>
        </w:rPr>
        <w:t xml:space="preserve"> للاتصالات الراديوية</w:t>
      </w:r>
    </w:p>
    <w:p w:rsidR="00310842" w:rsidRPr="00310842" w:rsidRDefault="00310842" w:rsidP="00076856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310842">
        <w:rPr>
          <w:sz w:val="18"/>
          <w:szCs w:val="24"/>
          <w:rtl/>
          <w:lang w:bidi="ar-EG"/>
        </w:rPr>
        <w:t>-</w:t>
      </w:r>
      <w:r w:rsidRPr="00310842">
        <w:rPr>
          <w:sz w:val="18"/>
          <w:szCs w:val="24"/>
          <w:rtl/>
          <w:lang w:bidi="ar-EG"/>
        </w:rPr>
        <w:tab/>
      </w:r>
      <w:r w:rsidR="00D45AF6" w:rsidRPr="00310842">
        <w:rPr>
          <w:rFonts w:hint="cs"/>
          <w:sz w:val="18"/>
          <w:szCs w:val="24"/>
          <w:rtl/>
          <w:lang w:bidi="ar-EG"/>
        </w:rPr>
        <w:t>المنتسبون</w:t>
      </w:r>
      <w:r w:rsidRPr="00310842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D45AF6" w:rsidRPr="00310842">
        <w:rPr>
          <w:rFonts w:hint="cs"/>
          <w:sz w:val="18"/>
          <w:szCs w:val="24"/>
          <w:rtl/>
          <w:lang w:bidi="ar-EG"/>
        </w:rPr>
        <w:t>المشاركون</w:t>
      </w:r>
      <w:r w:rsidRPr="00310842">
        <w:rPr>
          <w:sz w:val="18"/>
          <w:szCs w:val="24"/>
          <w:rtl/>
          <w:lang w:bidi="ar-EG"/>
        </w:rPr>
        <w:t xml:space="preserve"> في أعمال </w:t>
      </w:r>
      <w:r w:rsidR="00D45AF6" w:rsidRPr="00310842">
        <w:rPr>
          <w:rFonts w:hint="cs"/>
          <w:sz w:val="18"/>
          <w:szCs w:val="24"/>
          <w:rtl/>
          <w:lang w:bidi="ar-EG"/>
        </w:rPr>
        <w:t>لجنة</w:t>
      </w:r>
      <w:r w:rsidRPr="00310842">
        <w:rPr>
          <w:sz w:val="18"/>
          <w:szCs w:val="24"/>
          <w:rtl/>
          <w:lang w:bidi="ar-EG"/>
        </w:rPr>
        <w:t xml:space="preserve"> الدراسات </w:t>
      </w:r>
      <w:r w:rsidRPr="00310842">
        <w:rPr>
          <w:sz w:val="18"/>
          <w:szCs w:val="24"/>
          <w:lang w:bidi="ar-EG"/>
        </w:rPr>
        <w:t>4</w:t>
      </w:r>
      <w:r w:rsidRPr="00310842">
        <w:rPr>
          <w:sz w:val="18"/>
          <w:szCs w:val="24"/>
          <w:rtl/>
          <w:lang w:bidi="ar-EG"/>
        </w:rPr>
        <w:t xml:space="preserve"> للاتصالات الراديوية</w:t>
      </w:r>
    </w:p>
    <w:p w:rsidR="00310842" w:rsidRPr="00310842" w:rsidRDefault="00310842" w:rsidP="00076856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310842">
        <w:rPr>
          <w:sz w:val="18"/>
          <w:szCs w:val="24"/>
          <w:rtl/>
          <w:lang w:bidi="ar-EG"/>
        </w:rPr>
        <w:t>-</w:t>
      </w:r>
      <w:r w:rsidRPr="00310842">
        <w:rPr>
          <w:sz w:val="18"/>
          <w:szCs w:val="24"/>
          <w:rtl/>
          <w:lang w:bidi="ar-EG"/>
        </w:rPr>
        <w:tab/>
      </w:r>
      <w:r w:rsidRPr="00310842">
        <w:rPr>
          <w:sz w:val="18"/>
          <w:szCs w:val="24"/>
          <w:rtl/>
        </w:rPr>
        <w:t xml:space="preserve">الهيئات </w:t>
      </w:r>
      <w:r w:rsidR="00D45AF6" w:rsidRPr="00310842">
        <w:rPr>
          <w:rFonts w:hint="cs"/>
          <w:sz w:val="18"/>
          <w:szCs w:val="24"/>
          <w:rtl/>
        </w:rPr>
        <w:t>الأكاديمية</w:t>
      </w:r>
      <w:r w:rsidRPr="00310842">
        <w:rPr>
          <w:sz w:val="18"/>
          <w:szCs w:val="24"/>
          <w:rtl/>
        </w:rPr>
        <w:t xml:space="preserve"> </w:t>
      </w:r>
      <w:r w:rsidR="00D45AF6" w:rsidRPr="00310842">
        <w:rPr>
          <w:rFonts w:hint="cs"/>
          <w:sz w:val="18"/>
          <w:szCs w:val="24"/>
          <w:rtl/>
        </w:rPr>
        <w:t>المنضمة</w:t>
      </w:r>
      <w:r w:rsidRPr="00310842">
        <w:rPr>
          <w:sz w:val="18"/>
          <w:szCs w:val="24"/>
          <w:rtl/>
        </w:rPr>
        <w:t xml:space="preserve"> إلى </w:t>
      </w:r>
      <w:r w:rsidR="00D45AF6" w:rsidRPr="00310842">
        <w:rPr>
          <w:rFonts w:hint="cs"/>
          <w:sz w:val="18"/>
          <w:szCs w:val="24"/>
          <w:rtl/>
        </w:rPr>
        <w:t>الاتحاد</w:t>
      </w:r>
    </w:p>
    <w:p w:rsidR="00310842" w:rsidRPr="00310842" w:rsidRDefault="00310842" w:rsidP="00076856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310842">
        <w:rPr>
          <w:sz w:val="18"/>
          <w:szCs w:val="24"/>
          <w:rtl/>
          <w:lang w:bidi="ar-EG"/>
        </w:rPr>
        <w:t>-</w:t>
      </w:r>
      <w:r w:rsidRPr="00310842">
        <w:rPr>
          <w:sz w:val="18"/>
          <w:szCs w:val="24"/>
          <w:rtl/>
          <w:lang w:bidi="ar-EG"/>
        </w:rPr>
        <w:tab/>
        <w:t xml:space="preserve">رؤساء </w:t>
      </w:r>
      <w:r w:rsidR="00D45AF6">
        <w:rPr>
          <w:rFonts w:hint="cs"/>
          <w:sz w:val="18"/>
          <w:szCs w:val="24"/>
          <w:rtl/>
          <w:lang w:bidi="ar-EG"/>
        </w:rPr>
        <w:t>لجان</w:t>
      </w:r>
      <w:r w:rsidRPr="00310842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310842" w:rsidRPr="00310842" w:rsidRDefault="00310842" w:rsidP="00076856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310842">
        <w:rPr>
          <w:sz w:val="18"/>
          <w:szCs w:val="24"/>
          <w:rtl/>
          <w:lang w:bidi="ar-EG"/>
        </w:rPr>
        <w:t>-</w:t>
      </w:r>
      <w:r w:rsidRPr="00310842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="00D45AF6" w:rsidRPr="00310842">
        <w:rPr>
          <w:rFonts w:hint="cs"/>
          <w:sz w:val="18"/>
          <w:szCs w:val="24"/>
          <w:rtl/>
          <w:lang w:bidi="ar-EG"/>
        </w:rPr>
        <w:t>للمؤتمر</w:t>
      </w:r>
      <w:r w:rsidRPr="00310842">
        <w:rPr>
          <w:sz w:val="18"/>
          <w:szCs w:val="24"/>
          <w:rtl/>
          <w:lang w:bidi="ar-EG"/>
        </w:rPr>
        <w:t xml:space="preserve"> ونوابه</w:t>
      </w:r>
    </w:p>
    <w:p w:rsidR="00310842" w:rsidRPr="00310842" w:rsidRDefault="00310842" w:rsidP="00076856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310842">
        <w:rPr>
          <w:sz w:val="18"/>
          <w:szCs w:val="24"/>
          <w:rtl/>
          <w:lang w:bidi="ar-EG"/>
        </w:rPr>
        <w:t>-</w:t>
      </w:r>
      <w:r w:rsidRPr="00310842">
        <w:rPr>
          <w:sz w:val="18"/>
          <w:szCs w:val="24"/>
          <w:rtl/>
          <w:lang w:bidi="ar-EG"/>
        </w:rPr>
        <w:tab/>
        <w:t xml:space="preserve">أعضاء </w:t>
      </w:r>
      <w:r w:rsidR="00D45AF6" w:rsidRPr="00310842">
        <w:rPr>
          <w:rFonts w:hint="cs"/>
          <w:sz w:val="18"/>
          <w:szCs w:val="24"/>
          <w:rtl/>
          <w:lang w:bidi="ar-EG"/>
        </w:rPr>
        <w:t>لجنة</w:t>
      </w:r>
      <w:r w:rsidRPr="00310842">
        <w:rPr>
          <w:sz w:val="18"/>
          <w:szCs w:val="24"/>
          <w:rtl/>
          <w:lang w:bidi="ar-EG"/>
        </w:rPr>
        <w:t xml:space="preserve"> لوائح الراديو</w:t>
      </w:r>
    </w:p>
    <w:p w:rsidR="00310842" w:rsidRPr="00310842" w:rsidRDefault="00310842" w:rsidP="00076856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310842">
        <w:rPr>
          <w:sz w:val="18"/>
          <w:szCs w:val="24"/>
          <w:rtl/>
          <w:lang w:bidi="ar-EG"/>
        </w:rPr>
        <w:t>-</w:t>
      </w:r>
      <w:r w:rsidRPr="00310842">
        <w:rPr>
          <w:sz w:val="18"/>
          <w:szCs w:val="24"/>
          <w:rtl/>
          <w:lang w:bidi="ar-EG"/>
        </w:rPr>
        <w:tab/>
        <w:t xml:space="preserve">الأمين العام </w:t>
      </w:r>
      <w:r w:rsidR="00D45AF6" w:rsidRPr="00310842">
        <w:rPr>
          <w:rFonts w:hint="cs"/>
          <w:sz w:val="18"/>
          <w:szCs w:val="24"/>
          <w:rtl/>
          <w:lang w:bidi="ar-EG"/>
        </w:rPr>
        <w:t>للاتحاد</w:t>
      </w:r>
      <w:r w:rsidRPr="00310842">
        <w:rPr>
          <w:sz w:val="18"/>
          <w:szCs w:val="24"/>
          <w:rtl/>
          <w:lang w:bidi="ar-EG"/>
        </w:rPr>
        <w:t xml:space="preserve"> ومدير مكتب تقييس الاتصالات ومدير مكتب تنمية الاتصالات</w:t>
      </w:r>
    </w:p>
    <w:p w:rsidR="00AF70F6" w:rsidRDefault="00AF70F6" w:rsidP="00D45AF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AF70F6" w:rsidRPr="00B50CDE" w:rsidRDefault="00310842" w:rsidP="00AF70F6">
      <w:pPr>
        <w:pStyle w:val="AnnexNo"/>
        <w:rPr>
          <w:rFonts w:eastAsiaTheme="minorEastAsia"/>
          <w:b/>
          <w:bCs/>
          <w:rtl/>
          <w:lang w:eastAsia="zh-CN"/>
        </w:rPr>
      </w:pPr>
      <w:r w:rsidRPr="00B50CDE">
        <w:rPr>
          <w:rFonts w:eastAsiaTheme="minorEastAsia" w:hint="cs"/>
          <w:b/>
          <w:bCs/>
          <w:rtl/>
          <w:lang w:eastAsia="zh-CN"/>
        </w:rPr>
        <w:lastRenderedPageBreak/>
        <w:t>الملحق</w:t>
      </w:r>
    </w:p>
    <w:p w:rsidR="00AF70F6" w:rsidRPr="00AF70F6" w:rsidRDefault="00310842" w:rsidP="00310842">
      <w:pPr>
        <w:pStyle w:val="Annextitle"/>
        <w:rPr>
          <w:rFonts w:eastAsiaTheme="minorEastAsia"/>
          <w:rtl/>
          <w:lang w:eastAsia="zh-CN" w:bidi="ar-SY"/>
        </w:rPr>
      </w:pPr>
      <w:r w:rsidRPr="00310842">
        <w:rPr>
          <w:rFonts w:eastAsiaTheme="minorEastAsia"/>
          <w:rtl/>
          <w:lang w:eastAsia="zh-CN"/>
        </w:rPr>
        <w:t>عناوين وملخصات مشاريع التوصيات</w:t>
      </w:r>
    </w:p>
    <w:p w:rsidR="00AF70F6" w:rsidRPr="00AF70F6" w:rsidRDefault="00310842" w:rsidP="002F4CDA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310842">
        <w:rPr>
          <w:rFonts w:eastAsiaTheme="minorEastAsia"/>
          <w:u w:val="single"/>
          <w:rtl/>
          <w:lang w:eastAsia="zh-CN"/>
        </w:rPr>
        <w:t xml:space="preserve">مشروع التوصية الجديدة </w:t>
      </w:r>
      <w:r w:rsidRPr="00310842">
        <w:rPr>
          <w:rFonts w:eastAsiaTheme="minorEastAsia"/>
          <w:u w:val="single"/>
          <w:lang w:eastAsia="zh-CN"/>
        </w:rPr>
        <w:t>ITU-R</w:t>
      </w:r>
      <w:r w:rsidR="00A82566">
        <w:rPr>
          <w:rFonts w:eastAsiaTheme="minorEastAsia"/>
          <w:u w:val="single"/>
          <w:lang w:eastAsia="zh-CN"/>
        </w:rPr>
        <w:t> </w:t>
      </w:r>
      <w:r w:rsidRPr="00310842">
        <w:rPr>
          <w:rFonts w:eastAsiaTheme="minorEastAsia"/>
          <w:u w:val="single"/>
          <w:lang w:eastAsia="zh-CN"/>
        </w:rPr>
        <w:t>S.[</w:t>
      </w:r>
      <w:r w:rsidR="002F4CDA" w:rsidRPr="002F4CDA">
        <w:rPr>
          <w:rFonts w:eastAsiaTheme="minorEastAsia"/>
          <w:u w:val="single"/>
          <w:lang w:eastAsia="zh-CN"/>
        </w:rPr>
        <w:t>GUIDELINES_14.5-14.8 GHz</w:t>
      </w:r>
      <w:r w:rsidRPr="00310842">
        <w:rPr>
          <w:rFonts w:eastAsiaTheme="minorEastAsia"/>
          <w:u w:val="single"/>
          <w:lang w:eastAsia="zh-CN"/>
        </w:rPr>
        <w:t>]</w:t>
      </w:r>
      <w:r w:rsidR="00AF70F6" w:rsidRPr="00AF70F6">
        <w:rPr>
          <w:rFonts w:eastAsiaTheme="minorEastAsia"/>
          <w:rtl/>
          <w:lang w:eastAsia="zh-CN" w:bidi="ar-EG"/>
        </w:rPr>
        <w:tab/>
      </w:r>
      <w:r w:rsidR="00AF70F6" w:rsidRPr="00AF70F6">
        <w:rPr>
          <w:rFonts w:eastAsiaTheme="minorEastAsia" w:hint="cs"/>
          <w:rtl/>
          <w:lang w:eastAsia="zh-CN" w:bidi="ar-EG"/>
        </w:rPr>
        <w:t xml:space="preserve">الوثيقة </w:t>
      </w:r>
      <w:r>
        <w:rPr>
          <w:rFonts w:eastAsiaTheme="minorEastAsia"/>
          <w:lang w:eastAsia="zh-CN" w:bidi="ar-EG"/>
        </w:rPr>
        <w:t>4/40</w:t>
      </w:r>
      <w:r w:rsidR="00AF70F6" w:rsidRPr="00AF70F6">
        <w:rPr>
          <w:rFonts w:eastAsiaTheme="minorEastAsia"/>
          <w:lang w:eastAsia="zh-CN" w:bidi="ar-EG"/>
        </w:rPr>
        <w:t>(Rev.1)</w:t>
      </w:r>
    </w:p>
    <w:p w:rsidR="00AF70F6" w:rsidRPr="002E0B86" w:rsidRDefault="00310842" w:rsidP="00BA0975">
      <w:pPr>
        <w:pStyle w:val="Rectitle"/>
        <w:spacing w:before="360"/>
        <w:rPr>
          <w:rFonts w:eastAsiaTheme="minorEastAsia"/>
          <w:rtl/>
          <w:lang w:eastAsia="zh-CN" w:bidi="ar-SY"/>
        </w:rPr>
      </w:pPr>
      <w:r w:rsidRPr="002E0B86">
        <w:rPr>
          <w:rFonts w:eastAsiaTheme="minorEastAsia"/>
          <w:rtl/>
          <w:lang w:eastAsia="zh-CN" w:bidi="ar-EG"/>
        </w:rPr>
        <w:t>المبادئ التوجيهية لإجراء تنسيق ثنائي للتوصل إلى اتفاقات صريحة في</w:t>
      </w:r>
      <w:r w:rsidR="002E0B86" w:rsidRPr="002E0B86">
        <w:rPr>
          <w:rFonts w:eastAsiaTheme="minorEastAsia" w:hint="cs"/>
          <w:rtl/>
          <w:lang w:eastAsia="zh-CN" w:bidi="ar-EG"/>
        </w:rPr>
        <w:t> </w:t>
      </w:r>
      <w:r w:rsidRPr="002E0B86">
        <w:rPr>
          <w:rFonts w:eastAsiaTheme="minorEastAsia"/>
          <w:rtl/>
          <w:lang w:eastAsia="zh-CN" w:bidi="ar-EG"/>
        </w:rPr>
        <w:t>نطاق</w:t>
      </w:r>
      <w:r w:rsidR="00E437B4">
        <w:rPr>
          <w:rFonts w:eastAsiaTheme="minorEastAsia" w:hint="cs"/>
          <w:rtl/>
          <w:lang w:eastAsia="zh-CN" w:bidi="ar-EG"/>
        </w:rPr>
        <w:t> </w:t>
      </w:r>
      <w:r w:rsidRPr="002E0B86">
        <w:rPr>
          <w:rFonts w:eastAsiaTheme="minorEastAsia"/>
          <w:rtl/>
          <w:lang w:eastAsia="zh-CN" w:bidi="ar-EG"/>
        </w:rPr>
        <w:t>التردد </w:t>
      </w:r>
      <w:r w:rsidRPr="002E0B86">
        <w:rPr>
          <w:rFonts w:eastAsiaTheme="minorEastAsia"/>
          <w:lang w:eastAsia="zh-CN" w:bidi="ar-SY"/>
        </w:rPr>
        <w:t>GHz 14,75-14,5</w:t>
      </w:r>
      <w:r w:rsidRPr="002E0B86">
        <w:rPr>
          <w:rFonts w:eastAsiaTheme="minorEastAsia"/>
          <w:rtl/>
          <w:lang w:eastAsia="zh-CN" w:bidi="ar-EG"/>
        </w:rPr>
        <w:t xml:space="preserve"> من أجل بلدان الإقليمين </w:t>
      </w:r>
      <w:r w:rsidRPr="002E0B86">
        <w:rPr>
          <w:rFonts w:eastAsiaTheme="minorEastAsia"/>
          <w:lang w:eastAsia="zh-CN" w:bidi="ar-SY"/>
        </w:rPr>
        <w:t>1</w:t>
      </w:r>
      <w:r w:rsidRPr="002E0B86">
        <w:rPr>
          <w:rFonts w:eastAsiaTheme="minorEastAsia"/>
          <w:rtl/>
          <w:lang w:eastAsia="zh-CN" w:bidi="ar-EG"/>
        </w:rPr>
        <w:t xml:space="preserve"> و</w:t>
      </w:r>
      <w:r w:rsidRPr="002E0B86">
        <w:rPr>
          <w:rFonts w:eastAsiaTheme="minorEastAsia"/>
          <w:lang w:eastAsia="zh-CN" w:bidi="ar-SY"/>
        </w:rPr>
        <w:t>2</w:t>
      </w:r>
      <w:r w:rsidRPr="002E0B86">
        <w:rPr>
          <w:rFonts w:eastAsiaTheme="minorEastAsia"/>
          <w:rtl/>
          <w:lang w:eastAsia="zh-CN" w:bidi="ar-EG"/>
        </w:rPr>
        <w:t xml:space="preserve">، أو في نطاق </w:t>
      </w:r>
      <w:r w:rsidRPr="002E0B86">
        <w:rPr>
          <w:rFonts w:eastAsiaTheme="minorEastAsia"/>
          <w:spacing w:val="-4"/>
          <w:rtl/>
          <w:lang w:eastAsia="zh-CN" w:bidi="ar-EG"/>
        </w:rPr>
        <w:t>التردد</w:t>
      </w:r>
      <w:r w:rsidR="002E0B86" w:rsidRPr="002E0B86">
        <w:rPr>
          <w:rFonts w:eastAsiaTheme="minorEastAsia" w:hint="cs"/>
          <w:spacing w:val="-4"/>
          <w:rtl/>
          <w:lang w:eastAsia="zh-CN" w:bidi="ar-EG"/>
        </w:rPr>
        <w:t> </w:t>
      </w:r>
      <w:r w:rsidRPr="002E0B86">
        <w:rPr>
          <w:rFonts w:eastAsiaTheme="minorEastAsia"/>
          <w:spacing w:val="-4"/>
          <w:lang w:eastAsia="zh-CN" w:bidi="ar-SY"/>
        </w:rPr>
        <w:t>GHz 14,8</w:t>
      </w:r>
      <w:r w:rsidR="00DE5D4C" w:rsidRPr="002E0B86">
        <w:rPr>
          <w:rFonts w:eastAsiaTheme="minorEastAsia"/>
          <w:spacing w:val="-4"/>
          <w:lang w:eastAsia="zh-CN" w:bidi="ar-SY"/>
        </w:rPr>
        <w:noBreakHyphen/>
      </w:r>
      <w:r w:rsidRPr="002E0B86">
        <w:rPr>
          <w:rFonts w:eastAsiaTheme="minorEastAsia"/>
          <w:spacing w:val="-4"/>
          <w:lang w:eastAsia="zh-CN" w:bidi="ar-SY"/>
        </w:rPr>
        <w:t>14,5</w:t>
      </w:r>
      <w:r w:rsidRPr="002E0B86">
        <w:rPr>
          <w:rFonts w:eastAsiaTheme="minorEastAsia"/>
          <w:spacing w:val="-4"/>
          <w:rtl/>
          <w:lang w:eastAsia="zh-CN" w:bidi="ar-EG"/>
        </w:rPr>
        <w:t xml:space="preserve"> من أجل بلدان الإقليم </w:t>
      </w:r>
      <w:r w:rsidRPr="002E0B86">
        <w:rPr>
          <w:rFonts w:eastAsiaTheme="minorEastAsia"/>
          <w:spacing w:val="-4"/>
          <w:lang w:eastAsia="zh-CN" w:bidi="ar-SY"/>
        </w:rPr>
        <w:t>3</w:t>
      </w:r>
      <w:r w:rsidRPr="002E0B86">
        <w:rPr>
          <w:rFonts w:eastAsiaTheme="minorEastAsia"/>
          <w:spacing w:val="-4"/>
          <w:rtl/>
          <w:lang w:eastAsia="zh-CN" w:bidi="ar-EG"/>
        </w:rPr>
        <w:t xml:space="preserve">، في الخدمة الثابتة </w:t>
      </w:r>
      <w:r w:rsidRPr="002E0B86">
        <w:rPr>
          <w:rFonts w:eastAsiaTheme="minorEastAsia"/>
          <w:spacing w:val="-6"/>
          <w:rtl/>
          <w:lang w:eastAsia="zh-CN" w:bidi="ar-EG"/>
        </w:rPr>
        <w:t xml:space="preserve">الساتلية (أرض-فضاء) </w:t>
      </w:r>
      <w:r w:rsidRPr="002E0B86">
        <w:rPr>
          <w:rFonts w:eastAsiaTheme="minorEastAsia"/>
          <w:spacing w:val="-6"/>
          <w:rtl/>
          <w:lang w:eastAsia="zh-CN"/>
        </w:rPr>
        <w:t xml:space="preserve">لغير وصلات التغذية للخدمة الإذاعية الساتلية، </w:t>
      </w:r>
      <w:r w:rsidRPr="002E0B86">
        <w:rPr>
          <w:rFonts w:eastAsiaTheme="minorEastAsia"/>
          <w:rtl/>
          <w:lang w:eastAsia="zh-CN"/>
        </w:rPr>
        <w:t xml:space="preserve">من أجل حماية جميع الأنظمة الحالية والمخططة للخدمات التي لديها توزيعات في النطاق </w:t>
      </w:r>
      <w:r w:rsidRPr="002E0B86">
        <w:rPr>
          <w:rFonts w:eastAsiaTheme="minorEastAsia"/>
          <w:lang w:eastAsia="zh-CN" w:bidi="ar-SY"/>
        </w:rPr>
        <w:t>GHz 14,8-14,5</w:t>
      </w:r>
      <w:r w:rsidR="00DE5D4C" w:rsidRPr="002E0B86">
        <w:rPr>
          <w:rFonts w:eastAsiaTheme="minorEastAsia"/>
          <w:rtl/>
          <w:lang w:eastAsia="zh-CN" w:bidi="ar-EG"/>
        </w:rPr>
        <w:t xml:space="preserve"> </w:t>
      </w:r>
      <w:r w:rsidR="002E0B86">
        <w:rPr>
          <w:rFonts w:eastAsiaTheme="minorEastAsia"/>
          <w:rtl/>
          <w:lang w:eastAsia="zh-CN" w:bidi="ar-EG"/>
        </w:rPr>
        <w:br/>
      </w:r>
      <w:r w:rsidR="00DE5D4C" w:rsidRPr="002E0B86">
        <w:rPr>
          <w:rFonts w:eastAsiaTheme="minorEastAsia"/>
          <w:spacing w:val="-4"/>
          <w:rtl/>
          <w:lang w:eastAsia="zh-CN" w:bidi="ar-EG"/>
        </w:rPr>
        <w:t>في أراضي تلك الإ</w:t>
      </w:r>
      <w:r w:rsidR="00DE5D4C" w:rsidRPr="002E0B86">
        <w:rPr>
          <w:rFonts w:eastAsiaTheme="minorEastAsia" w:hint="cs"/>
          <w:spacing w:val="-4"/>
          <w:rtl/>
          <w:lang w:eastAsia="zh-CN" w:bidi="ar-EG"/>
        </w:rPr>
        <w:t>د</w:t>
      </w:r>
      <w:r w:rsidRPr="002E0B86">
        <w:rPr>
          <w:rFonts w:eastAsiaTheme="minorEastAsia"/>
          <w:spacing w:val="-4"/>
          <w:rtl/>
          <w:lang w:eastAsia="zh-CN" w:bidi="ar-EG"/>
        </w:rPr>
        <w:t>ا</w:t>
      </w:r>
      <w:r w:rsidR="00DE5D4C" w:rsidRPr="002E0B86">
        <w:rPr>
          <w:rFonts w:eastAsiaTheme="minorEastAsia" w:hint="cs"/>
          <w:spacing w:val="-4"/>
          <w:rtl/>
          <w:lang w:eastAsia="zh-CN" w:bidi="ar-EG"/>
        </w:rPr>
        <w:t>ر</w:t>
      </w:r>
      <w:r w:rsidRPr="002E0B86">
        <w:rPr>
          <w:rFonts w:eastAsiaTheme="minorEastAsia"/>
          <w:spacing w:val="-4"/>
          <w:rtl/>
          <w:lang w:eastAsia="zh-CN" w:bidi="ar-EG"/>
        </w:rPr>
        <w:t>ات المشاركة في هذه الاتفاقات</w:t>
      </w:r>
    </w:p>
    <w:p w:rsidR="00310842" w:rsidRDefault="00310842" w:rsidP="00DE5D4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310842">
        <w:rPr>
          <w:rFonts w:eastAsiaTheme="minorEastAsia"/>
          <w:rtl/>
          <w:lang w:eastAsia="zh-CN" w:bidi="ar-EG"/>
        </w:rPr>
        <w:t>تهدف هذه التوصية إلى توفير مبادئ توجيهية للإدارات التي تشارك في تنسيق ثنائي للتوصل إلى اتفاقات صريحة في</w:t>
      </w:r>
      <w:r w:rsidR="00DE5D4C">
        <w:rPr>
          <w:rFonts w:eastAsiaTheme="minorEastAsia" w:hint="cs"/>
          <w:rtl/>
          <w:lang w:eastAsia="zh-CN" w:bidi="ar-EG"/>
        </w:rPr>
        <w:t> </w:t>
      </w:r>
      <w:r w:rsidRPr="00310842">
        <w:rPr>
          <w:rFonts w:eastAsiaTheme="minorEastAsia"/>
          <w:rtl/>
          <w:lang w:eastAsia="zh-CN" w:bidi="ar-EG"/>
        </w:rPr>
        <w:t>إطار الرقم</w:t>
      </w:r>
      <w:r w:rsidR="00DE5D4C">
        <w:rPr>
          <w:rFonts w:eastAsiaTheme="minorEastAsia" w:hint="cs"/>
          <w:rtl/>
          <w:lang w:eastAsia="zh-CN" w:bidi="ar-EG"/>
        </w:rPr>
        <w:t> </w:t>
      </w:r>
      <w:r w:rsidRPr="00310842">
        <w:rPr>
          <w:rFonts w:eastAsiaTheme="minorEastAsia"/>
          <w:b/>
          <w:bCs/>
          <w:lang w:eastAsia="zh-CN" w:bidi="ar-EG"/>
        </w:rPr>
        <w:t>509E.5</w:t>
      </w:r>
      <w:r w:rsidRPr="00310842">
        <w:rPr>
          <w:rFonts w:eastAsiaTheme="minorEastAsia"/>
          <w:rtl/>
          <w:lang w:eastAsia="zh-CN" w:bidi="ar-EG"/>
        </w:rPr>
        <w:t xml:space="preserve"> من لوائح الراديو من خلال توفير معلومات </w:t>
      </w:r>
      <w:r w:rsidR="00DE5D4C">
        <w:rPr>
          <w:rFonts w:eastAsiaTheme="minorEastAsia" w:hint="cs"/>
          <w:rtl/>
          <w:lang w:eastAsia="zh-CN" w:bidi="ar-EG"/>
        </w:rPr>
        <w:t>أساسية</w:t>
      </w:r>
      <w:r w:rsidRPr="00310842">
        <w:rPr>
          <w:rFonts w:eastAsiaTheme="minorEastAsia"/>
          <w:rtl/>
          <w:lang w:eastAsia="zh-CN"/>
        </w:rPr>
        <w:t xml:space="preserve"> للمناقشة من أجل ضمان الحماية للأنظمة الحالية والمخططة للخدمة المتنقلة للطيران لدى جميع الإدارات المعنية.</w:t>
      </w:r>
    </w:p>
    <w:p w:rsidR="00310842" w:rsidRPr="00AF70F6" w:rsidRDefault="00310842" w:rsidP="000D76AD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310842">
        <w:rPr>
          <w:rFonts w:eastAsiaTheme="minorEastAsia"/>
          <w:u w:val="single"/>
          <w:rtl/>
          <w:lang w:eastAsia="zh-CN"/>
        </w:rPr>
        <w:t>مشروع مراج</w:t>
      </w:r>
      <w:r w:rsidR="00DE5D4C">
        <w:rPr>
          <w:rFonts w:eastAsiaTheme="minorEastAsia" w:hint="cs"/>
          <w:u w:val="single"/>
          <w:rtl/>
          <w:lang w:eastAsia="zh-CN"/>
        </w:rPr>
        <w:t>َ</w:t>
      </w:r>
      <w:r w:rsidRPr="00310842">
        <w:rPr>
          <w:rFonts w:eastAsiaTheme="minorEastAsia"/>
          <w:u w:val="single"/>
          <w:rtl/>
          <w:lang w:eastAsia="zh-CN"/>
        </w:rPr>
        <w:t xml:space="preserve">عة التوصية </w:t>
      </w:r>
      <w:r w:rsidRPr="00310842">
        <w:rPr>
          <w:rFonts w:eastAsiaTheme="minorEastAsia"/>
          <w:bCs/>
          <w:u w:val="single"/>
          <w:lang w:eastAsia="zh-CN"/>
        </w:rPr>
        <w:t>ITU-R</w:t>
      </w:r>
      <w:r w:rsidR="000D76AD">
        <w:rPr>
          <w:rFonts w:eastAsiaTheme="minorEastAsia"/>
          <w:bCs/>
          <w:u w:val="single"/>
          <w:lang w:eastAsia="zh-CN"/>
        </w:rPr>
        <w:t> </w:t>
      </w:r>
      <w:r w:rsidRPr="00310842">
        <w:rPr>
          <w:rFonts w:eastAsiaTheme="minorEastAsia"/>
          <w:bCs/>
          <w:u w:val="single"/>
          <w:lang w:eastAsia="zh-CN"/>
        </w:rPr>
        <w:t>M.1184-2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>
        <w:rPr>
          <w:rFonts w:eastAsiaTheme="minorEastAsia"/>
          <w:lang w:eastAsia="zh-CN" w:bidi="ar-EG"/>
        </w:rPr>
        <w:t>4/37</w:t>
      </w:r>
    </w:p>
    <w:p w:rsidR="00310842" w:rsidRPr="00AF70F6" w:rsidRDefault="00310842" w:rsidP="004A0433">
      <w:pPr>
        <w:pStyle w:val="Rectitle"/>
        <w:spacing w:before="360"/>
        <w:rPr>
          <w:rFonts w:eastAsiaTheme="minorEastAsia"/>
          <w:rtl/>
          <w:lang w:eastAsia="zh-CN" w:bidi="ar-SY"/>
        </w:rPr>
      </w:pPr>
      <w:r w:rsidRPr="00310842">
        <w:rPr>
          <w:rFonts w:eastAsiaTheme="minorEastAsia"/>
          <w:rtl/>
          <w:lang w:eastAsia="zh-CN" w:bidi="ar-EG"/>
        </w:rPr>
        <w:t xml:space="preserve">الخصائص التقنية للأنظمة المتنقلة الساتلية في نطاقات التردد دون </w:t>
      </w:r>
      <w:r w:rsidRPr="00310842">
        <w:rPr>
          <w:rFonts w:eastAsiaTheme="minorEastAsia"/>
          <w:lang w:eastAsia="zh-CN" w:bidi="ar-EG"/>
        </w:rPr>
        <w:t>GHz 3</w:t>
      </w:r>
      <w:r w:rsidRPr="00310842">
        <w:rPr>
          <w:rFonts w:eastAsiaTheme="minorEastAsia"/>
          <w:rtl/>
          <w:lang w:eastAsia="zh-CN" w:bidi="ar-EG"/>
        </w:rPr>
        <w:t xml:space="preserve"> للاستعمال في</w:t>
      </w:r>
      <w:r w:rsidR="002E0B86">
        <w:rPr>
          <w:rFonts w:eastAsiaTheme="minorEastAsia" w:hint="cs"/>
          <w:rtl/>
          <w:lang w:eastAsia="zh-CN" w:bidi="ar-EG"/>
        </w:rPr>
        <w:t> </w:t>
      </w:r>
      <w:r w:rsidRPr="00310842">
        <w:rPr>
          <w:rFonts w:eastAsiaTheme="minorEastAsia"/>
          <w:rtl/>
          <w:lang w:eastAsia="zh-CN" w:bidi="ar-EG"/>
        </w:rPr>
        <w:t>وضع معايير التقاسم بين الخدمة المتنقلة الساتلية </w:t>
      </w:r>
      <w:r w:rsidRPr="00310842">
        <w:rPr>
          <w:rFonts w:eastAsiaTheme="minorEastAsia"/>
          <w:lang w:eastAsia="zh-CN" w:bidi="ar-EG"/>
        </w:rPr>
        <w:t>(MSS)</w:t>
      </w:r>
      <w:r w:rsidRPr="00310842">
        <w:rPr>
          <w:rFonts w:eastAsiaTheme="minorEastAsia"/>
          <w:rtl/>
          <w:lang w:eastAsia="zh-CN" w:bidi="ar-EG"/>
        </w:rPr>
        <w:t xml:space="preserve"> وخدمات أخرى</w:t>
      </w:r>
    </w:p>
    <w:p w:rsidR="00310842" w:rsidRPr="00310842" w:rsidRDefault="00310842" w:rsidP="003108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310842">
        <w:rPr>
          <w:rFonts w:eastAsiaTheme="minorEastAsia"/>
          <w:rtl/>
          <w:lang w:eastAsia="zh-CN" w:bidi="ar-EG"/>
        </w:rPr>
        <w:t>تقترح هذه المراج</w:t>
      </w:r>
      <w:r w:rsidR="00DE5D4C">
        <w:rPr>
          <w:rFonts w:eastAsiaTheme="minorEastAsia" w:hint="cs"/>
          <w:rtl/>
          <w:lang w:eastAsia="zh-CN" w:bidi="ar-EG"/>
        </w:rPr>
        <w:t>َ</w:t>
      </w:r>
      <w:r w:rsidRPr="00310842">
        <w:rPr>
          <w:rFonts w:eastAsiaTheme="minorEastAsia"/>
          <w:rtl/>
          <w:lang w:eastAsia="zh-CN" w:bidi="ar-EG"/>
        </w:rPr>
        <w:t>عة تحديثات يرد ملخصها فيما يلي:</w:t>
      </w:r>
    </w:p>
    <w:p w:rsidR="00310842" w:rsidRPr="00310842" w:rsidRDefault="00310842" w:rsidP="002E0B86">
      <w:pPr>
        <w:pStyle w:val="enumlev1"/>
        <w:rPr>
          <w:rFonts w:eastAsiaTheme="minorEastAsia"/>
          <w:rtl/>
          <w:lang w:eastAsia="zh-CN" w:bidi="ar-EG"/>
        </w:rPr>
      </w:pPr>
      <w:r w:rsidRPr="00310842">
        <w:rPr>
          <w:rFonts w:eastAsiaTheme="minorEastAsia"/>
          <w:lang w:eastAsia="zh-CN" w:bidi="ar-EG"/>
        </w:rPr>
        <w:t>(1</w:t>
      </w:r>
      <w:r w:rsidRPr="00310842">
        <w:rPr>
          <w:rFonts w:eastAsiaTheme="minorEastAsia"/>
          <w:rtl/>
          <w:lang w:eastAsia="zh-CN"/>
        </w:rPr>
        <w:tab/>
        <w:t xml:space="preserve">تحديث القسم </w:t>
      </w:r>
      <w:r w:rsidRPr="00310842">
        <w:rPr>
          <w:rFonts w:eastAsiaTheme="minorEastAsia"/>
          <w:lang w:eastAsia="zh-CN" w:bidi="ar-EG"/>
        </w:rPr>
        <w:t>2</w:t>
      </w:r>
      <w:r w:rsidRPr="00310842">
        <w:rPr>
          <w:rFonts w:eastAsiaTheme="minorEastAsia"/>
          <w:rtl/>
          <w:lang w:eastAsia="zh-CN"/>
        </w:rPr>
        <w:t xml:space="preserve">، الأنظمة </w:t>
      </w:r>
      <w:r w:rsidR="00DE5D4C" w:rsidRPr="00310842">
        <w:rPr>
          <w:rFonts w:eastAsiaTheme="minorEastAsia"/>
          <w:rtl/>
          <w:lang w:eastAsia="zh-CN"/>
        </w:rPr>
        <w:t xml:space="preserve">العالمية والإقليمية/الوطنية </w:t>
      </w:r>
      <w:r w:rsidRPr="00310842">
        <w:rPr>
          <w:rFonts w:eastAsiaTheme="minorEastAsia"/>
          <w:rtl/>
          <w:lang w:eastAsia="zh-CN"/>
        </w:rPr>
        <w:t>المستقرة بالنسبة إلى الأرض، لإدراج بعض أنظمة الخدمة المتنقلة الساتلية المستقرة بالنسبة للأرض وغير المستقرة بالنسبة إلى الأرض؛</w:t>
      </w:r>
    </w:p>
    <w:p w:rsidR="00310842" w:rsidRPr="00310842" w:rsidRDefault="00310842" w:rsidP="002E0B86">
      <w:pPr>
        <w:pStyle w:val="enumlev1"/>
        <w:rPr>
          <w:rFonts w:eastAsiaTheme="minorEastAsia"/>
          <w:rtl/>
          <w:lang w:eastAsia="zh-CN" w:bidi="ar-EG"/>
        </w:rPr>
      </w:pPr>
      <w:r w:rsidRPr="00310842">
        <w:rPr>
          <w:rFonts w:eastAsiaTheme="minorEastAsia"/>
          <w:lang w:eastAsia="zh-CN" w:bidi="ar-EG"/>
        </w:rPr>
        <w:t>(2</w:t>
      </w:r>
      <w:r w:rsidRPr="00310842">
        <w:rPr>
          <w:rFonts w:eastAsiaTheme="minorEastAsia"/>
          <w:rtl/>
          <w:lang w:eastAsia="zh-CN"/>
        </w:rPr>
        <w:tab/>
      </w:r>
      <w:r w:rsidRPr="00310842">
        <w:rPr>
          <w:rFonts w:eastAsiaTheme="minorEastAsia"/>
          <w:rtl/>
          <w:lang w:eastAsia="zh-CN" w:bidi="ar-EG"/>
        </w:rPr>
        <w:t xml:space="preserve">تحديث الجدول </w:t>
      </w:r>
      <w:r w:rsidRPr="00310842">
        <w:rPr>
          <w:rFonts w:eastAsiaTheme="minorEastAsia"/>
          <w:lang w:eastAsia="zh-CN" w:bidi="ar-EG"/>
        </w:rPr>
        <w:t>1</w:t>
      </w:r>
      <w:r w:rsidRPr="00310842">
        <w:rPr>
          <w:rFonts w:eastAsiaTheme="minorEastAsia"/>
          <w:rtl/>
          <w:lang w:eastAsia="zh-CN"/>
        </w:rPr>
        <w:t xml:space="preserve"> لاستعراض الخصائص التقنية لنظام الخدمة المتنقلة الساتلية المستقر بالنسبة إلى الأرض في الصين؛</w:t>
      </w:r>
    </w:p>
    <w:p w:rsidR="00310842" w:rsidRPr="0030682E" w:rsidRDefault="00310842" w:rsidP="002E0B86">
      <w:pPr>
        <w:pStyle w:val="enumlev1"/>
        <w:rPr>
          <w:rFonts w:eastAsiaTheme="minorEastAsia"/>
          <w:spacing w:val="-4"/>
          <w:rtl/>
          <w:lang w:eastAsia="zh-CN"/>
        </w:rPr>
      </w:pPr>
      <w:r w:rsidRPr="0030682E">
        <w:rPr>
          <w:rFonts w:eastAsiaTheme="minorEastAsia"/>
          <w:spacing w:val="-4"/>
          <w:lang w:eastAsia="zh-CN" w:bidi="ar-EG"/>
        </w:rPr>
        <w:t>(3</w:t>
      </w:r>
      <w:r w:rsidRPr="0030682E">
        <w:rPr>
          <w:rFonts w:eastAsiaTheme="minorEastAsia"/>
          <w:spacing w:val="-4"/>
          <w:rtl/>
          <w:lang w:eastAsia="zh-CN"/>
        </w:rPr>
        <w:tab/>
      </w:r>
      <w:r w:rsidRPr="0030682E">
        <w:rPr>
          <w:rFonts w:eastAsiaTheme="minorEastAsia"/>
          <w:spacing w:val="-4"/>
          <w:rtl/>
          <w:lang w:eastAsia="zh-CN" w:bidi="ar-EG"/>
        </w:rPr>
        <w:t xml:space="preserve">تحديث الجدول </w:t>
      </w:r>
      <w:r w:rsidRPr="0030682E">
        <w:rPr>
          <w:rFonts w:eastAsiaTheme="minorEastAsia"/>
          <w:spacing w:val="-4"/>
          <w:lang w:eastAsia="zh-CN" w:bidi="ar-EG"/>
        </w:rPr>
        <w:t>4</w:t>
      </w:r>
      <w:r w:rsidRPr="0030682E">
        <w:rPr>
          <w:rFonts w:eastAsiaTheme="minorEastAsia"/>
          <w:spacing w:val="-4"/>
          <w:rtl/>
          <w:lang w:eastAsia="zh-CN"/>
        </w:rPr>
        <w:t xml:space="preserve"> لاستعراض الخصائص التقنية لنظام الخدم</w:t>
      </w:r>
      <w:r w:rsidR="00DE5D4C" w:rsidRPr="0030682E">
        <w:rPr>
          <w:rFonts w:eastAsiaTheme="minorEastAsia"/>
          <w:spacing w:val="-4"/>
          <w:rtl/>
          <w:lang w:eastAsia="zh-CN"/>
        </w:rPr>
        <w:t>ة المتنقلة الساتلية غير المستقر</w:t>
      </w:r>
      <w:r w:rsidRPr="0030682E">
        <w:rPr>
          <w:rFonts w:eastAsiaTheme="minorEastAsia"/>
          <w:spacing w:val="-4"/>
          <w:rtl/>
          <w:lang w:eastAsia="zh-CN"/>
        </w:rPr>
        <w:t xml:space="preserve"> بالنسبة إلى الأرض في</w:t>
      </w:r>
      <w:r w:rsidR="002E0B86" w:rsidRPr="0030682E">
        <w:rPr>
          <w:rFonts w:eastAsiaTheme="minorEastAsia" w:hint="cs"/>
          <w:spacing w:val="-4"/>
          <w:rtl/>
          <w:lang w:eastAsia="zh-CN"/>
        </w:rPr>
        <w:t> </w:t>
      </w:r>
      <w:r w:rsidRPr="0030682E">
        <w:rPr>
          <w:rFonts w:eastAsiaTheme="minorEastAsia"/>
          <w:spacing w:val="-4"/>
          <w:rtl/>
          <w:lang w:eastAsia="zh-CN"/>
        </w:rPr>
        <w:t>الصين؛</w:t>
      </w:r>
    </w:p>
    <w:p w:rsidR="00310842" w:rsidRPr="00310842" w:rsidRDefault="00310842" w:rsidP="002E0B86">
      <w:pPr>
        <w:pStyle w:val="enumlev1"/>
        <w:rPr>
          <w:rFonts w:eastAsiaTheme="minorEastAsia"/>
          <w:rtl/>
          <w:lang w:eastAsia="zh-CN" w:bidi="ar-EG"/>
        </w:rPr>
      </w:pPr>
      <w:r w:rsidRPr="00310842">
        <w:rPr>
          <w:rFonts w:eastAsiaTheme="minorEastAsia"/>
          <w:lang w:eastAsia="zh-CN" w:bidi="ar-EG"/>
        </w:rPr>
        <w:t>(4</w:t>
      </w:r>
      <w:r w:rsidRPr="00310842">
        <w:rPr>
          <w:rFonts w:eastAsiaTheme="minorEastAsia"/>
          <w:rtl/>
          <w:lang w:eastAsia="zh-CN"/>
        </w:rPr>
        <w:tab/>
        <w:t xml:space="preserve">تحديث القسم </w:t>
      </w:r>
      <w:r w:rsidRPr="00310842">
        <w:rPr>
          <w:rFonts w:eastAsiaTheme="minorEastAsia"/>
          <w:lang w:eastAsia="zh-CN" w:bidi="ar-EG"/>
        </w:rPr>
        <w:t>1.2</w:t>
      </w:r>
      <w:r w:rsidRPr="00310842">
        <w:rPr>
          <w:rFonts w:eastAsiaTheme="minorEastAsia"/>
          <w:rtl/>
          <w:lang w:eastAsia="zh-CN"/>
        </w:rPr>
        <w:t xml:space="preserve">، الخدمة المتنقلة الساتلية البحرية، </w:t>
      </w:r>
      <w:r w:rsidR="00DE5D4C">
        <w:rPr>
          <w:rFonts w:eastAsiaTheme="minorEastAsia" w:hint="cs"/>
          <w:rtl/>
          <w:lang w:eastAsia="zh-CN"/>
        </w:rPr>
        <w:t xml:space="preserve">ليشمل </w:t>
      </w:r>
      <w:r w:rsidRPr="00310842">
        <w:rPr>
          <w:rFonts w:eastAsiaTheme="minorEastAsia"/>
          <w:rtl/>
          <w:lang w:eastAsia="zh-CN"/>
        </w:rPr>
        <w:t>الخدمات الحالية؛</w:t>
      </w:r>
    </w:p>
    <w:p w:rsidR="00310842" w:rsidRPr="00310842" w:rsidRDefault="00310842" w:rsidP="00886C47">
      <w:pPr>
        <w:pStyle w:val="enumlev1"/>
        <w:rPr>
          <w:rFonts w:eastAsiaTheme="minorEastAsia"/>
          <w:rtl/>
          <w:lang w:eastAsia="zh-CN"/>
        </w:rPr>
      </w:pPr>
      <w:r w:rsidRPr="00310842">
        <w:rPr>
          <w:rFonts w:eastAsiaTheme="minorEastAsia"/>
          <w:lang w:eastAsia="zh-CN" w:bidi="ar-EG"/>
        </w:rPr>
        <w:t>(5</w:t>
      </w:r>
      <w:r w:rsidRPr="00310842">
        <w:rPr>
          <w:rFonts w:eastAsiaTheme="minorEastAsia"/>
          <w:rtl/>
          <w:lang w:eastAsia="zh-CN"/>
        </w:rPr>
        <w:tab/>
        <w:t xml:space="preserve">إلغاء الإشارة إلى التوصية </w:t>
      </w:r>
      <w:r w:rsidRPr="00310842">
        <w:rPr>
          <w:rFonts w:eastAsiaTheme="minorEastAsia"/>
          <w:lang w:eastAsia="zh-CN" w:bidi="ar-EG"/>
        </w:rPr>
        <w:t>ITU-R</w:t>
      </w:r>
      <w:r w:rsidR="00886C47">
        <w:rPr>
          <w:rFonts w:eastAsiaTheme="minorEastAsia"/>
          <w:lang w:eastAsia="zh-CN" w:bidi="ar-EG"/>
        </w:rPr>
        <w:t> </w:t>
      </w:r>
      <w:r w:rsidRPr="00310842">
        <w:rPr>
          <w:rFonts w:eastAsiaTheme="minorEastAsia"/>
          <w:lang w:eastAsia="zh-CN" w:bidi="ar-EG"/>
        </w:rPr>
        <w:t>M.632</w:t>
      </w:r>
      <w:r w:rsidRPr="00310842">
        <w:rPr>
          <w:rFonts w:eastAsiaTheme="minorEastAsia"/>
          <w:rtl/>
          <w:lang w:eastAsia="zh-CN"/>
        </w:rPr>
        <w:t xml:space="preserve"> في القسم </w:t>
      </w:r>
      <w:r w:rsidRPr="00310842">
        <w:rPr>
          <w:rFonts w:eastAsiaTheme="minorEastAsia"/>
          <w:lang w:eastAsia="zh-CN" w:bidi="ar-EG"/>
        </w:rPr>
        <w:t>4.2</w:t>
      </w:r>
      <w:r w:rsidRPr="00310842">
        <w:rPr>
          <w:rFonts w:eastAsiaTheme="minorEastAsia"/>
          <w:rtl/>
          <w:lang w:eastAsia="zh-CN"/>
        </w:rPr>
        <w:t xml:space="preserve"> </w:t>
      </w:r>
      <w:r w:rsidR="002E0B86">
        <w:rPr>
          <w:rFonts w:eastAsiaTheme="minorEastAsia" w:hint="cs"/>
          <w:rtl/>
          <w:lang w:eastAsia="zh-CN"/>
        </w:rPr>
        <w:t>لأنها لم</w:t>
      </w:r>
      <w:r w:rsidRPr="00310842">
        <w:rPr>
          <w:rFonts w:eastAsiaTheme="minorEastAsia"/>
          <w:rtl/>
          <w:lang w:eastAsia="zh-CN"/>
        </w:rPr>
        <w:t xml:space="preserve"> تعد تنطبق الآن؛</w:t>
      </w:r>
    </w:p>
    <w:p w:rsidR="00310842" w:rsidRPr="00310842" w:rsidRDefault="00310842" w:rsidP="00722D55">
      <w:pPr>
        <w:pStyle w:val="enumlev1"/>
        <w:rPr>
          <w:rFonts w:eastAsiaTheme="minorEastAsia"/>
          <w:rtl/>
          <w:lang w:eastAsia="zh-CN" w:bidi="ar-EG"/>
        </w:rPr>
      </w:pPr>
      <w:r w:rsidRPr="00310842">
        <w:rPr>
          <w:rFonts w:eastAsiaTheme="minorEastAsia"/>
          <w:lang w:eastAsia="zh-CN" w:bidi="ar-EG"/>
        </w:rPr>
        <w:t>(6</w:t>
      </w:r>
      <w:r w:rsidRPr="00310842">
        <w:rPr>
          <w:rFonts w:eastAsiaTheme="minorEastAsia"/>
          <w:rtl/>
          <w:lang w:eastAsia="zh-CN"/>
        </w:rPr>
        <w:tab/>
        <w:t xml:space="preserve">تحديث الجدول </w:t>
      </w:r>
      <w:r w:rsidRPr="00310842">
        <w:rPr>
          <w:rFonts w:eastAsiaTheme="minorEastAsia"/>
          <w:lang w:eastAsia="zh-CN" w:bidi="ar-EG"/>
        </w:rPr>
        <w:t>2</w:t>
      </w:r>
      <w:r w:rsidRPr="00310842">
        <w:rPr>
          <w:rFonts w:eastAsiaTheme="minorEastAsia"/>
          <w:rtl/>
          <w:lang w:eastAsia="zh-CN" w:bidi="ar-EG"/>
        </w:rPr>
        <w:t xml:space="preserve">، لمحة عامة عن أنظمة </w:t>
      </w:r>
      <w:r w:rsidR="00722D55">
        <w:rPr>
          <w:rFonts w:eastAsiaTheme="minorEastAsia"/>
          <w:lang w:eastAsia="zh-CN" w:bidi="ar-EG"/>
        </w:rPr>
        <w:t>Inmarsat</w:t>
      </w:r>
      <w:r w:rsidR="00722D55">
        <w:rPr>
          <w:rFonts w:eastAsiaTheme="minorEastAsia" w:hint="cs"/>
          <w:rtl/>
          <w:lang w:eastAsia="zh-CN" w:bidi="ar-EG"/>
        </w:rPr>
        <w:t xml:space="preserve"> </w:t>
      </w:r>
      <w:r w:rsidR="00DE5D4C">
        <w:rPr>
          <w:rFonts w:eastAsiaTheme="minorEastAsia" w:hint="cs"/>
          <w:rtl/>
          <w:lang w:eastAsia="zh-CN" w:bidi="ar-EG"/>
        </w:rPr>
        <w:t>المستقرة بالنسبة إلى الأرض</w:t>
      </w:r>
      <w:r w:rsidRPr="00310842">
        <w:rPr>
          <w:rFonts w:eastAsiaTheme="minorEastAsia"/>
          <w:rtl/>
          <w:lang w:eastAsia="zh-CN" w:bidi="ar-EG"/>
        </w:rPr>
        <w:t>.</w:t>
      </w:r>
    </w:p>
    <w:p w:rsidR="00B95594" w:rsidRDefault="00B95594" w:rsidP="00310842">
      <w:pPr>
        <w:tabs>
          <w:tab w:val="clear" w:pos="1134"/>
          <w:tab w:val="right" w:pos="9639"/>
        </w:tabs>
        <w:spacing w:before="480"/>
        <w:rPr>
          <w:rFonts w:eastAsiaTheme="minorEastAsia"/>
          <w:u w:val="single"/>
          <w:rtl/>
          <w:lang w:eastAsia="zh-CN"/>
        </w:rPr>
      </w:pPr>
      <w:r>
        <w:rPr>
          <w:rFonts w:eastAsiaTheme="minorEastAsia"/>
          <w:u w:val="single"/>
          <w:rtl/>
          <w:lang w:eastAsia="zh-CN"/>
        </w:rPr>
        <w:br w:type="page"/>
      </w:r>
    </w:p>
    <w:p w:rsidR="00310842" w:rsidRPr="00AF70F6" w:rsidRDefault="00310842" w:rsidP="00BB31E1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310842">
        <w:rPr>
          <w:rFonts w:eastAsiaTheme="minorEastAsia"/>
          <w:u w:val="single"/>
          <w:rtl/>
          <w:lang w:eastAsia="zh-CN"/>
        </w:rPr>
        <w:lastRenderedPageBreak/>
        <w:t>مشروع مراج</w:t>
      </w:r>
      <w:r w:rsidR="00DE5D4C">
        <w:rPr>
          <w:rFonts w:eastAsiaTheme="minorEastAsia" w:hint="cs"/>
          <w:u w:val="single"/>
          <w:rtl/>
          <w:lang w:eastAsia="zh-CN"/>
        </w:rPr>
        <w:t>َ</w:t>
      </w:r>
      <w:r w:rsidRPr="00310842">
        <w:rPr>
          <w:rFonts w:eastAsiaTheme="minorEastAsia"/>
          <w:u w:val="single"/>
          <w:rtl/>
          <w:lang w:eastAsia="zh-CN"/>
        </w:rPr>
        <w:t xml:space="preserve">عة التوصية </w:t>
      </w:r>
      <w:r w:rsidRPr="00310842">
        <w:rPr>
          <w:rFonts w:eastAsiaTheme="minorEastAsia"/>
          <w:bCs/>
          <w:u w:val="single"/>
          <w:lang w:eastAsia="zh-CN"/>
        </w:rPr>
        <w:t>ITU-R</w:t>
      </w:r>
      <w:r w:rsidR="00BB31E1">
        <w:rPr>
          <w:rFonts w:eastAsiaTheme="minorEastAsia"/>
          <w:bCs/>
          <w:u w:val="single"/>
          <w:lang w:eastAsia="zh-CN"/>
        </w:rPr>
        <w:t> </w:t>
      </w:r>
      <w:r w:rsidRPr="00310842">
        <w:rPr>
          <w:rFonts w:eastAsiaTheme="minorEastAsia"/>
          <w:bCs/>
          <w:u w:val="single"/>
          <w:lang w:eastAsia="zh-CN"/>
        </w:rPr>
        <w:t>S.1503-2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>
        <w:rPr>
          <w:rFonts w:eastAsiaTheme="minorEastAsia"/>
          <w:lang w:eastAsia="zh-CN" w:bidi="ar-EG"/>
        </w:rPr>
        <w:t>4/41</w:t>
      </w:r>
    </w:p>
    <w:p w:rsidR="00310842" w:rsidRPr="00AF70F6" w:rsidRDefault="00310842" w:rsidP="004A0433">
      <w:pPr>
        <w:pStyle w:val="Rectitle"/>
        <w:spacing w:before="360"/>
        <w:rPr>
          <w:rFonts w:eastAsiaTheme="minorEastAsia"/>
          <w:rtl/>
          <w:lang w:eastAsia="zh-CN" w:bidi="ar-SY"/>
        </w:rPr>
      </w:pPr>
      <w:r w:rsidRPr="00310842">
        <w:rPr>
          <w:rFonts w:eastAsiaTheme="minorEastAsia"/>
          <w:rtl/>
          <w:lang w:eastAsia="zh-CN" w:bidi="ar-EG"/>
        </w:rPr>
        <w:t xml:space="preserve">وصف وظيفي يُستخدم في إعداد أدوات برمجية لتحديد مطابقة شبكات </w:t>
      </w:r>
      <w:r w:rsidR="002E0B86">
        <w:rPr>
          <w:rFonts w:eastAsiaTheme="minorEastAsia"/>
          <w:rtl/>
          <w:lang w:eastAsia="zh-CN" w:bidi="ar-EG"/>
        </w:rPr>
        <w:br/>
      </w:r>
      <w:r w:rsidRPr="00310842">
        <w:rPr>
          <w:rFonts w:eastAsiaTheme="minorEastAsia"/>
          <w:rtl/>
          <w:lang w:eastAsia="zh-CN" w:bidi="ar-EG"/>
        </w:rPr>
        <w:t xml:space="preserve">أنظمة ثابتة ساتلية غير مستقرة بالنسبة إلى الأرض مع الحدود </w:t>
      </w:r>
      <w:r w:rsidR="002E0B86">
        <w:rPr>
          <w:rFonts w:eastAsiaTheme="minorEastAsia"/>
          <w:rtl/>
          <w:lang w:eastAsia="zh-CN" w:bidi="ar-EG"/>
        </w:rPr>
        <w:br/>
      </w:r>
      <w:r w:rsidRPr="00310842">
        <w:rPr>
          <w:rFonts w:eastAsiaTheme="minorEastAsia"/>
          <w:rtl/>
          <w:lang w:eastAsia="zh-CN" w:bidi="ar-EG"/>
        </w:rPr>
        <w:t>التي تنص</w:t>
      </w:r>
      <w:bookmarkStart w:id="0" w:name="_GoBack"/>
      <w:bookmarkEnd w:id="0"/>
      <w:r w:rsidRPr="00310842">
        <w:rPr>
          <w:rFonts w:eastAsiaTheme="minorEastAsia"/>
          <w:rtl/>
          <w:lang w:eastAsia="zh-CN" w:bidi="ar-EG"/>
        </w:rPr>
        <w:t xml:space="preserve"> عليها المادة </w:t>
      </w:r>
      <w:r w:rsidRPr="00310842">
        <w:rPr>
          <w:rFonts w:eastAsiaTheme="minorEastAsia"/>
          <w:lang w:eastAsia="zh-CN" w:bidi="ar-EG"/>
        </w:rPr>
        <w:t>22</w:t>
      </w:r>
      <w:r w:rsidRPr="00310842">
        <w:rPr>
          <w:rFonts w:eastAsiaTheme="minorEastAsia"/>
          <w:rtl/>
          <w:lang w:eastAsia="zh-CN" w:bidi="ar-EG"/>
        </w:rPr>
        <w:t xml:space="preserve"> من لوائح الراديو</w:t>
      </w:r>
    </w:p>
    <w:p w:rsidR="00310842" w:rsidRPr="00310842" w:rsidRDefault="00310842" w:rsidP="003108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310842">
        <w:rPr>
          <w:rFonts w:eastAsiaTheme="minorEastAsia"/>
          <w:rtl/>
          <w:lang w:eastAsia="zh-CN" w:bidi="ar-EG"/>
        </w:rPr>
        <w:t>تشمل هذه المراج</w:t>
      </w:r>
      <w:r w:rsidR="00DE5D4C">
        <w:rPr>
          <w:rFonts w:eastAsiaTheme="minorEastAsia" w:hint="cs"/>
          <w:rtl/>
          <w:lang w:eastAsia="zh-CN" w:bidi="ar-EG"/>
        </w:rPr>
        <w:t>َ</w:t>
      </w:r>
      <w:r w:rsidRPr="00310842">
        <w:rPr>
          <w:rFonts w:eastAsiaTheme="minorEastAsia"/>
          <w:rtl/>
          <w:lang w:eastAsia="zh-CN" w:bidi="ar-EG"/>
        </w:rPr>
        <w:t>عة التعديلات التالية:</w:t>
      </w:r>
    </w:p>
    <w:p w:rsidR="00310842" w:rsidRPr="00310842" w:rsidRDefault="00DE5D4C" w:rsidP="00DE5D4C">
      <w:pPr>
        <w:pStyle w:val="enumlev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t>(1</w:t>
      </w:r>
      <w:r w:rsidR="00310842" w:rsidRPr="00310842">
        <w:rPr>
          <w:rFonts w:eastAsiaTheme="minorEastAsia"/>
          <w:rtl/>
          <w:lang w:eastAsia="zh-CN"/>
        </w:rPr>
        <w:tab/>
        <w:t xml:space="preserve">زيادة المرونة في معلمات الدخل للسماح مثلاً باختلاف </w:t>
      </w:r>
      <w:r>
        <w:rPr>
          <w:rFonts w:eastAsiaTheme="minorEastAsia" w:hint="cs"/>
          <w:rtl/>
          <w:lang w:eastAsia="zh-CN" w:bidi="ar-EG"/>
        </w:rPr>
        <w:t>أبعاد</w:t>
      </w:r>
      <w:r w:rsidR="00310842" w:rsidRPr="00310842">
        <w:rPr>
          <w:rFonts w:eastAsiaTheme="minorEastAsia"/>
          <w:rtl/>
          <w:lang w:eastAsia="zh-CN" w:bidi="ar-EG"/>
        </w:rPr>
        <w:t xml:space="preserve"> منطقة الاستبعاد بحسب خط العرض </w:t>
      </w:r>
      <w:r>
        <w:rPr>
          <w:rFonts w:eastAsiaTheme="minorEastAsia" w:hint="cs"/>
          <w:rtl/>
          <w:lang w:eastAsia="zh-CN" w:bidi="ar-EG"/>
        </w:rPr>
        <w:t xml:space="preserve">واختلاف </w:t>
      </w:r>
      <w:r w:rsidR="00310842" w:rsidRPr="00310842">
        <w:rPr>
          <w:rFonts w:eastAsiaTheme="minorEastAsia"/>
          <w:rtl/>
          <w:lang w:eastAsia="zh-CN" w:bidi="ar-EG"/>
        </w:rPr>
        <w:t>زاوية الارتفاع الدنيا بحسب خط العرض والسمت</w:t>
      </w:r>
      <w:r w:rsidR="00310842" w:rsidRPr="00310842">
        <w:rPr>
          <w:rFonts w:eastAsiaTheme="minorEastAsia"/>
          <w:rtl/>
          <w:lang w:eastAsia="zh-CN"/>
        </w:rPr>
        <w:t>.</w:t>
      </w:r>
    </w:p>
    <w:p w:rsidR="00310842" w:rsidRPr="00310842" w:rsidRDefault="00DE5D4C" w:rsidP="00DE5D4C">
      <w:pPr>
        <w:pStyle w:val="enumlev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t>(2</w:t>
      </w:r>
      <w:r w:rsidR="00310842" w:rsidRPr="00310842">
        <w:rPr>
          <w:rFonts w:eastAsiaTheme="minorEastAsia"/>
          <w:rtl/>
          <w:lang w:eastAsia="zh-CN"/>
        </w:rPr>
        <w:tab/>
        <w:t>إدراج القدرة على تحديد فترة تتبع دنيا بين عمليات التسليم في حساب كثافة تدفق القدرة المكافئة (</w:t>
      </w:r>
      <w:r>
        <w:rPr>
          <w:rFonts w:eastAsiaTheme="minorEastAsia" w:hint="cs"/>
          <w:rtl/>
          <w:lang w:eastAsia="zh-CN"/>
        </w:rPr>
        <w:t xml:space="preserve">للوصلة </w:t>
      </w:r>
      <w:r w:rsidR="00310842" w:rsidRPr="00310842">
        <w:rPr>
          <w:rFonts w:eastAsiaTheme="minorEastAsia"/>
          <w:rtl/>
          <w:lang w:eastAsia="zh-CN"/>
        </w:rPr>
        <w:t>الهابط</w:t>
      </w:r>
      <w:r>
        <w:rPr>
          <w:rFonts w:eastAsiaTheme="minorEastAsia" w:hint="cs"/>
          <w:rtl/>
          <w:lang w:eastAsia="zh-CN"/>
        </w:rPr>
        <w:t>ة</w:t>
      </w:r>
      <w:r w:rsidR="00310842" w:rsidRPr="00310842">
        <w:rPr>
          <w:rFonts w:eastAsiaTheme="minorEastAsia"/>
          <w:rtl/>
          <w:lang w:eastAsia="zh-CN"/>
        </w:rPr>
        <w:t>).</w:t>
      </w:r>
    </w:p>
    <w:p w:rsidR="00310842" w:rsidRPr="00310842" w:rsidRDefault="00310842" w:rsidP="00DE5D4C">
      <w:pPr>
        <w:pStyle w:val="enumlev1"/>
        <w:rPr>
          <w:rFonts w:eastAsiaTheme="minorEastAsia"/>
          <w:rtl/>
          <w:lang w:eastAsia="zh-CN"/>
        </w:rPr>
      </w:pPr>
      <w:r w:rsidRPr="00310842">
        <w:rPr>
          <w:rFonts w:eastAsiaTheme="minorEastAsia"/>
          <w:lang w:eastAsia="zh-CN" w:bidi="ar-EG"/>
        </w:rPr>
        <w:t>(3</w:t>
      </w:r>
      <w:r w:rsidRPr="00310842">
        <w:rPr>
          <w:rFonts w:eastAsiaTheme="minorEastAsia"/>
          <w:rtl/>
          <w:lang w:eastAsia="zh-CN"/>
        </w:rPr>
        <w:tab/>
        <w:t xml:space="preserve">إعادة هيكلة نسق عناصر البيانات للسماح باختلاف معلمات النظام غير المستقر بالنسبة إلى الأرض بين نطاقات التردد وتبسيط زاوية منطقة الاستبعاد </w:t>
      </w:r>
      <w:r w:rsidR="00DE5D4C">
        <w:rPr>
          <w:rFonts w:eastAsiaTheme="minorEastAsia" w:hint="cs"/>
          <w:rtl/>
          <w:lang w:eastAsia="zh-CN"/>
        </w:rPr>
        <w:t xml:space="preserve">لتقتصر على </w:t>
      </w:r>
      <w:r w:rsidRPr="00310842">
        <w:rPr>
          <w:rFonts w:eastAsiaTheme="minorEastAsia"/>
          <w:rtl/>
          <w:lang w:eastAsia="zh-CN"/>
        </w:rPr>
        <w:t>ألفا.</w:t>
      </w:r>
    </w:p>
    <w:p w:rsidR="00310842" w:rsidRPr="00310842" w:rsidRDefault="00310842" w:rsidP="00DE5D4C">
      <w:pPr>
        <w:pStyle w:val="enumlev1"/>
        <w:rPr>
          <w:rFonts w:eastAsiaTheme="minorEastAsia"/>
          <w:rtl/>
          <w:lang w:eastAsia="zh-CN"/>
        </w:rPr>
      </w:pPr>
      <w:r w:rsidRPr="00310842">
        <w:rPr>
          <w:rFonts w:eastAsiaTheme="minorEastAsia"/>
          <w:lang w:eastAsia="zh-CN" w:bidi="ar-EG"/>
        </w:rPr>
        <w:t>(4</w:t>
      </w:r>
      <w:r w:rsidRPr="00310842">
        <w:rPr>
          <w:rFonts w:eastAsiaTheme="minorEastAsia"/>
          <w:rtl/>
          <w:lang w:eastAsia="zh-CN"/>
        </w:rPr>
        <w:tab/>
        <w:t>القدرة على التعامل مع الكوكبات غير المستقرة بالنسبة إلى الأرض التي تتألف من كوكبات فرعية متعددة.</w:t>
      </w:r>
    </w:p>
    <w:p w:rsidR="00310842" w:rsidRPr="00310842" w:rsidRDefault="00310842" w:rsidP="00DE5D4C">
      <w:pPr>
        <w:pStyle w:val="enumlev1"/>
        <w:rPr>
          <w:rFonts w:eastAsiaTheme="minorEastAsia"/>
          <w:rtl/>
          <w:lang w:eastAsia="zh-CN"/>
        </w:rPr>
      </w:pPr>
      <w:r w:rsidRPr="00310842">
        <w:rPr>
          <w:rFonts w:eastAsiaTheme="minorEastAsia"/>
          <w:lang w:eastAsia="zh-CN" w:bidi="ar-EG"/>
        </w:rPr>
        <w:t>(5</w:t>
      </w:r>
      <w:r w:rsidRPr="00310842">
        <w:rPr>
          <w:rFonts w:eastAsiaTheme="minorEastAsia"/>
          <w:rtl/>
          <w:lang w:eastAsia="zh-CN"/>
        </w:rPr>
        <w:tab/>
        <w:t>تحسين خوارزمية هندسة أسوأ حالة.</w:t>
      </w:r>
    </w:p>
    <w:p w:rsidR="00310842" w:rsidRPr="00310842" w:rsidRDefault="00310842" w:rsidP="00DE5D4C">
      <w:pPr>
        <w:pStyle w:val="enumlev1"/>
        <w:rPr>
          <w:rFonts w:eastAsiaTheme="minorEastAsia"/>
          <w:rtl/>
          <w:lang w:eastAsia="zh-CN" w:bidi="ar-EG"/>
        </w:rPr>
      </w:pPr>
      <w:r w:rsidRPr="00310842">
        <w:rPr>
          <w:rFonts w:eastAsiaTheme="minorEastAsia"/>
          <w:lang w:eastAsia="zh-CN" w:bidi="ar-EG"/>
        </w:rPr>
        <w:t>(6</w:t>
      </w:r>
      <w:r w:rsidRPr="00310842">
        <w:rPr>
          <w:rFonts w:eastAsiaTheme="minorEastAsia"/>
          <w:rtl/>
          <w:lang w:eastAsia="zh-CN"/>
        </w:rPr>
        <w:tab/>
        <w:t xml:space="preserve">تحسينات </w:t>
      </w:r>
      <w:r w:rsidRPr="00310842">
        <w:rPr>
          <w:rFonts w:eastAsiaTheme="minorEastAsia"/>
          <w:rtl/>
          <w:lang w:eastAsia="zh-CN" w:bidi="ar-EG"/>
        </w:rPr>
        <w:t xml:space="preserve">عامة توخياً </w:t>
      </w:r>
      <w:r w:rsidR="00DE5D4C">
        <w:rPr>
          <w:rFonts w:eastAsiaTheme="minorEastAsia" w:hint="cs"/>
          <w:rtl/>
          <w:lang w:eastAsia="zh-CN" w:bidi="ar-EG"/>
        </w:rPr>
        <w:t xml:space="preserve">لزيادة وضوح النص </w:t>
      </w:r>
      <w:r w:rsidRPr="00310842">
        <w:rPr>
          <w:rFonts w:eastAsiaTheme="minorEastAsia"/>
          <w:rtl/>
          <w:lang w:eastAsia="zh-CN" w:bidi="ar-EG"/>
        </w:rPr>
        <w:t>بما في ذلك توضيح</w:t>
      </w:r>
      <w:r w:rsidR="00DE5D4C">
        <w:rPr>
          <w:rFonts w:eastAsiaTheme="minorEastAsia" w:hint="cs"/>
          <w:rtl/>
          <w:lang w:eastAsia="zh-CN" w:bidi="ar-EG"/>
        </w:rPr>
        <w:t>ات</w:t>
      </w:r>
      <w:r w:rsidRPr="00310842">
        <w:rPr>
          <w:rFonts w:eastAsiaTheme="minorEastAsia"/>
          <w:rtl/>
          <w:lang w:eastAsia="zh-CN" w:bidi="ar-EG"/>
        </w:rPr>
        <w:t xml:space="preserve"> وإدراج طريقة تحليلية لحساب ألفا.</w:t>
      </w:r>
    </w:p>
    <w:p w:rsidR="00AF70F6" w:rsidRDefault="00BB31E1" w:rsidP="00AF70F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F70F6" w:rsidSect="008B5B5D">
      <w:headerReference w:type="default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42" w:rsidRDefault="00310842" w:rsidP="00E07379">
      <w:pPr>
        <w:spacing w:before="0" w:line="240" w:lineRule="auto"/>
      </w:pPr>
      <w:r>
        <w:separator/>
      </w:r>
    </w:p>
  </w:endnote>
  <w:endnote w:type="continuationSeparator" w:id="0">
    <w:p w:rsidR="00310842" w:rsidRDefault="0031084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DB365C" w:rsidRDefault="002D4DD1" w:rsidP="00886C47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42" w:rsidRDefault="00310842" w:rsidP="00E07379">
      <w:pPr>
        <w:spacing w:before="0" w:line="240" w:lineRule="auto"/>
      </w:pPr>
      <w:r>
        <w:separator/>
      </w:r>
    </w:p>
  </w:footnote>
  <w:footnote w:type="continuationSeparator" w:id="0">
    <w:p w:rsidR="00310842" w:rsidRDefault="0031084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7008FE">
      <w:rPr>
        <w:rStyle w:val="PageNumber"/>
        <w:noProof/>
      </w:rPr>
      <w:t>4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42"/>
    <w:rsid w:val="000124CC"/>
    <w:rsid w:val="00041F8B"/>
    <w:rsid w:val="00046444"/>
    <w:rsid w:val="0006023B"/>
    <w:rsid w:val="00075CDF"/>
    <w:rsid w:val="00076856"/>
    <w:rsid w:val="0008638B"/>
    <w:rsid w:val="00090574"/>
    <w:rsid w:val="00092FC2"/>
    <w:rsid w:val="000A1677"/>
    <w:rsid w:val="000B407F"/>
    <w:rsid w:val="000C13C2"/>
    <w:rsid w:val="000D76AD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0B86"/>
    <w:rsid w:val="002E6541"/>
    <w:rsid w:val="002F4CDA"/>
    <w:rsid w:val="002F5560"/>
    <w:rsid w:val="002F7232"/>
    <w:rsid w:val="0030486B"/>
    <w:rsid w:val="0030682E"/>
    <w:rsid w:val="00310842"/>
    <w:rsid w:val="003231B9"/>
    <w:rsid w:val="003275AC"/>
    <w:rsid w:val="00333D29"/>
    <w:rsid w:val="003409F4"/>
    <w:rsid w:val="00357185"/>
    <w:rsid w:val="003975A0"/>
    <w:rsid w:val="003C475F"/>
    <w:rsid w:val="003D6C0F"/>
    <w:rsid w:val="003E4132"/>
    <w:rsid w:val="003F678F"/>
    <w:rsid w:val="0042686F"/>
    <w:rsid w:val="004367CE"/>
    <w:rsid w:val="00443869"/>
    <w:rsid w:val="004712C6"/>
    <w:rsid w:val="00497703"/>
    <w:rsid w:val="004A043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08FE"/>
    <w:rsid w:val="00706D7A"/>
    <w:rsid w:val="00722D55"/>
    <w:rsid w:val="00726AEC"/>
    <w:rsid w:val="007530CA"/>
    <w:rsid w:val="00783A16"/>
    <w:rsid w:val="0079553D"/>
    <w:rsid w:val="007B01CC"/>
    <w:rsid w:val="007C2A7B"/>
    <w:rsid w:val="007E7C6C"/>
    <w:rsid w:val="007F6238"/>
    <w:rsid w:val="007F646C"/>
    <w:rsid w:val="00801FCD"/>
    <w:rsid w:val="00803D7E"/>
    <w:rsid w:val="00803F08"/>
    <w:rsid w:val="00810B7A"/>
    <w:rsid w:val="00822894"/>
    <w:rsid w:val="008235CD"/>
    <w:rsid w:val="00823A07"/>
    <w:rsid w:val="008260B2"/>
    <w:rsid w:val="00835FEC"/>
    <w:rsid w:val="008513CB"/>
    <w:rsid w:val="00874D9C"/>
    <w:rsid w:val="00886C47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A4F51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7252A"/>
    <w:rsid w:val="00A80E11"/>
    <w:rsid w:val="00A82566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50CDE"/>
    <w:rsid w:val="00B66B9A"/>
    <w:rsid w:val="00B82089"/>
    <w:rsid w:val="00B95594"/>
    <w:rsid w:val="00B970AE"/>
    <w:rsid w:val="00BA0975"/>
    <w:rsid w:val="00BA1427"/>
    <w:rsid w:val="00BB31E1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45AF6"/>
    <w:rsid w:val="00D77D0F"/>
    <w:rsid w:val="00DA1CF0"/>
    <w:rsid w:val="00DB2271"/>
    <w:rsid w:val="00DB365C"/>
    <w:rsid w:val="00DB5659"/>
    <w:rsid w:val="00DC24B4"/>
    <w:rsid w:val="00DC5E81"/>
    <w:rsid w:val="00DD7A05"/>
    <w:rsid w:val="00DE5D4C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37B4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9F46F7B-BD94-467F-B802-24B3D451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7A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4-C-0037/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4-C-0040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R15-sg04-C/" TargetMode="External"/><Relationship Id="rId10" Type="http://schemas.openxmlformats.org/officeDocument/2006/relationships/hyperlink" Target="http://www.itu.int/pub/R-REC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4-C-0041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7A1ED-930B-4A55-B4EE-4116C35B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71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Song, Xiaojing</cp:lastModifiedBy>
  <cp:revision>24</cp:revision>
  <cp:lastPrinted>2017-11-10T09:13:00Z</cp:lastPrinted>
  <dcterms:created xsi:type="dcterms:W3CDTF">2017-11-10T08:33:00Z</dcterms:created>
  <dcterms:modified xsi:type="dcterms:W3CDTF">2017-11-13T08:43:00Z</dcterms:modified>
  <cp:category>Conference document</cp:category>
</cp:coreProperties>
</file>