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126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2670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12670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1267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1267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12670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12670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12670">
              <w:rPr>
                <w:szCs w:val="24"/>
                <w:lang w:val="es-ES_tradnl"/>
              </w:rPr>
              <w:t>Circular Administrativa</w:t>
            </w:r>
          </w:p>
          <w:p w:rsidR="00E53DCE" w:rsidRPr="0021267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2670">
              <w:rPr>
                <w:b/>
                <w:bCs/>
                <w:szCs w:val="24"/>
                <w:lang w:val="es-ES_tradnl"/>
              </w:rPr>
              <w:t>CA</w:t>
            </w:r>
            <w:r w:rsidR="00600CD5" w:rsidRPr="00212670">
              <w:rPr>
                <w:b/>
                <w:bCs/>
                <w:szCs w:val="24"/>
                <w:lang w:val="es-ES_tradnl"/>
              </w:rPr>
              <w:t>CE</w:t>
            </w:r>
            <w:r w:rsidRPr="00212670">
              <w:rPr>
                <w:b/>
                <w:bCs/>
                <w:szCs w:val="24"/>
                <w:lang w:val="es-ES_tradnl"/>
              </w:rPr>
              <w:t>/</w:t>
            </w:r>
            <w:r w:rsidR="00F7153D" w:rsidRPr="00212670">
              <w:rPr>
                <w:b/>
                <w:bCs/>
                <w:szCs w:val="24"/>
                <w:lang w:val="es-ES_tradnl"/>
              </w:rPr>
              <w:t>837</w:t>
            </w:r>
          </w:p>
        </w:tc>
        <w:tc>
          <w:tcPr>
            <w:tcW w:w="2835" w:type="dxa"/>
            <w:shd w:val="clear" w:color="auto" w:fill="auto"/>
          </w:tcPr>
          <w:p w:rsidR="00E53DCE" w:rsidRPr="00212670" w:rsidRDefault="00F7153D" w:rsidP="003D361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12670">
              <w:rPr>
                <w:bCs/>
                <w:szCs w:val="24"/>
                <w:lang w:val="es-ES_tradnl"/>
              </w:rPr>
              <w:t>27 de octubre de 2017</w:t>
            </w:r>
          </w:p>
        </w:tc>
      </w:tr>
      <w:tr w:rsidR="00E53DCE" w:rsidRPr="002126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2670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1267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267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5E4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2670" w:rsidRDefault="00687A6F" w:rsidP="003D361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12670">
              <w:rPr>
                <w:b/>
                <w:lang w:val="es-ES_tradnl"/>
              </w:rPr>
              <w:t>A las Administraciones de los Estados Miembros de la UIT, a los Miembros del Sector</w:t>
            </w:r>
            <w:r w:rsidR="003D361B" w:rsidRPr="00212670">
              <w:rPr>
                <w:b/>
                <w:lang w:val="es-ES_tradnl"/>
              </w:rPr>
              <w:t xml:space="preserve"> </w:t>
            </w:r>
            <w:r w:rsidRPr="00212670">
              <w:rPr>
                <w:b/>
                <w:lang w:val="es-ES_tradnl"/>
              </w:rPr>
              <w:t>de Radiocomunicaciones, a los Asociados del UIT-R que participan en los trabajos</w:t>
            </w:r>
            <w:r w:rsidR="003D361B" w:rsidRPr="00212670">
              <w:rPr>
                <w:b/>
                <w:lang w:val="es-ES_tradnl"/>
              </w:rPr>
              <w:t xml:space="preserve"> </w:t>
            </w:r>
            <w:r w:rsidRPr="00212670">
              <w:rPr>
                <w:b/>
                <w:lang w:val="es-ES_tradnl"/>
              </w:rPr>
              <w:t xml:space="preserve">de la Comisión de Estudio </w:t>
            </w:r>
            <w:r w:rsidR="004E5D94" w:rsidRPr="00212670">
              <w:rPr>
                <w:b/>
                <w:lang w:val="es-ES_tradnl"/>
              </w:rPr>
              <w:t>6</w:t>
            </w:r>
            <w:r w:rsidRPr="00212670">
              <w:rPr>
                <w:b/>
                <w:lang w:val="es-ES_tradnl"/>
              </w:rPr>
              <w:t xml:space="preserve"> de Radiocomunicaciones</w:t>
            </w:r>
            <w:r w:rsidR="003D361B" w:rsidRPr="00212670">
              <w:rPr>
                <w:b/>
                <w:lang w:val="es-ES_tradnl"/>
              </w:rPr>
              <w:t xml:space="preserve"> </w:t>
            </w:r>
            <w:r w:rsidRPr="00212670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AD5E4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267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5E4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12670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D5E4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2670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12670">
              <w:rPr>
                <w:szCs w:val="24"/>
                <w:lang w:val="es-ES_tradnl"/>
              </w:rPr>
              <w:t>Asunto</w:t>
            </w:r>
            <w:r w:rsidR="00A96D3A" w:rsidRPr="00212670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Pr="00212670" w:rsidRDefault="00463724" w:rsidP="00F7153D">
            <w:pPr>
              <w:tabs>
                <w:tab w:val="left" w:pos="709"/>
              </w:tabs>
              <w:spacing w:before="0"/>
              <w:ind w:left="709" w:hanging="709"/>
              <w:rPr>
                <w:b/>
                <w:szCs w:val="20"/>
                <w:lang w:val="es-ES_tradnl"/>
              </w:rPr>
            </w:pPr>
            <w:r w:rsidRPr="00212670">
              <w:rPr>
                <w:b/>
                <w:lang w:val="es-ES_tradnl"/>
              </w:rPr>
              <w:t xml:space="preserve">Comisión de Estudio </w:t>
            </w:r>
            <w:r w:rsidR="00F7153D" w:rsidRPr="00212670">
              <w:rPr>
                <w:b/>
                <w:lang w:val="es-ES_tradnl"/>
              </w:rPr>
              <w:t>6</w:t>
            </w:r>
            <w:r w:rsidRPr="00212670">
              <w:rPr>
                <w:b/>
                <w:lang w:val="es-ES_tradnl"/>
              </w:rPr>
              <w:t xml:space="preserve"> de Radiocomunicaciones (</w:t>
            </w:r>
            <w:r w:rsidR="00F7153D" w:rsidRPr="00212670">
              <w:rPr>
                <w:b/>
                <w:lang w:val="es-ES_tradnl"/>
              </w:rPr>
              <w:t>Servicio de Radiodifusión</w:t>
            </w:r>
            <w:r w:rsidRPr="00212670">
              <w:rPr>
                <w:b/>
                <w:lang w:val="es-ES_tradnl"/>
              </w:rPr>
              <w:t>)</w:t>
            </w:r>
          </w:p>
          <w:p w:rsidR="00E53DCE" w:rsidRPr="00212670" w:rsidRDefault="00687A6F" w:rsidP="00F7153D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212670">
              <w:rPr>
                <w:b/>
                <w:bCs/>
                <w:lang w:val="es-ES_tradnl"/>
              </w:rPr>
              <w:t>–</w:t>
            </w:r>
            <w:r w:rsidRPr="00212670">
              <w:rPr>
                <w:b/>
                <w:bCs/>
                <w:lang w:val="es-ES_tradnl"/>
              </w:rPr>
              <w:tab/>
            </w:r>
            <w:r w:rsidR="00463724" w:rsidRPr="00212670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F7153D" w:rsidRPr="00212670">
              <w:rPr>
                <w:b/>
                <w:bCs/>
                <w:lang w:val="es-ES_tradnl"/>
              </w:rPr>
              <w:t>1</w:t>
            </w:r>
            <w:r w:rsidR="00463724" w:rsidRPr="00212670">
              <w:rPr>
                <w:b/>
                <w:bCs/>
                <w:lang w:val="es-ES_tradnl"/>
              </w:rPr>
              <w:t xml:space="preserve"> proyecto de </w:t>
            </w:r>
            <w:r w:rsidR="00463724" w:rsidRPr="00212670">
              <w:rPr>
                <w:b/>
                <w:lang w:val="es-ES_tradnl"/>
              </w:rPr>
              <w:t xml:space="preserve">Recomendación </w:t>
            </w:r>
            <w:r w:rsidR="00F7153D" w:rsidRPr="00212670">
              <w:rPr>
                <w:b/>
                <w:lang w:val="es-ES_tradnl"/>
              </w:rPr>
              <w:t xml:space="preserve">UIT-R </w:t>
            </w:r>
            <w:r w:rsidR="00463724" w:rsidRPr="00212670">
              <w:rPr>
                <w:b/>
                <w:lang w:val="es-ES_tradnl"/>
              </w:rPr>
              <w:t>revisada</w:t>
            </w:r>
          </w:p>
        </w:tc>
      </w:tr>
      <w:tr w:rsidR="00E53DCE" w:rsidRPr="00AD5E4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267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1267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D5E4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1267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1267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AD5E4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212670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212670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AD5E4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212670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212670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Pr="00212670" w:rsidRDefault="00463724" w:rsidP="003B0D32">
      <w:pPr>
        <w:spacing w:before="720"/>
        <w:rPr>
          <w:szCs w:val="20"/>
          <w:lang w:val="es-ES_tradnl"/>
        </w:rPr>
      </w:pPr>
      <w:r w:rsidRPr="00212670">
        <w:rPr>
          <w:lang w:val="es-ES_tradnl"/>
        </w:rPr>
        <w:t xml:space="preserve">En la reunión de la Comisión de Estudio </w:t>
      </w:r>
      <w:r w:rsidR="00F7153D" w:rsidRPr="00212670">
        <w:rPr>
          <w:lang w:val="es-ES_tradnl"/>
        </w:rPr>
        <w:t>6</w:t>
      </w:r>
      <w:r w:rsidRPr="00212670">
        <w:rPr>
          <w:lang w:val="es-ES_tradnl"/>
        </w:rPr>
        <w:t xml:space="preserve"> de Radiocomunicaciones celebrada el </w:t>
      </w:r>
      <w:r w:rsidR="00F7153D" w:rsidRPr="00212670">
        <w:rPr>
          <w:lang w:val="es-ES_tradnl"/>
        </w:rPr>
        <w:t>13</w:t>
      </w:r>
      <w:r w:rsidRPr="00212670">
        <w:rPr>
          <w:lang w:val="es-ES_tradnl"/>
        </w:rPr>
        <w:t xml:space="preserve"> </w:t>
      </w:r>
      <w:r w:rsidR="00F7153D" w:rsidRPr="00212670">
        <w:rPr>
          <w:lang w:val="es-ES_tradnl"/>
        </w:rPr>
        <w:t xml:space="preserve">de octubre de </w:t>
      </w:r>
      <w:r w:rsidRPr="00212670">
        <w:rPr>
          <w:lang w:val="es-ES_tradnl"/>
        </w:rPr>
        <w:t>201</w:t>
      </w:r>
      <w:r w:rsidR="00F7153D" w:rsidRPr="00212670">
        <w:rPr>
          <w:lang w:val="es-ES_tradnl"/>
        </w:rPr>
        <w:t>7</w:t>
      </w:r>
      <w:r w:rsidRPr="00212670">
        <w:rPr>
          <w:lang w:val="es-ES_tradnl"/>
        </w:rPr>
        <w:t xml:space="preserve">, la Comisión de Estudio decidió solicitar la adopción de </w:t>
      </w:r>
      <w:r w:rsidR="00F7153D" w:rsidRPr="00212670">
        <w:rPr>
          <w:lang w:val="es-ES_tradnl"/>
        </w:rPr>
        <w:t>1</w:t>
      </w:r>
      <w:r w:rsidRPr="00212670">
        <w:rPr>
          <w:lang w:val="es-ES_tradnl"/>
        </w:rPr>
        <w:t xml:space="preserve"> proyecto</w:t>
      </w:r>
      <w:r w:rsidR="00F7153D" w:rsidRPr="00212670">
        <w:rPr>
          <w:lang w:val="es-ES_tradnl"/>
        </w:rPr>
        <w:t xml:space="preserve"> </w:t>
      </w:r>
      <w:r w:rsidRPr="00212670">
        <w:rPr>
          <w:lang w:val="es-ES_tradnl"/>
        </w:rPr>
        <w:t>de Recomendación revisada de conformidad con el § A2.6.2.2.3 de la Resolución UIT</w:t>
      </w:r>
      <w:r w:rsidRPr="00212670">
        <w:rPr>
          <w:lang w:val="es-ES_tradnl"/>
        </w:rPr>
        <w:noBreakHyphen/>
        <w:t>R 1</w:t>
      </w:r>
      <w:r w:rsidRPr="00212670">
        <w:rPr>
          <w:lang w:val="es-ES_tradnl"/>
        </w:rPr>
        <w:noBreakHyphen/>
        <w:t xml:space="preserve">7 (Adopción por una Comisión de Estudio por correspondencia). </w:t>
      </w:r>
      <w:r w:rsidR="00F7153D" w:rsidRPr="00212670">
        <w:rPr>
          <w:lang w:val="es-ES_tradnl"/>
        </w:rPr>
        <w:t xml:space="preserve">El </w:t>
      </w:r>
      <w:r w:rsidRPr="00212670">
        <w:rPr>
          <w:lang w:val="es-ES_tradnl"/>
        </w:rPr>
        <w:t>título y el resumen</w:t>
      </w:r>
      <w:r w:rsidR="00F7153D" w:rsidRPr="00212670">
        <w:rPr>
          <w:lang w:val="es-ES_tradnl"/>
        </w:rPr>
        <w:t xml:space="preserve"> </w:t>
      </w:r>
      <w:r w:rsidRPr="00212670">
        <w:rPr>
          <w:lang w:val="es-ES_tradnl"/>
        </w:rPr>
        <w:t>del proyecto de Recomend</w:t>
      </w:r>
      <w:r w:rsidR="003B0D32">
        <w:rPr>
          <w:lang w:val="es-ES_tradnl"/>
        </w:rPr>
        <w:t>ación se facilitan en el Anexo</w:t>
      </w:r>
      <w:r w:rsidR="00F7153D" w:rsidRPr="00212670">
        <w:rPr>
          <w:lang w:val="es-ES_tradnl"/>
        </w:rPr>
        <w:t xml:space="preserve"> a la </w:t>
      </w:r>
      <w:r w:rsidR="003B0D32">
        <w:rPr>
          <w:lang w:val="es-ES_tradnl"/>
        </w:rPr>
        <w:t>carta</w:t>
      </w:r>
      <w:r w:rsidR="00B15E73" w:rsidRPr="00212670">
        <w:rPr>
          <w:lang w:val="es-ES_tradnl"/>
        </w:rPr>
        <w:t>.</w:t>
      </w:r>
    </w:p>
    <w:p w:rsidR="00463724" w:rsidRPr="00212670" w:rsidRDefault="00463724" w:rsidP="00F7153D">
      <w:pPr>
        <w:rPr>
          <w:lang w:val="es-ES_tradnl"/>
        </w:rPr>
      </w:pPr>
      <w:r w:rsidRPr="00212670">
        <w:rPr>
          <w:lang w:val="es-ES_tradnl"/>
        </w:rPr>
        <w:t xml:space="preserve">El periodo de consideración será de 2 meses hasta el </w:t>
      </w:r>
      <w:r w:rsidR="00F7153D" w:rsidRPr="00212670">
        <w:rPr>
          <w:u w:val="single"/>
          <w:lang w:val="es-ES_tradnl"/>
        </w:rPr>
        <w:t>27 de diciembre de 2017</w:t>
      </w:r>
      <w:r w:rsidRPr="00212670">
        <w:rPr>
          <w:lang w:val="es-ES_tradnl"/>
        </w:rPr>
        <w:t>. Si durante este periodo no se reciben objeciones de los Estados Miembros, se iniciará el procedimiento de aprobación por consulta indicado en el § A2.6.2.3 de la Resolución UIT</w:t>
      </w:r>
      <w:r w:rsidRPr="00212670">
        <w:rPr>
          <w:lang w:val="es-ES_tradnl"/>
        </w:rPr>
        <w:noBreakHyphen/>
        <w:t>R 1-7.</w:t>
      </w:r>
    </w:p>
    <w:p w:rsidR="00463724" w:rsidRPr="00212670" w:rsidRDefault="00463724" w:rsidP="00F7153D">
      <w:pPr>
        <w:rPr>
          <w:lang w:val="es-ES_tradnl"/>
        </w:rPr>
      </w:pPr>
      <w:r w:rsidRPr="00212670">
        <w:rPr>
          <w:lang w:val="es-ES_tradnl"/>
        </w:rPr>
        <w:t>Todo Estado Miembro que objete la adopción del proyecto de Recomendación debe informar al Director y al Presidente de la Comisión de Estudio de los motivos de dicha objeción.</w:t>
      </w:r>
    </w:p>
    <w:p w:rsidR="00E97326" w:rsidRPr="00212670" w:rsidRDefault="00E97326" w:rsidP="00021DE9">
      <w:pPr>
        <w:rPr>
          <w:lang w:val="es-ES_tradnl"/>
        </w:rPr>
      </w:pPr>
      <w:r w:rsidRPr="00212670">
        <w:rPr>
          <w:lang w:val="es-ES_tradnl"/>
        </w:rPr>
        <w:br w:type="page"/>
      </w:r>
    </w:p>
    <w:p w:rsidR="00463724" w:rsidRPr="00AD5E40" w:rsidRDefault="00463724" w:rsidP="00AD5E40">
      <w:pPr>
        <w:rPr>
          <w:lang w:val="es-ES_tradnl"/>
        </w:rPr>
      </w:pPr>
      <w:r w:rsidRPr="00212670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de Recomendaci</w:t>
      </w:r>
      <w:r w:rsidR="00F7153D" w:rsidRPr="00212670">
        <w:rPr>
          <w:lang w:val="es-ES_tradnl"/>
        </w:rPr>
        <w:t>ón</w:t>
      </w:r>
      <w:r w:rsidRPr="00212670">
        <w:rPr>
          <w:lang w:val="es-ES_tradnl"/>
        </w:rPr>
        <w:t xml:space="preserve"> mencionad</w:t>
      </w:r>
      <w:r w:rsidR="00F7153D" w:rsidRPr="00212670">
        <w:rPr>
          <w:lang w:val="es-ES_tradnl"/>
        </w:rPr>
        <w:t>o</w:t>
      </w:r>
      <w:r w:rsidRPr="00212670">
        <w:rPr>
          <w:lang w:val="es-ES_tradnl"/>
        </w:rPr>
        <w:t xml:space="preserve"> en </w:t>
      </w:r>
      <w:r w:rsidR="00F7153D" w:rsidRPr="00212670">
        <w:rPr>
          <w:lang w:val="es-ES_tradnl"/>
        </w:rPr>
        <w:t xml:space="preserve">la presente </w:t>
      </w:r>
      <w:r w:rsidRPr="00212670">
        <w:rPr>
          <w:lang w:val="es-ES_tradnl"/>
        </w:rPr>
        <w:t xml:space="preserve">carta, que comunique dicha información a la Secretaría tan pronto como sea posible. La Política común en materia de patentes para UIT-T/UIT-R/ISO/CEI puede consultarse en </w:t>
      </w:r>
      <w:hyperlink r:id="rId8" w:history="1">
        <w:r w:rsidR="00AD5E40" w:rsidRPr="00AD5E40">
          <w:rPr>
            <w:rStyle w:val="Hyperlink"/>
            <w:lang w:val="es-ES_tradnl"/>
          </w:rPr>
          <w:t>http://www.itu.int/en/ITU-T/ipr/Pages/policy.aspx</w:t>
        </w:r>
      </w:hyperlink>
      <w:r w:rsidR="00AD5E40" w:rsidRPr="00AD5E40">
        <w:rPr>
          <w:rStyle w:val="Hyperlink"/>
          <w:u w:val="none"/>
          <w:lang w:val="es-ES_tradnl"/>
        </w:rPr>
        <w:t>.</w:t>
      </w:r>
    </w:p>
    <w:p w:rsidR="00463724" w:rsidRPr="00212670" w:rsidRDefault="00463724" w:rsidP="00021DE9">
      <w:pPr>
        <w:spacing w:before="1680"/>
        <w:jc w:val="left"/>
        <w:rPr>
          <w:lang w:val="es-ES_tradnl"/>
        </w:rPr>
      </w:pPr>
      <w:r w:rsidRPr="00212670">
        <w:rPr>
          <w:lang w:val="es-ES_tradnl"/>
        </w:rPr>
        <w:t>François Rancy</w:t>
      </w:r>
      <w:r w:rsidR="00034324" w:rsidRPr="00212670">
        <w:rPr>
          <w:lang w:val="es-ES_tradnl"/>
        </w:rPr>
        <w:br/>
      </w:r>
      <w:r w:rsidRPr="00212670">
        <w:rPr>
          <w:lang w:val="es-ES_tradnl"/>
        </w:rPr>
        <w:t>Director</w:t>
      </w:r>
    </w:p>
    <w:p w:rsidR="00463724" w:rsidRPr="00212670" w:rsidRDefault="00463724" w:rsidP="00D530AB">
      <w:pPr>
        <w:tabs>
          <w:tab w:val="clear" w:pos="794"/>
          <w:tab w:val="clear" w:pos="1191"/>
          <w:tab w:val="left" w:pos="1843"/>
        </w:tabs>
        <w:spacing w:before="1560"/>
        <w:rPr>
          <w:lang w:val="es-ES_tradnl"/>
        </w:rPr>
      </w:pPr>
      <w:r w:rsidRPr="00212670">
        <w:rPr>
          <w:b/>
          <w:bCs/>
          <w:lang w:val="es-ES_tradnl"/>
        </w:rPr>
        <w:t>Anexo:</w:t>
      </w:r>
      <w:r w:rsidRPr="00212670">
        <w:rPr>
          <w:b/>
          <w:bCs/>
          <w:lang w:val="es-ES_tradnl"/>
        </w:rPr>
        <w:tab/>
      </w:r>
      <w:r w:rsidRPr="00212670">
        <w:rPr>
          <w:lang w:val="es-ES_tradnl"/>
        </w:rPr>
        <w:t>Título</w:t>
      </w:r>
      <w:r w:rsidR="00F7153D" w:rsidRPr="00212670">
        <w:rPr>
          <w:lang w:val="es-ES_tradnl"/>
        </w:rPr>
        <w:t xml:space="preserve"> </w:t>
      </w:r>
      <w:r w:rsidRPr="00212670">
        <w:rPr>
          <w:lang w:val="es-ES_tradnl"/>
        </w:rPr>
        <w:t>y resumen</w:t>
      </w:r>
      <w:r w:rsidR="00F7153D" w:rsidRPr="00212670">
        <w:rPr>
          <w:lang w:val="es-ES_tradnl"/>
        </w:rPr>
        <w:t xml:space="preserve"> </w:t>
      </w:r>
      <w:r w:rsidRPr="00212670">
        <w:rPr>
          <w:lang w:val="es-ES_tradnl"/>
        </w:rPr>
        <w:t>del proyecto de Recomendación</w:t>
      </w:r>
    </w:p>
    <w:p w:rsidR="00463724" w:rsidRPr="00212670" w:rsidRDefault="00463724" w:rsidP="00E97326">
      <w:pPr>
        <w:spacing w:before="360"/>
        <w:rPr>
          <w:lang w:val="es-ES_tradnl"/>
        </w:rPr>
      </w:pPr>
      <w:r w:rsidRPr="00212670">
        <w:rPr>
          <w:b/>
          <w:bCs/>
          <w:lang w:val="es-ES_tradnl"/>
        </w:rPr>
        <w:t>Documento:</w:t>
      </w:r>
      <w:r w:rsidR="00C209EE" w:rsidRPr="00212670">
        <w:rPr>
          <w:b/>
          <w:bCs/>
          <w:lang w:val="es-ES_tradnl"/>
        </w:rPr>
        <w:tab/>
      </w:r>
      <w:r w:rsidR="00034324" w:rsidRPr="00212670">
        <w:rPr>
          <w:lang w:val="es-ES_tradnl"/>
        </w:rPr>
        <w:t xml:space="preserve">Documento </w:t>
      </w:r>
      <w:r w:rsidR="00F7153D" w:rsidRPr="00212670">
        <w:rPr>
          <w:lang w:val="es-ES_tradnl"/>
        </w:rPr>
        <w:t>6/178(Rev.1)</w:t>
      </w:r>
    </w:p>
    <w:p w:rsidR="00F7153D" w:rsidRPr="00212670" w:rsidRDefault="00E97326" w:rsidP="00AD5E40">
      <w:pPr>
        <w:tabs>
          <w:tab w:val="clear" w:pos="1588"/>
          <w:tab w:val="left" w:pos="2552"/>
        </w:tabs>
        <w:spacing w:before="240"/>
        <w:jc w:val="left"/>
        <w:rPr>
          <w:lang w:val="es-ES_tradnl"/>
        </w:rPr>
      </w:pPr>
      <w:r w:rsidRPr="00212670">
        <w:rPr>
          <w:lang w:val="es-ES_tradnl"/>
        </w:rPr>
        <w:t>Este documento está disponible en formato electrónico en la dirección</w:t>
      </w:r>
      <w:r w:rsidR="00F7153D" w:rsidRPr="00212670">
        <w:rPr>
          <w:lang w:val="es-ES_tradnl"/>
        </w:rPr>
        <w:t xml:space="preserve">: </w:t>
      </w:r>
      <w:hyperlink r:id="rId9" w:history="1">
        <w:r w:rsidR="003B0D32" w:rsidRPr="00C63AB8">
          <w:rPr>
            <w:rStyle w:val="Hyperlink"/>
            <w:color w:val="auto"/>
            <w:lang w:val="es-ES_tradnl"/>
          </w:rPr>
          <w:t>h</w:t>
        </w:r>
        <w:hyperlink r:id="rId10" w:history="1">
          <w:r w:rsidR="00AD5E40" w:rsidRPr="00AD5E40">
            <w:rPr>
              <w:rStyle w:val="Hyperlink"/>
              <w:lang w:val="es-ES_tradnl"/>
            </w:rPr>
            <w:t>https://www.itu.int/md/R15-SG06-C/en</w:t>
          </w:r>
        </w:hyperlink>
        <w:r w:rsidR="00AD5E40" w:rsidRPr="00AD5E40">
          <w:rPr>
            <w:lang w:val="es-ES_tradnl"/>
          </w:rPr>
          <w:t xml:space="preserve"> </w:t>
        </w:r>
      </w:hyperlink>
      <w:bookmarkStart w:id="0" w:name="_GoBack"/>
      <w:bookmarkEnd w:id="0"/>
    </w:p>
    <w:p w:rsidR="00034324" w:rsidRPr="00212670" w:rsidRDefault="00034324" w:rsidP="00C63AB8">
      <w:pPr>
        <w:spacing w:before="1600"/>
        <w:rPr>
          <w:b/>
          <w:bCs/>
          <w:sz w:val="18"/>
          <w:szCs w:val="18"/>
          <w:lang w:val="es-ES_tradnl"/>
        </w:rPr>
      </w:pPr>
      <w:r w:rsidRPr="00212670">
        <w:rPr>
          <w:b/>
          <w:bCs/>
          <w:sz w:val="18"/>
          <w:szCs w:val="18"/>
          <w:lang w:val="es-ES_tradnl"/>
        </w:rPr>
        <w:t>Distribución:</w:t>
      </w:r>
    </w:p>
    <w:p w:rsidR="00034324" w:rsidRPr="00212670" w:rsidRDefault="00034324" w:rsidP="00D530AB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D530AB" w:rsidRPr="00212670">
        <w:rPr>
          <w:sz w:val="18"/>
          <w:szCs w:val="18"/>
          <w:lang w:val="es-ES_tradnl"/>
        </w:rPr>
        <w:t>6</w:t>
      </w:r>
      <w:r w:rsidRPr="00212670">
        <w:rPr>
          <w:sz w:val="18"/>
          <w:szCs w:val="18"/>
          <w:lang w:val="es-ES_tradnl"/>
        </w:rPr>
        <w:t xml:space="preserve"> de </w:t>
      </w:r>
      <w:r w:rsidRPr="00212670">
        <w:rPr>
          <w:bCs/>
          <w:sz w:val="18"/>
          <w:szCs w:val="18"/>
          <w:lang w:val="es-ES_tradnl"/>
        </w:rPr>
        <w:t>Radiocomunicaciones</w:t>
      </w:r>
    </w:p>
    <w:p w:rsidR="00034324" w:rsidRPr="00212670" w:rsidRDefault="00034324" w:rsidP="00D530AB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D530AB" w:rsidRPr="00212670">
        <w:rPr>
          <w:sz w:val="18"/>
          <w:szCs w:val="18"/>
          <w:lang w:val="es-ES_tradnl"/>
        </w:rPr>
        <w:t>6</w:t>
      </w:r>
      <w:r w:rsidRPr="00212670">
        <w:rPr>
          <w:sz w:val="18"/>
          <w:szCs w:val="18"/>
          <w:lang w:val="es-ES_tradnl"/>
        </w:rPr>
        <w:t xml:space="preserve"> de </w:t>
      </w:r>
      <w:r w:rsidRPr="00212670">
        <w:rPr>
          <w:bCs/>
          <w:sz w:val="18"/>
          <w:szCs w:val="18"/>
          <w:lang w:val="es-ES_tradnl"/>
        </w:rPr>
        <w:t>Radiocomunicaciones</w:t>
      </w:r>
    </w:p>
    <w:p w:rsidR="00034324" w:rsidRPr="00212670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</w:r>
      <w:r w:rsidRPr="00212670">
        <w:rPr>
          <w:bCs/>
          <w:sz w:val="18"/>
          <w:szCs w:val="18"/>
          <w:lang w:val="es-ES_tradnl"/>
        </w:rPr>
        <w:t>Instituciones Académicas de la UIT</w:t>
      </w:r>
    </w:p>
    <w:p w:rsidR="00034324" w:rsidRPr="00212670" w:rsidRDefault="00034324" w:rsidP="00D0589D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  <w:t>Presidentes y Vicepresidentes de las Comisiones de</w:t>
      </w:r>
      <w:r w:rsidR="00D0589D" w:rsidRPr="00212670">
        <w:rPr>
          <w:sz w:val="18"/>
          <w:szCs w:val="18"/>
          <w:lang w:val="es-ES_tradnl"/>
        </w:rPr>
        <w:t xml:space="preserve"> Estudio de Radiocomunicaciones</w:t>
      </w:r>
    </w:p>
    <w:p w:rsidR="00034324" w:rsidRPr="00212670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034324" w:rsidRPr="00212670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  <w:t>Miembros de la Junta del Reglamento de Radiocomunicaciones</w:t>
      </w:r>
    </w:p>
    <w:p w:rsidR="00D0589D" w:rsidRPr="00212670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_tradnl"/>
        </w:rPr>
      </w:pPr>
      <w:r w:rsidRPr="00212670">
        <w:rPr>
          <w:sz w:val="18"/>
          <w:szCs w:val="18"/>
          <w:lang w:val="es-ES_tradnl"/>
        </w:rPr>
        <w:t>–</w:t>
      </w:r>
      <w:r w:rsidRPr="00212670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034324" w:rsidRPr="00212670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212670">
        <w:rPr>
          <w:lang w:val="es-ES_tradnl"/>
        </w:rPr>
        <w:br w:type="page"/>
      </w:r>
    </w:p>
    <w:p w:rsidR="00463724" w:rsidRPr="00212670" w:rsidRDefault="000E125C" w:rsidP="003B0D32">
      <w:pPr>
        <w:pStyle w:val="AnnexNotitle0"/>
        <w:rPr>
          <w:rFonts w:asciiTheme="minorHAnsi" w:hAnsiTheme="minorHAnsi" w:cstheme="minorHAnsi"/>
        </w:rPr>
      </w:pPr>
      <w:r w:rsidRPr="00212670">
        <w:rPr>
          <w:rFonts w:asciiTheme="minorHAnsi" w:hAnsiTheme="minorHAnsi" w:cstheme="minorHAnsi"/>
        </w:rPr>
        <w:lastRenderedPageBreak/>
        <w:t>Anexo</w:t>
      </w:r>
      <w:r w:rsidR="001C380E" w:rsidRPr="00212670">
        <w:rPr>
          <w:rFonts w:asciiTheme="minorHAnsi" w:hAnsiTheme="minorHAnsi" w:cstheme="minorHAnsi"/>
        </w:rPr>
        <w:br/>
      </w:r>
      <w:r w:rsidR="001C380E" w:rsidRPr="00212670">
        <w:rPr>
          <w:rFonts w:asciiTheme="minorHAnsi" w:hAnsiTheme="minorHAnsi" w:cstheme="minorHAnsi"/>
        </w:rPr>
        <w:br/>
      </w:r>
      <w:r w:rsidR="00463724" w:rsidRPr="00212670">
        <w:rPr>
          <w:rFonts w:asciiTheme="minorHAnsi" w:hAnsiTheme="minorHAnsi" w:cstheme="minorHAnsi"/>
        </w:rPr>
        <w:t>Título y resumen del proyecto de Recomendación</w:t>
      </w:r>
    </w:p>
    <w:p w:rsidR="00463724" w:rsidRPr="00212670" w:rsidRDefault="00463724" w:rsidP="00E97326">
      <w:pPr>
        <w:tabs>
          <w:tab w:val="clear" w:pos="794"/>
          <w:tab w:val="clear" w:pos="1191"/>
          <w:tab w:val="clear" w:pos="1588"/>
          <w:tab w:val="clear" w:pos="1985"/>
          <w:tab w:val="left" w:pos="6946"/>
          <w:tab w:val="right" w:pos="9639"/>
        </w:tabs>
        <w:overflowPunct/>
        <w:autoSpaceDE/>
        <w:autoSpaceDN/>
        <w:adjustRightInd/>
        <w:spacing w:before="360" w:after="160" w:line="259" w:lineRule="auto"/>
        <w:jc w:val="left"/>
        <w:textAlignment w:val="auto"/>
        <w:rPr>
          <w:rFonts w:asciiTheme="minorHAnsi" w:hAnsiTheme="minorHAnsi" w:cstheme="minorHAnsi"/>
          <w:lang w:val="es-ES_tradnl"/>
        </w:rPr>
      </w:pPr>
      <w:r w:rsidRPr="00212670">
        <w:rPr>
          <w:rFonts w:asciiTheme="minorHAnsi" w:hAnsiTheme="minorHAnsi" w:cstheme="minorHAnsi"/>
          <w:u w:val="single"/>
          <w:lang w:val="es-ES_tradnl"/>
        </w:rPr>
        <w:t>Proyecto de revisión de la Rec</w:t>
      </w:r>
      <w:r w:rsidR="00D530AB" w:rsidRPr="00212670">
        <w:rPr>
          <w:rFonts w:asciiTheme="minorHAnsi" w:hAnsiTheme="minorHAnsi" w:cstheme="minorHAnsi"/>
          <w:u w:val="single"/>
          <w:lang w:val="es-ES_tradnl"/>
        </w:rPr>
        <w:t>omendación</w:t>
      </w:r>
      <w:r w:rsidRPr="00212670">
        <w:rPr>
          <w:rFonts w:asciiTheme="minorHAnsi" w:hAnsiTheme="minorHAnsi" w:cstheme="minorHAnsi"/>
          <w:u w:val="single"/>
          <w:lang w:val="es-ES_tradnl"/>
        </w:rPr>
        <w:t xml:space="preserve"> UIT-R </w:t>
      </w:r>
      <w:r w:rsidR="00F7153D" w:rsidRPr="00212670">
        <w:rPr>
          <w:rFonts w:asciiTheme="minorHAnsi" w:hAnsiTheme="minorHAnsi" w:cstheme="minorHAnsi"/>
          <w:u w:val="single"/>
          <w:lang w:val="es-ES_tradnl"/>
        </w:rPr>
        <w:t>BT.2036-1</w:t>
      </w:r>
      <w:r w:rsidR="00D530AB" w:rsidRPr="00212670">
        <w:rPr>
          <w:rFonts w:asciiTheme="minorHAnsi" w:hAnsiTheme="minorHAnsi" w:cstheme="minorHAnsi"/>
          <w:lang w:val="es-ES_tradnl"/>
        </w:rPr>
        <w:tab/>
      </w:r>
      <w:r w:rsidR="00E97326" w:rsidRPr="00212670">
        <w:rPr>
          <w:rFonts w:asciiTheme="minorHAnsi" w:hAnsiTheme="minorHAnsi" w:cstheme="minorHAnsi"/>
          <w:lang w:val="es-ES_tradnl"/>
        </w:rPr>
        <w:tab/>
      </w:r>
      <w:r w:rsidR="00C209EE" w:rsidRPr="00212670">
        <w:rPr>
          <w:rFonts w:eastAsia="SimSun"/>
          <w:szCs w:val="24"/>
          <w:lang w:val="es-ES_tradnl" w:eastAsia="zh-CN"/>
        </w:rPr>
        <w:t xml:space="preserve">Doc. </w:t>
      </w:r>
      <w:r w:rsidR="00F7153D" w:rsidRPr="00212670">
        <w:rPr>
          <w:rFonts w:asciiTheme="minorHAnsi" w:hAnsiTheme="minorHAnsi" w:cstheme="minorHAnsi"/>
          <w:lang w:val="es-ES_tradnl"/>
        </w:rPr>
        <w:t>6</w:t>
      </w:r>
      <w:r w:rsidRPr="00212670">
        <w:rPr>
          <w:rFonts w:asciiTheme="minorHAnsi" w:hAnsiTheme="minorHAnsi" w:cstheme="minorHAnsi"/>
          <w:lang w:val="es-ES_tradnl"/>
        </w:rPr>
        <w:t>/</w:t>
      </w:r>
      <w:r w:rsidR="00F7153D" w:rsidRPr="00212670">
        <w:rPr>
          <w:rFonts w:asciiTheme="minorHAnsi" w:hAnsiTheme="minorHAnsi" w:cstheme="minorHAnsi"/>
          <w:lang w:val="es-ES_tradnl"/>
        </w:rPr>
        <w:t>178</w:t>
      </w:r>
      <w:r w:rsidRPr="00212670">
        <w:rPr>
          <w:rFonts w:asciiTheme="minorHAnsi" w:hAnsiTheme="minorHAnsi" w:cstheme="minorHAnsi"/>
          <w:lang w:val="es-ES_tradnl"/>
        </w:rPr>
        <w:t>(Rev.1)</w:t>
      </w:r>
    </w:p>
    <w:p w:rsidR="00463724" w:rsidRPr="00212670" w:rsidRDefault="003D3F1F" w:rsidP="00D530AB">
      <w:pPr>
        <w:pStyle w:val="Rectitle"/>
        <w:rPr>
          <w:lang w:val="es-ES_tradnl"/>
        </w:rPr>
      </w:pPr>
      <w:r w:rsidRPr="00212670">
        <w:rPr>
          <w:lang w:val="es-ES_tradnl"/>
        </w:rPr>
        <w:t xml:space="preserve">Características de un sistema receptor de referencia para la planificación </w:t>
      </w:r>
      <w:r w:rsidR="00D530AB" w:rsidRPr="00212670">
        <w:rPr>
          <w:lang w:val="es-ES_tradnl"/>
        </w:rPr>
        <w:br/>
      </w:r>
      <w:r w:rsidRPr="00212670">
        <w:rPr>
          <w:lang w:val="es-ES_tradnl"/>
        </w:rPr>
        <w:t>de frecuencias de sistemas de televisión digital terrenal</w:t>
      </w:r>
    </w:p>
    <w:p w:rsidR="00463724" w:rsidRPr="00212670" w:rsidRDefault="003D3F1F" w:rsidP="00AD0626">
      <w:pPr>
        <w:rPr>
          <w:lang w:val="es-ES_tradnl" w:eastAsia="ja-JP"/>
        </w:rPr>
      </w:pPr>
      <w:r w:rsidRPr="00212670">
        <w:rPr>
          <w:lang w:val="es-ES_tradnl" w:eastAsia="ja-JP"/>
        </w:rPr>
        <w:t xml:space="preserve">En la presente revisión se corrige la utilización del término </w:t>
      </w:r>
      <w:r w:rsidR="00D530AB" w:rsidRPr="00212670">
        <w:rPr>
          <w:lang w:val="es-ES_tradnl" w:eastAsia="ja-JP"/>
        </w:rPr>
        <w:t>«</w:t>
      </w:r>
      <w:r w:rsidRPr="00212670">
        <w:rPr>
          <w:lang w:val="es-ES_tradnl" w:eastAsia="ja-JP"/>
        </w:rPr>
        <w:t>selectividad del canal adyacente</w:t>
      </w:r>
      <w:r w:rsidR="00D530AB" w:rsidRPr="00212670">
        <w:rPr>
          <w:lang w:val="es-ES_tradnl" w:eastAsia="ja-JP"/>
        </w:rPr>
        <w:t>»</w:t>
      </w:r>
      <w:r w:rsidRPr="00212670">
        <w:rPr>
          <w:lang w:val="es-ES_tradnl" w:eastAsia="ja-JP"/>
        </w:rPr>
        <w:t xml:space="preserve"> para que sea una relación entre los niveles </w:t>
      </w:r>
      <w:r w:rsidR="00D530AB" w:rsidRPr="00212670">
        <w:rPr>
          <w:lang w:val="es-ES_tradnl" w:eastAsia="ja-JP"/>
        </w:rPr>
        <w:t>de señal, en lugar de un valor «</w:t>
      </w:r>
      <w:r w:rsidRPr="00212670">
        <w:rPr>
          <w:lang w:val="es-ES_tradnl" w:eastAsia="ja-JP"/>
        </w:rPr>
        <w:t>umbral</w:t>
      </w:r>
      <w:r w:rsidR="00D530AB" w:rsidRPr="00212670">
        <w:rPr>
          <w:lang w:val="es-ES_tradnl" w:eastAsia="ja-JP"/>
        </w:rPr>
        <w:t>»</w:t>
      </w:r>
      <w:r w:rsidRPr="00212670">
        <w:rPr>
          <w:lang w:val="es-ES_tradnl" w:eastAsia="ja-JP"/>
        </w:rPr>
        <w:t xml:space="preserve"> absoluto; además, se añade la definición y la metodología utilizada para calcular la </w:t>
      </w:r>
      <w:r w:rsidR="00AD0626" w:rsidRPr="00212670">
        <w:rPr>
          <w:lang w:val="es-ES_tradnl" w:eastAsia="ja-JP"/>
        </w:rPr>
        <w:t>selectividad d</w:t>
      </w:r>
      <w:r w:rsidR="009737B9" w:rsidRPr="00212670">
        <w:rPr>
          <w:lang w:val="es-ES_tradnl" w:eastAsia="ja-JP"/>
        </w:rPr>
        <w:t>e</w:t>
      </w:r>
      <w:r w:rsidRPr="00212670">
        <w:rPr>
          <w:lang w:val="es-ES_tradnl" w:eastAsia="ja-JP"/>
        </w:rPr>
        <w:t>l canal adyacente</w:t>
      </w:r>
      <w:r w:rsidR="00D530AB" w:rsidRPr="00212670">
        <w:rPr>
          <w:lang w:val="es-ES_tradnl" w:eastAsia="ja-JP"/>
        </w:rPr>
        <w:t>.</w:t>
      </w:r>
    </w:p>
    <w:p w:rsidR="00D33221" w:rsidRPr="00212670" w:rsidRDefault="00D33221" w:rsidP="00D33221">
      <w:pPr>
        <w:jc w:val="left"/>
        <w:rPr>
          <w:lang w:val="es-ES_tradnl"/>
        </w:rPr>
      </w:pPr>
    </w:p>
    <w:p w:rsidR="00D33221" w:rsidRPr="00212670" w:rsidRDefault="00D33221" w:rsidP="00D33221">
      <w:pPr>
        <w:jc w:val="center"/>
        <w:rPr>
          <w:lang w:val="es-ES_tradnl"/>
        </w:rPr>
      </w:pPr>
      <w:r w:rsidRPr="00212670">
        <w:rPr>
          <w:lang w:val="es-ES_tradnl"/>
        </w:rPr>
        <w:t>______________</w:t>
      </w:r>
    </w:p>
    <w:p w:rsidR="00D33221" w:rsidRPr="00212670" w:rsidRDefault="00D33221" w:rsidP="00D33221">
      <w:pPr>
        <w:pStyle w:val="Normalaftertitle"/>
        <w:rPr>
          <w:lang w:val="es-ES_tradnl"/>
        </w:rPr>
      </w:pPr>
    </w:p>
    <w:sectPr w:rsidR="00D33221" w:rsidRPr="00212670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26" w:rsidRPr="00FA249A" w:rsidRDefault="00E97326" w:rsidP="00E9732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A249A">
      <w:rPr>
        <w:sz w:val="18"/>
        <w:szCs w:val="18"/>
        <w:lang w:val="es-ES_tradnl"/>
      </w:rPr>
      <w:t>Unión Internacional de Telecomunicaciones • Place des Nations • CH</w:t>
    </w:r>
    <w:r w:rsidRPr="00FA249A">
      <w:rPr>
        <w:sz w:val="18"/>
        <w:szCs w:val="18"/>
        <w:lang w:val="es-ES_tradnl"/>
      </w:rPr>
      <w:noBreakHyphen/>
      <w:t>1211 Ginebra 20 • Suiza</w:t>
    </w:r>
    <w:r w:rsidRPr="00FA249A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r w:rsidRPr="00FA249A">
        <w:rPr>
          <w:rStyle w:val="Hyperlink"/>
          <w:sz w:val="18"/>
          <w:szCs w:val="18"/>
          <w:lang w:val="es-ES_tradnl"/>
        </w:rPr>
        <w:t>itumail@itu.int</w:t>
      </w:r>
    </w:hyperlink>
    <w:r w:rsidRPr="00FA249A">
      <w:rPr>
        <w:sz w:val="18"/>
        <w:szCs w:val="18"/>
        <w:lang w:val="es-ES_tradnl"/>
      </w:rPr>
      <w:t xml:space="preserve"> • </w:t>
    </w:r>
    <w:hyperlink r:id="rId2" w:history="1">
      <w:r w:rsidRPr="00FA249A">
        <w:rPr>
          <w:rStyle w:val="Hyperlink"/>
          <w:sz w:val="18"/>
          <w:szCs w:val="18"/>
          <w:lang w:val="es-ES_tradnl"/>
        </w:rPr>
        <w:t>www.itu.int</w:t>
      </w:r>
    </w:hyperlink>
    <w:r w:rsidRPr="00FA249A">
      <w:rPr>
        <w:sz w:val="18"/>
        <w:szCs w:val="18"/>
        <w:lang w:val="es-ES_tradnl"/>
      </w:rPr>
      <w:t xml:space="preserve"> </w:t>
    </w:r>
  </w:p>
  <w:p w:rsidR="00E97326" w:rsidRPr="00181458" w:rsidRDefault="00E97326" w:rsidP="00E97326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26" w:rsidRPr="00D239B4" w:rsidRDefault="00E97326" w:rsidP="00E9732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D5E40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326" w:rsidRPr="00D239B4" w:rsidRDefault="00E97326" w:rsidP="00E9732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D5E40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F7153D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E2084E1" wp14:editId="209698D6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B2A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6C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8A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7E8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F2B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254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D27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C6D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EC4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08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1DE9"/>
    <w:rsid w:val="0002277A"/>
    <w:rsid w:val="000246D6"/>
    <w:rsid w:val="00026CF8"/>
    <w:rsid w:val="00030BD7"/>
    <w:rsid w:val="00031E64"/>
    <w:rsid w:val="0003432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380E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12670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C3884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0D32"/>
    <w:rsid w:val="003B2BDA"/>
    <w:rsid w:val="003B55EC"/>
    <w:rsid w:val="003C2EA7"/>
    <w:rsid w:val="003C4471"/>
    <w:rsid w:val="003C7D41"/>
    <w:rsid w:val="003D361B"/>
    <w:rsid w:val="003D3F1F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724"/>
    <w:rsid w:val="00474ACB"/>
    <w:rsid w:val="00480F51"/>
    <w:rsid w:val="00481124"/>
    <w:rsid w:val="004815EB"/>
    <w:rsid w:val="00487569"/>
    <w:rsid w:val="00493E98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5D94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6D3E94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458B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737B9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60FA"/>
    <w:rsid w:val="00A63355"/>
    <w:rsid w:val="00A7596D"/>
    <w:rsid w:val="00A80EFE"/>
    <w:rsid w:val="00A92084"/>
    <w:rsid w:val="00A963DF"/>
    <w:rsid w:val="00A96D3A"/>
    <w:rsid w:val="00AC0C22"/>
    <w:rsid w:val="00AC3896"/>
    <w:rsid w:val="00AD0626"/>
    <w:rsid w:val="00AD2CF2"/>
    <w:rsid w:val="00AD5E40"/>
    <w:rsid w:val="00AE2D88"/>
    <w:rsid w:val="00AE6F6F"/>
    <w:rsid w:val="00AF3325"/>
    <w:rsid w:val="00AF34D9"/>
    <w:rsid w:val="00AF5B37"/>
    <w:rsid w:val="00AF70DA"/>
    <w:rsid w:val="00B019D3"/>
    <w:rsid w:val="00B1505C"/>
    <w:rsid w:val="00B15E7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09EE"/>
    <w:rsid w:val="00C4395E"/>
    <w:rsid w:val="00C47FFD"/>
    <w:rsid w:val="00C51E92"/>
    <w:rsid w:val="00C57E2C"/>
    <w:rsid w:val="00C608B7"/>
    <w:rsid w:val="00C63AB8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589D"/>
    <w:rsid w:val="00D10BA0"/>
    <w:rsid w:val="00D21694"/>
    <w:rsid w:val="00D239B4"/>
    <w:rsid w:val="00D24EB5"/>
    <w:rsid w:val="00D33221"/>
    <w:rsid w:val="00D35AB9"/>
    <w:rsid w:val="00D41571"/>
    <w:rsid w:val="00D416A0"/>
    <w:rsid w:val="00D47672"/>
    <w:rsid w:val="00D5123C"/>
    <w:rsid w:val="00D530AB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326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153D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No">
    <w:name w:val="Annex_No"/>
    <w:basedOn w:val="AnnexNotitle0"/>
    <w:rsid w:val="00D530AB"/>
    <w:rPr>
      <w:rFonts w:asciiTheme="minorHAnsi" w:hAnsiTheme="minorHAnsi" w:cstheme="minorHAnsi"/>
    </w:rPr>
  </w:style>
  <w:style w:type="paragraph" w:customStyle="1" w:styleId="Annext">
    <w:name w:val="Annex_t"/>
    <w:basedOn w:val="AnnexNotitle0"/>
    <w:rsid w:val="00D530AB"/>
    <w:rPr>
      <w:rFonts w:asciiTheme="minorHAnsi" w:hAnsiTheme="minorHAnsi" w:cstheme="minorHAnsi"/>
      <w:bCs/>
    </w:rPr>
  </w:style>
  <w:style w:type="paragraph" w:styleId="ListParagraph">
    <w:name w:val="List Paragraph"/>
    <w:basedOn w:val="Normal"/>
    <w:uiPriority w:val="34"/>
    <w:qFormat/>
    <w:rsid w:val="00E973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D530AB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22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4553-C138-46EC-948D-02E17F52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3</Pages>
  <Words>489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Detraz, Laurence</cp:lastModifiedBy>
  <cp:revision>6</cp:revision>
  <cp:lastPrinted>2017-10-26T13:10:00Z</cp:lastPrinted>
  <dcterms:created xsi:type="dcterms:W3CDTF">2017-10-25T06:31:00Z</dcterms:created>
  <dcterms:modified xsi:type="dcterms:W3CDTF">2017-10-26T13:10:00Z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