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15307C">
            <w:pPr>
              <w:spacing w:before="0"/>
              <w:jc w:val="left"/>
              <w:rPr>
                <w:b/>
                <w:bCs/>
                <w:szCs w:val="24"/>
                <w:lang w:val="fr-CH"/>
              </w:rPr>
            </w:pPr>
            <w:r w:rsidRPr="00FE08CC">
              <w:rPr>
                <w:b/>
                <w:bCs/>
                <w:szCs w:val="24"/>
                <w:lang w:val="fr-CH"/>
              </w:rPr>
              <w:t>CACE/</w:t>
            </w:r>
            <w:r w:rsidR="0015307C">
              <w:rPr>
                <w:b/>
                <w:bCs/>
                <w:szCs w:val="24"/>
                <w:lang w:val="fr-CH"/>
              </w:rPr>
              <w:t>834</w:t>
            </w:r>
          </w:p>
        </w:tc>
        <w:tc>
          <w:tcPr>
            <w:tcW w:w="2835" w:type="dxa"/>
            <w:shd w:val="clear" w:color="auto" w:fill="auto"/>
          </w:tcPr>
          <w:p w:rsidR="00E53DCE" w:rsidRPr="00334544" w:rsidRDefault="005C7B7E" w:rsidP="00357426">
            <w:pPr>
              <w:spacing w:before="0"/>
              <w:jc w:val="right"/>
              <w:rPr>
                <w:szCs w:val="24"/>
                <w:lang w:val="en-GB"/>
              </w:rPr>
            </w:pPr>
            <w:r>
              <w:rPr>
                <w:rFonts w:hint="eastAsia"/>
                <w:szCs w:val="24"/>
                <w:lang w:eastAsia="zh-CN"/>
              </w:rPr>
              <w:t>2017</w:t>
            </w:r>
            <w:r>
              <w:rPr>
                <w:rFonts w:hint="eastAsia"/>
                <w:szCs w:val="24"/>
                <w:lang w:eastAsia="zh-CN"/>
              </w:rPr>
              <w:t>年</w:t>
            </w:r>
            <w:r w:rsidR="00357426">
              <w:rPr>
                <w:szCs w:val="24"/>
                <w:lang w:eastAsia="zh-CN"/>
              </w:rPr>
              <w:t>10</w:t>
            </w:r>
            <w:r>
              <w:rPr>
                <w:rFonts w:hint="eastAsia"/>
                <w:szCs w:val="24"/>
                <w:lang w:eastAsia="zh-CN"/>
              </w:rPr>
              <w:t>月</w:t>
            </w:r>
            <w:r>
              <w:rPr>
                <w:rFonts w:hint="eastAsia"/>
                <w:szCs w:val="24"/>
                <w:lang w:eastAsia="zh-CN"/>
              </w:rPr>
              <w:t>2</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733769">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733769">
              <w:rPr>
                <w:rFonts w:eastAsia="SimSun" w:hint="eastAsia"/>
                <w:b/>
                <w:bCs/>
                <w:szCs w:val="24"/>
                <w:lang w:eastAsia="zh-CN"/>
              </w:rPr>
              <w:t>3</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E08CC" w:rsidP="000259FC">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566A55">
              <w:rPr>
                <w:rFonts w:eastAsia="SimSun"/>
                <w:b/>
                <w:bCs/>
                <w:szCs w:val="24"/>
                <w:lang w:eastAsia="zh-CN"/>
              </w:rPr>
              <w:t>3</w:t>
            </w:r>
            <w:r w:rsidRPr="00FE08CC">
              <w:rPr>
                <w:rFonts w:eastAsia="SimSun" w:hint="eastAsia"/>
                <w:b/>
                <w:bCs/>
                <w:szCs w:val="24"/>
                <w:lang w:eastAsia="zh-CN"/>
              </w:rPr>
              <w:t>研究组（</w:t>
            </w:r>
            <w:r w:rsidR="000259FC">
              <w:rPr>
                <w:rFonts w:eastAsia="SimSun" w:hint="eastAsia"/>
                <w:b/>
                <w:bCs/>
                <w:szCs w:val="24"/>
                <w:lang w:eastAsia="zh-CN"/>
              </w:rPr>
              <w:t>电波传播</w:t>
            </w:r>
            <w:r w:rsidRPr="00FE08CC">
              <w:rPr>
                <w:rFonts w:eastAsia="SimSun" w:hint="eastAsia"/>
                <w:b/>
                <w:bCs/>
                <w:szCs w:val="24"/>
                <w:lang w:eastAsia="zh-CN"/>
              </w:rPr>
              <w:t>）</w:t>
            </w:r>
          </w:p>
          <w:p w:rsidR="00FE08CC" w:rsidRPr="00FE08CC" w:rsidRDefault="00FE08CC" w:rsidP="00733769">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733769">
              <w:rPr>
                <w:rFonts w:eastAsia="SimSun" w:hint="eastAsia"/>
                <w:b/>
                <w:bCs/>
                <w:szCs w:val="24"/>
                <w:lang w:eastAsia="zh-CN"/>
              </w:rPr>
              <w:t>13</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经修订的建议书草案</w:t>
            </w:r>
          </w:p>
          <w:p w:rsidR="00FE08CC" w:rsidRPr="00FE08CC" w:rsidRDefault="00FE08CC" w:rsidP="00FE08CC">
            <w:pPr>
              <w:tabs>
                <w:tab w:val="clear" w:pos="1191"/>
                <w:tab w:val="clear" w:pos="1588"/>
                <w:tab w:val="clear" w:pos="1985"/>
              </w:tabs>
              <w:spacing w:before="80"/>
              <w:ind w:left="425" w:hanging="425"/>
              <w:rPr>
                <w:rFonts w:eastAsia="SimSun"/>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733769">
      <w:pPr>
        <w:spacing w:before="240"/>
        <w:ind w:firstLineChars="200" w:firstLine="480"/>
        <w:rPr>
          <w:lang w:eastAsia="zh-CN"/>
        </w:rPr>
      </w:pPr>
      <w:r w:rsidRPr="007947D0">
        <w:rPr>
          <w:rFonts w:hint="eastAsia"/>
          <w:lang w:eastAsia="zh-CN"/>
        </w:rPr>
        <w:t>在</w:t>
      </w:r>
      <w:r w:rsidRPr="007947D0">
        <w:rPr>
          <w:lang w:eastAsia="zh-CN"/>
        </w:rPr>
        <w:t>201</w:t>
      </w:r>
      <w:r w:rsidR="00733769">
        <w:rPr>
          <w:rFonts w:hint="eastAsia"/>
          <w:lang w:eastAsia="zh-CN"/>
        </w:rPr>
        <w:t>7</w:t>
      </w:r>
      <w:r w:rsidRPr="007947D0">
        <w:rPr>
          <w:rFonts w:hint="eastAsia"/>
          <w:lang w:eastAsia="zh-CN"/>
        </w:rPr>
        <w:t>年</w:t>
      </w:r>
      <w:r w:rsidR="00733769">
        <w:rPr>
          <w:rFonts w:hint="eastAsia"/>
          <w:lang w:eastAsia="zh-CN"/>
        </w:rPr>
        <w:t>9</w:t>
      </w:r>
      <w:r w:rsidRPr="007947D0">
        <w:rPr>
          <w:rFonts w:hint="eastAsia"/>
          <w:lang w:eastAsia="zh-CN"/>
        </w:rPr>
        <w:t>月</w:t>
      </w:r>
      <w:r w:rsidR="00733769">
        <w:rPr>
          <w:rFonts w:hint="eastAsia"/>
          <w:lang w:eastAsia="zh-CN"/>
        </w:rPr>
        <w:t>1</w:t>
      </w:r>
      <w:r w:rsidRPr="007947D0">
        <w:rPr>
          <w:rFonts w:hint="eastAsia"/>
          <w:lang w:eastAsia="zh-CN"/>
        </w:rPr>
        <w:t>日召开的无线电通信第</w:t>
      </w:r>
      <w:r w:rsidR="00733769">
        <w:rPr>
          <w:rFonts w:hint="eastAsia"/>
          <w:lang w:eastAsia="zh-CN"/>
        </w:rPr>
        <w:t>3</w:t>
      </w:r>
      <w:r w:rsidRPr="007947D0">
        <w:rPr>
          <w:rFonts w:hint="eastAsia"/>
          <w:lang w:eastAsia="zh-CN"/>
        </w:rPr>
        <w:t>研究组会议上，研究组做出决定，寻求</w:t>
      </w:r>
      <w:r w:rsidRPr="007947D0">
        <w:rPr>
          <w:lang w:eastAsia="zh-CN"/>
        </w:rPr>
        <w:t>以信函方式通过</w:t>
      </w:r>
      <w:r w:rsidR="00733769">
        <w:rPr>
          <w:rFonts w:hint="eastAsia"/>
          <w:lang w:eastAsia="zh-CN"/>
        </w:rPr>
        <w:t>13</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357426">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403276">
        <w:rPr>
          <w:u w:val="single"/>
          <w:lang w:eastAsia="zh-CN"/>
        </w:rPr>
        <w:t>7</w:t>
      </w:r>
      <w:r w:rsidRPr="00C979CD">
        <w:rPr>
          <w:u w:val="single"/>
          <w:lang w:eastAsia="zh-CN"/>
        </w:rPr>
        <w:t>年</w:t>
      </w:r>
      <w:r w:rsidR="00357426">
        <w:rPr>
          <w:u w:val="single"/>
          <w:lang w:eastAsia="zh-CN"/>
        </w:rPr>
        <w:t>12</w:t>
      </w:r>
      <w:r w:rsidRPr="00C979CD">
        <w:rPr>
          <w:u w:val="single"/>
          <w:lang w:eastAsia="zh-CN"/>
        </w:rPr>
        <w:t>月</w:t>
      </w:r>
      <w:r w:rsidR="00357426">
        <w:rPr>
          <w:u w:val="single"/>
          <w:lang w:eastAsia="zh-CN"/>
        </w:rPr>
        <w:t>4</w:t>
      </w:r>
      <w:bookmarkStart w:id="0" w:name="_GoBack"/>
      <w:bookmarkEnd w:id="0"/>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D32124">
        <w:rPr>
          <w:rFonts w:hint="eastAsia"/>
          <w:lang w:eastAsia="zh-CN"/>
        </w:rPr>
        <w:t>3</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Pr="007947D0" w:rsidRDefault="00FE08CC" w:rsidP="000F622F">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sidR="000F622F">
        <w:rPr>
          <w:rFonts w:hint="eastAsia"/>
          <w:lang w:eastAsia="zh-CN"/>
        </w:rPr>
        <w:t>上述</w:t>
      </w:r>
      <w:r>
        <w:rPr>
          <w:rFonts w:hint="eastAsia"/>
          <w:lang w:eastAsia="zh-CN"/>
        </w:rPr>
        <w:t>程序</w:t>
      </w:r>
      <w:r w:rsidRPr="007947D0">
        <w:rPr>
          <w:rFonts w:hint="eastAsia"/>
        </w:rPr>
        <w:t>的结果，并尽可能快地出版已经批准的建议书（见</w:t>
      </w:r>
      <w:hyperlink r:id="rId8" w:history="1">
        <w:r w:rsidRPr="007947D0">
          <w:rPr>
            <w:rStyle w:val="Hyperlink"/>
          </w:rPr>
          <w:t>http://www.itu.int/pub/R-REC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D6723" w:rsidP="00C9196D">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15307C">
      <w:pPr>
        <w:rPr>
          <w:lang w:eastAsia="zh-CN"/>
        </w:rPr>
      </w:pPr>
      <w:r w:rsidRPr="00D17B12">
        <w:rPr>
          <w:rFonts w:hint="eastAsia"/>
          <w:b/>
          <w:bCs/>
          <w:lang w:eastAsia="zh-CN"/>
        </w:rPr>
        <w:t>文件：</w:t>
      </w:r>
      <w:r w:rsidR="0015307C" w:rsidRPr="00FF2DA1">
        <w:rPr>
          <w:szCs w:val="24"/>
          <w:lang w:val="en-GB"/>
        </w:rPr>
        <w:t>3/</w:t>
      </w:r>
      <w:r w:rsidR="0015307C">
        <w:rPr>
          <w:szCs w:val="24"/>
          <w:lang w:val="en-GB"/>
        </w:rPr>
        <w:t>65</w:t>
      </w:r>
      <w:r w:rsidR="0015307C">
        <w:rPr>
          <w:szCs w:val="24"/>
          <w:lang w:val="en-GB"/>
        </w:rPr>
        <w:t>、</w:t>
      </w:r>
      <w:r w:rsidR="0015307C">
        <w:rPr>
          <w:szCs w:val="24"/>
          <w:lang w:val="en-GB"/>
        </w:rPr>
        <w:t>3/67</w:t>
      </w:r>
      <w:r w:rsidR="0015307C">
        <w:rPr>
          <w:szCs w:val="24"/>
          <w:lang w:val="en-GB"/>
        </w:rPr>
        <w:t>、</w:t>
      </w:r>
      <w:r w:rsidR="0015307C">
        <w:rPr>
          <w:szCs w:val="24"/>
          <w:lang w:val="en-GB"/>
        </w:rPr>
        <w:t>3/69</w:t>
      </w:r>
      <w:r w:rsidR="0015307C">
        <w:rPr>
          <w:szCs w:val="24"/>
          <w:lang w:val="en-GB"/>
        </w:rPr>
        <w:t>、</w:t>
      </w:r>
      <w:r w:rsidR="0015307C">
        <w:rPr>
          <w:szCs w:val="24"/>
          <w:lang w:val="en-GB"/>
        </w:rPr>
        <w:t>3/70</w:t>
      </w:r>
      <w:r w:rsidR="0015307C">
        <w:rPr>
          <w:szCs w:val="24"/>
          <w:lang w:val="en-GB"/>
        </w:rPr>
        <w:t>、</w:t>
      </w:r>
      <w:r w:rsidR="0015307C">
        <w:rPr>
          <w:szCs w:val="24"/>
          <w:lang w:val="en-GB"/>
        </w:rPr>
        <w:t>3/73(Rev.1)</w:t>
      </w:r>
      <w:r w:rsidR="0015307C">
        <w:rPr>
          <w:szCs w:val="24"/>
          <w:lang w:val="en-GB"/>
        </w:rPr>
        <w:t>、</w:t>
      </w:r>
      <w:r w:rsidR="0015307C">
        <w:rPr>
          <w:szCs w:val="24"/>
          <w:lang w:val="en-GB"/>
        </w:rPr>
        <w:t>3/76(Rev.1)</w:t>
      </w:r>
      <w:r w:rsidR="0015307C">
        <w:rPr>
          <w:szCs w:val="24"/>
          <w:lang w:val="en-GB"/>
        </w:rPr>
        <w:t>、</w:t>
      </w:r>
      <w:r w:rsidR="0015307C">
        <w:rPr>
          <w:szCs w:val="24"/>
          <w:lang w:val="en-GB"/>
        </w:rPr>
        <w:t>3/77(Rev.1)</w:t>
      </w:r>
      <w:r w:rsidR="0015307C">
        <w:rPr>
          <w:szCs w:val="24"/>
          <w:lang w:val="en-GB"/>
        </w:rPr>
        <w:t>、</w:t>
      </w:r>
      <w:r w:rsidR="0015307C">
        <w:rPr>
          <w:szCs w:val="24"/>
          <w:lang w:val="en-GB"/>
        </w:rPr>
        <w:t>3/80(Rev.1)</w:t>
      </w:r>
      <w:r w:rsidR="0015307C">
        <w:rPr>
          <w:szCs w:val="24"/>
          <w:lang w:val="en-GB"/>
        </w:rPr>
        <w:t>、</w:t>
      </w:r>
      <w:r w:rsidR="0015307C">
        <w:rPr>
          <w:szCs w:val="24"/>
          <w:lang w:val="en-GB"/>
        </w:rPr>
        <w:br/>
        <w:t>3/81</w:t>
      </w:r>
      <w:r w:rsidR="0015307C">
        <w:rPr>
          <w:szCs w:val="24"/>
          <w:lang w:val="en-GB"/>
        </w:rPr>
        <w:t>、</w:t>
      </w:r>
      <w:r w:rsidR="0015307C">
        <w:rPr>
          <w:szCs w:val="24"/>
          <w:lang w:val="en-GB"/>
        </w:rPr>
        <w:t>3/82</w:t>
      </w:r>
      <w:r w:rsidR="0015307C">
        <w:rPr>
          <w:szCs w:val="24"/>
          <w:lang w:val="en-GB"/>
        </w:rPr>
        <w:t>、</w:t>
      </w:r>
      <w:r w:rsidR="0015307C">
        <w:rPr>
          <w:szCs w:val="24"/>
          <w:lang w:val="en-GB"/>
        </w:rPr>
        <w:t>3/84(Rev.1)</w:t>
      </w:r>
      <w:r w:rsidR="0015307C">
        <w:rPr>
          <w:szCs w:val="24"/>
          <w:lang w:val="en-GB"/>
        </w:rPr>
        <w:t>、</w:t>
      </w:r>
      <w:r w:rsidR="0015307C">
        <w:rPr>
          <w:szCs w:val="24"/>
          <w:lang w:val="en-GB"/>
        </w:rPr>
        <w:t>3/85(Rev.1)</w:t>
      </w:r>
      <w:r w:rsidR="0015307C">
        <w:rPr>
          <w:szCs w:val="24"/>
          <w:lang w:val="en-GB"/>
        </w:rPr>
        <w:t>、</w:t>
      </w:r>
      <w:r w:rsidR="0015307C">
        <w:rPr>
          <w:szCs w:val="24"/>
          <w:lang w:val="en-GB"/>
        </w:rPr>
        <w:t>3/86(Rev.1)</w:t>
      </w:r>
      <w:r w:rsidR="00D32124">
        <w:rPr>
          <w:rFonts w:hint="eastAsia"/>
          <w:szCs w:val="24"/>
          <w:lang w:val="en-GB" w:eastAsia="zh-CN"/>
        </w:rPr>
        <w:t>号</w:t>
      </w:r>
      <w:r>
        <w:rPr>
          <w:rFonts w:hint="eastAsia"/>
          <w:lang w:eastAsia="zh-CN"/>
        </w:rPr>
        <w:t>文件</w:t>
      </w:r>
    </w:p>
    <w:p w:rsidR="00FE08CC" w:rsidRDefault="00FE08CC" w:rsidP="00ED6723">
      <w:pPr>
        <w:rPr>
          <w:lang w:eastAsia="zh-CN"/>
        </w:rPr>
      </w:pPr>
      <w:r>
        <w:rPr>
          <w:rFonts w:hint="eastAsia"/>
          <w:lang w:eastAsia="zh-CN"/>
        </w:rPr>
        <w:t>以下网站提供这些文件的电子版：</w:t>
      </w:r>
      <w:hyperlink r:id="rId10" w:history="1">
        <w:r w:rsidR="00D32124" w:rsidRPr="00474918">
          <w:rPr>
            <w:rStyle w:val="Hyperlink"/>
          </w:rPr>
          <w:t>https://www.itu.int/md/R15-SG03-C/en</w:t>
        </w:r>
      </w:hyperlink>
      <w:r w:rsidR="00D32124">
        <w:rPr>
          <w:rFonts w:hint="eastAsia"/>
          <w:lang w:eastAsia="zh-CN"/>
        </w:rPr>
        <w:t xml:space="preserve"> </w:t>
      </w:r>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D32124">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D32124">
        <w:rPr>
          <w:rFonts w:hint="eastAsia"/>
          <w:sz w:val="18"/>
          <w:szCs w:val="18"/>
          <w:lang w:eastAsia="zh-CN"/>
        </w:rPr>
        <w:t>3</w:t>
      </w:r>
      <w:r w:rsidRPr="00ED6723">
        <w:rPr>
          <w:rFonts w:hint="eastAsia"/>
          <w:sz w:val="18"/>
          <w:szCs w:val="18"/>
          <w:lang w:eastAsia="zh-CN"/>
        </w:rPr>
        <w:t>研究组工作的无线电通信部门成员</w:t>
      </w:r>
    </w:p>
    <w:p w:rsidR="00FE08CC" w:rsidRPr="00ED6723" w:rsidRDefault="00FE08CC" w:rsidP="00D32124">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D32124">
        <w:rPr>
          <w:rFonts w:hint="eastAsia"/>
          <w:sz w:val="18"/>
          <w:szCs w:val="18"/>
          <w:lang w:eastAsia="zh-CN"/>
        </w:rPr>
        <w:t>3</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9C0F13" w:rsidRPr="008D077B" w:rsidRDefault="009C0F13" w:rsidP="006457E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P.1057-4</w:t>
      </w:r>
      <w:r w:rsidR="00D32124">
        <w:rPr>
          <w:rFonts w:asciiTheme="minorHAnsi" w:hAnsiTheme="minorHAnsi" w:cstheme="minorHAnsi" w:hint="eastAsia"/>
          <w:szCs w:val="24"/>
          <w:u w:val="single"/>
          <w:lang w:eastAsia="zh-CN"/>
        </w:rPr>
        <w:t>建议书修订草案</w:t>
      </w:r>
      <w:r w:rsidRPr="008D077B">
        <w:rPr>
          <w:rFonts w:asciiTheme="minorHAnsi" w:hAnsiTheme="minorHAnsi" w:cstheme="minorHAnsi"/>
          <w:szCs w:val="24"/>
          <w:lang w:eastAsia="zh-CN"/>
        </w:rPr>
        <w:tab/>
      </w:r>
      <w:r>
        <w:rPr>
          <w:rFonts w:asciiTheme="minorHAnsi" w:hAnsiTheme="minorHAnsi" w:cstheme="minorHAnsi"/>
          <w:szCs w:val="24"/>
          <w:lang w:eastAsia="zh-CN"/>
        </w:rPr>
        <w:t>3/65</w:t>
      </w:r>
      <w:r w:rsidR="006457E4">
        <w:rPr>
          <w:rFonts w:hint="eastAsia"/>
          <w:szCs w:val="24"/>
          <w:lang w:eastAsia="zh-CN"/>
        </w:rPr>
        <w:t>号文件</w:t>
      </w:r>
    </w:p>
    <w:p w:rsidR="009C0F13" w:rsidRPr="007A5D43" w:rsidRDefault="001A2A22" w:rsidP="001A2A22">
      <w:pPr>
        <w:tabs>
          <w:tab w:val="right" w:pos="9639"/>
        </w:tabs>
        <w:spacing w:before="360"/>
        <w:jc w:val="center"/>
        <w:rPr>
          <w:rStyle w:val="RectitleChar"/>
          <w:rFonts w:eastAsia="MS Mincho" w:cstheme="majorBidi"/>
          <w:bCs/>
          <w:color w:val="800000"/>
          <w:szCs w:val="28"/>
          <w:lang w:eastAsia="zh-CN"/>
        </w:rPr>
      </w:pPr>
      <w:r w:rsidRPr="001A2A22">
        <w:rPr>
          <w:rFonts w:asciiTheme="minorHAnsi" w:hAnsiTheme="minorHAnsi" w:cstheme="majorBidi" w:hint="eastAsia"/>
          <w:b/>
          <w:bCs/>
          <w:sz w:val="28"/>
          <w:szCs w:val="28"/>
          <w:lang w:eastAsia="zh-CN"/>
        </w:rPr>
        <w:t>与无线电波传播建模相关的概率分布</w:t>
      </w:r>
    </w:p>
    <w:p w:rsidR="009C0F13" w:rsidRPr="008D0F18" w:rsidRDefault="006457E4" w:rsidP="000259FC">
      <w:pPr>
        <w:ind w:firstLineChars="200" w:firstLine="480"/>
        <w:rPr>
          <w:szCs w:val="24"/>
          <w:lang w:eastAsia="zh-CN"/>
        </w:rPr>
      </w:pPr>
      <w:r>
        <w:rPr>
          <w:rFonts w:hint="eastAsia"/>
          <w:szCs w:val="24"/>
          <w:lang w:eastAsia="zh-CN"/>
        </w:rPr>
        <w:t>多份</w:t>
      </w:r>
      <w:r w:rsidR="009C0F13" w:rsidRPr="008D0F18">
        <w:rPr>
          <w:szCs w:val="24"/>
          <w:lang w:eastAsia="zh-CN"/>
        </w:rPr>
        <w:t>P</w:t>
      </w:r>
      <w:r>
        <w:rPr>
          <w:rFonts w:hint="eastAsia"/>
          <w:szCs w:val="24"/>
          <w:lang w:eastAsia="zh-CN"/>
        </w:rPr>
        <w:t>系列建议书参引：</w:t>
      </w:r>
    </w:p>
    <w:p w:rsidR="009C0F13" w:rsidRPr="008D0F18" w:rsidRDefault="000259FC" w:rsidP="006457E4">
      <w:pPr>
        <w:pStyle w:val="enumlev1"/>
        <w:rPr>
          <w:szCs w:val="24"/>
          <w:lang w:eastAsia="zh-CN"/>
        </w:rPr>
      </w:pPr>
      <w:r>
        <w:rPr>
          <w:szCs w:val="24"/>
          <w:lang w:eastAsia="zh-CN"/>
        </w:rPr>
        <w:t>1)</w:t>
      </w:r>
      <w:r w:rsidR="009C0F13" w:rsidRPr="008D0F18">
        <w:rPr>
          <w:szCs w:val="24"/>
          <w:lang w:eastAsia="zh-CN"/>
        </w:rPr>
        <w:tab/>
      </w:r>
      <w:r w:rsidR="006457E4">
        <w:rPr>
          <w:rFonts w:hint="eastAsia"/>
          <w:szCs w:val="24"/>
          <w:lang w:eastAsia="zh-CN"/>
        </w:rPr>
        <w:t>正态（高斯）随机分布的累积分布；</w:t>
      </w:r>
    </w:p>
    <w:p w:rsidR="009C0F13" w:rsidRPr="008D0F18" w:rsidRDefault="000259FC" w:rsidP="006457E4">
      <w:pPr>
        <w:pStyle w:val="enumlev1"/>
        <w:rPr>
          <w:szCs w:val="24"/>
          <w:lang w:eastAsia="zh-CN"/>
        </w:rPr>
      </w:pPr>
      <w:r>
        <w:rPr>
          <w:szCs w:val="24"/>
          <w:lang w:eastAsia="zh-CN"/>
        </w:rPr>
        <w:t>2)</w:t>
      </w:r>
      <w:r w:rsidR="009C0F13" w:rsidRPr="008D0F18">
        <w:rPr>
          <w:szCs w:val="24"/>
          <w:lang w:eastAsia="zh-CN"/>
        </w:rPr>
        <w:tab/>
      </w:r>
      <w:r w:rsidR="006457E4">
        <w:rPr>
          <w:rFonts w:hint="eastAsia"/>
          <w:szCs w:val="24"/>
          <w:lang w:eastAsia="zh-CN"/>
        </w:rPr>
        <w:t>正态（高斯）随机分布的逆累积分布；</w:t>
      </w:r>
    </w:p>
    <w:p w:rsidR="009C0F13" w:rsidRPr="008D0F18" w:rsidRDefault="000259FC" w:rsidP="003A2CE1">
      <w:pPr>
        <w:pStyle w:val="enumlev1"/>
        <w:rPr>
          <w:szCs w:val="24"/>
          <w:lang w:eastAsia="zh-CN"/>
        </w:rPr>
      </w:pPr>
      <w:r>
        <w:rPr>
          <w:szCs w:val="24"/>
          <w:lang w:eastAsia="zh-CN"/>
        </w:rPr>
        <w:t>3)</w:t>
      </w:r>
      <w:r w:rsidR="009C0F13" w:rsidRPr="008D0F18">
        <w:rPr>
          <w:szCs w:val="24"/>
          <w:lang w:eastAsia="zh-CN"/>
        </w:rPr>
        <w:tab/>
      </w:r>
      <w:r w:rsidR="006457E4">
        <w:rPr>
          <w:rFonts w:hint="eastAsia"/>
          <w:szCs w:val="24"/>
          <w:lang w:eastAsia="zh-CN"/>
        </w:rPr>
        <w:t>正态（高斯）随机分布的</w:t>
      </w:r>
      <w:r w:rsidR="003A2CE1" w:rsidRPr="003A2CE1">
        <w:rPr>
          <w:szCs w:val="24"/>
          <w:lang w:val="en-HK" w:eastAsia="zh-CN"/>
        </w:rPr>
        <w:t>互补</w:t>
      </w:r>
      <w:r w:rsidR="006457E4">
        <w:rPr>
          <w:rFonts w:hint="eastAsia"/>
          <w:szCs w:val="24"/>
          <w:lang w:eastAsia="zh-CN"/>
        </w:rPr>
        <w:t>累积分布；</w:t>
      </w:r>
      <w:r w:rsidR="003A2CE1">
        <w:rPr>
          <w:rFonts w:hint="eastAsia"/>
          <w:szCs w:val="24"/>
          <w:lang w:eastAsia="zh-CN"/>
        </w:rPr>
        <w:t>以及</w:t>
      </w:r>
    </w:p>
    <w:p w:rsidR="009C0F13" w:rsidRPr="008D0F18" w:rsidRDefault="000259FC" w:rsidP="003A2CE1">
      <w:pPr>
        <w:pStyle w:val="enumlev1"/>
        <w:rPr>
          <w:szCs w:val="24"/>
          <w:lang w:eastAsia="zh-CN"/>
        </w:rPr>
      </w:pPr>
      <w:r>
        <w:rPr>
          <w:szCs w:val="24"/>
          <w:lang w:eastAsia="zh-CN"/>
        </w:rPr>
        <w:t>4)</w:t>
      </w:r>
      <w:r w:rsidR="009C0F13" w:rsidRPr="008D0F18">
        <w:rPr>
          <w:szCs w:val="24"/>
          <w:lang w:eastAsia="zh-CN"/>
        </w:rPr>
        <w:tab/>
      </w:r>
      <w:r w:rsidR="003A2CE1">
        <w:rPr>
          <w:rFonts w:hint="eastAsia"/>
          <w:szCs w:val="24"/>
          <w:lang w:eastAsia="zh-CN"/>
        </w:rPr>
        <w:t>正态（高斯）随机分布的逆补累积分布。</w:t>
      </w:r>
    </w:p>
    <w:p w:rsidR="009C0F13" w:rsidRPr="008D0F18" w:rsidRDefault="003A2CE1" w:rsidP="000259FC">
      <w:pPr>
        <w:ind w:firstLineChars="200" w:firstLine="480"/>
        <w:rPr>
          <w:szCs w:val="24"/>
          <w:lang w:eastAsia="zh-CN"/>
        </w:rPr>
      </w:pPr>
      <w:r>
        <w:rPr>
          <w:rFonts w:hint="eastAsia"/>
          <w:szCs w:val="24"/>
          <w:lang w:eastAsia="zh-CN"/>
        </w:rPr>
        <w:t>本次修订提供了这些概率分布的定义并建议了各种不改变案文实质内容的编辑性、排版、语法和公式编号修订。</w:t>
      </w:r>
    </w:p>
    <w:p w:rsidR="009C0F13" w:rsidRDefault="009C0F13" w:rsidP="006457E4">
      <w:pPr>
        <w:tabs>
          <w:tab w:val="right" w:pos="9639"/>
        </w:tabs>
        <w:spacing w:before="360"/>
        <w:rPr>
          <w:szCs w:val="24"/>
          <w:lang w:eastAsia="zh-CN"/>
        </w:rPr>
      </w:pPr>
      <w:r w:rsidRPr="008D0F18">
        <w:rPr>
          <w:szCs w:val="24"/>
          <w:u w:val="single"/>
          <w:lang w:eastAsia="zh-CN"/>
        </w:rPr>
        <w:t>ITU-R P.530-16</w:t>
      </w:r>
      <w:r w:rsidR="00D32124">
        <w:rPr>
          <w:rFonts w:asciiTheme="minorHAnsi" w:hAnsiTheme="minorHAnsi" w:cstheme="minorHAnsi" w:hint="eastAsia"/>
          <w:szCs w:val="24"/>
          <w:u w:val="single"/>
          <w:lang w:eastAsia="zh-CN"/>
        </w:rPr>
        <w:t>建议书修订草案</w:t>
      </w:r>
      <w:r w:rsidRPr="008D0F18">
        <w:rPr>
          <w:szCs w:val="24"/>
          <w:lang w:eastAsia="zh-CN"/>
        </w:rPr>
        <w:tab/>
        <w:t>3/67</w:t>
      </w:r>
      <w:r w:rsidR="006457E4">
        <w:rPr>
          <w:rFonts w:hint="eastAsia"/>
          <w:szCs w:val="24"/>
          <w:lang w:eastAsia="zh-CN"/>
        </w:rPr>
        <w:t>号文件</w:t>
      </w:r>
    </w:p>
    <w:p w:rsidR="009C0F13" w:rsidRPr="008D0F18" w:rsidRDefault="009C0F13" w:rsidP="003A2CE1">
      <w:pPr>
        <w:pStyle w:val="Restitle"/>
        <w:rPr>
          <w:rStyle w:val="RectitleChar"/>
          <w:rFonts w:asciiTheme="minorHAnsi" w:hAnsiTheme="minorHAnsi" w:cstheme="minorHAnsi"/>
          <w:b/>
          <w:bCs/>
          <w:szCs w:val="28"/>
          <w:lang w:eastAsia="zh-CN"/>
        </w:rPr>
      </w:pPr>
      <w:r>
        <w:rPr>
          <w:lang w:eastAsia="zh-CN"/>
        </w:rPr>
        <w:t>ITU-R P.530-16</w:t>
      </w:r>
      <w:r w:rsidR="003A2CE1">
        <w:rPr>
          <w:rFonts w:hint="eastAsia"/>
          <w:lang w:eastAsia="zh-CN"/>
        </w:rPr>
        <w:t>建议书的拟议修订，以提高多路径</w:t>
      </w:r>
      <w:r w:rsidR="003A2CE1">
        <w:rPr>
          <w:color w:val="000000"/>
          <w:lang w:eastAsia="zh-CN"/>
        </w:rPr>
        <w:t>分集改善计</w:t>
      </w:r>
      <w:r w:rsidR="003A2CE1">
        <w:rPr>
          <w:rFonts w:ascii="SimSun" w:eastAsia="SimSun" w:hAnsi="SimSun" w:cs="SimSun" w:hint="eastAsia"/>
          <w:color w:val="000000"/>
          <w:lang w:eastAsia="zh-CN"/>
        </w:rPr>
        <w:t>算的准确性</w:t>
      </w:r>
    </w:p>
    <w:p w:rsidR="009C0F13" w:rsidRDefault="008674D0" w:rsidP="000259FC">
      <w:pPr>
        <w:ind w:firstLineChars="200" w:firstLine="480"/>
        <w:rPr>
          <w:szCs w:val="24"/>
          <w:lang w:eastAsia="zh-CN"/>
        </w:rPr>
      </w:pPr>
      <w:r>
        <w:rPr>
          <w:rFonts w:hint="eastAsia"/>
          <w:szCs w:val="24"/>
          <w:lang w:eastAsia="zh-CN"/>
        </w:rPr>
        <w:t>本文件建议改进多路径分集模型，以考虑馈线损耗差异并防止在空间分集的情况下出现异常结果。它也提高了严重衰减场所，尤其是采用四个接收机系统的频率分集的准确性。</w:t>
      </w:r>
    </w:p>
    <w:p w:rsidR="009C0F13" w:rsidRPr="008D0F18" w:rsidRDefault="009C0F13" w:rsidP="006457E4">
      <w:pPr>
        <w:tabs>
          <w:tab w:val="right" w:pos="9639"/>
        </w:tabs>
        <w:spacing w:before="360"/>
        <w:rPr>
          <w:sz w:val="28"/>
          <w:szCs w:val="28"/>
          <w:lang w:eastAsia="zh-CN"/>
        </w:rPr>
      </w:pPr>
      <w:r w:rsidRPr="008D0F18">
        <w:rPr>
          <w:szCs w:val="24"/>
          <w:u w:val="single"/>
          <w:lang w:eastAsia="zh-CN"/>
        </w:rPr>
        <w:t>ITU-R P.834-8</w:t>
      </w:r>
      <w:r w:rsidR="00D32124">
        <w:rPr>
          <w:rFonts w:asciiTheme="minorHAnsi" w:hAnsiTheme="minorHAnsi" w:cstheme="minorHAnsi" w:hint="eastAsia"/>
          <w:szCs w:val="24"/>
          <w:u w:val="single"/>
          <w:lang w:eastAsia="zh-CN"/>
        </w:rPr>
        <w:t>建议书修订草案</w:t>
      </w:r>
      <w:r w:rsidRPr="008D0F18">
        <w:rPr>
          <w:szCs w:val="24"/>
          <w:lang w:eastAsia="zh-CN"/>
        </w:rPr>
        <w:tab/>
        <w:t>3/69</w:t>
      </w:r>
      <w:r w:rsidR="006457E4">
        <w:rPr>
          <w:rFonts w:hint="eastAsia"/>
          <w:szCs w:val="24"/>
          <w:lang w:eastAsia="zh-CN"/>
        </w:rPr>
        <w:t>号文件</w:t>
      </w:r>
    </w:p>
    <w:p w:rsidR="009C0F13" w:rsidRPr="007A5D43" w:rsidRDefault="004D7514" w:rsidP="009C0F13">
      <w:pPr>
        <w:pStyle w:val="Restitle"/>
        <w:rPr>
          <w:color w:val="800000"/>
          <w:sz w:val="22"/>
          <w:szCs w:val="24"/>
          <w:lang w:eastAsia="zh-CN"/>
        </w:rPr>
      </w:pPr>
      <w:r w:rsidRPr="004D7514">
        <w:rPr>
          <w:rFonts w:hint="eastAsia"/>
          <w:lang w:eastAsia="zh-CN"/>
        </w:rPr>
        <w:t>对流层折射对无线电波传播的影响</w:t>
      </w:r>
    </w:p>
    <w:p w:rsidR="009C0F13" w:rsidRPr="008D0F18" w:rsidRDefault="009C0F13" w:rsidP="000259FC">
      <w:pPr>
        <w:ind w:firstLineChars="200" w:firstLine="480"/>
        <w:rPr>
          <w:szCs w:val="24"/>
          <w:lang w:eastAsia="zh-CN"/>
        </w:rPr>
      </w:pPr>
      <w:r w:rsidRPr="008D0F18">
        <w:rPr>
          <w:szCs w:val="24"/>
          <w:lang w:eastAsia="zh-CN"/>
        </w:rPr>
        <w:t xml:space="preserve">ITU-R </w:t>
      </w:r>
      <w:hyperlink r:id="rId11" w:history="1">
        <w:r w:rsidRPr="008D0F18">
          <w:rPr>
            <w:rStyle w:val="Hyperlink"/>
            <w:szCs w:val="24"/>
            <w:lang w:eastAsia="zh-CN"/>
          </w:rPr>
          <w:t>P.834-8</w:t>
        </w:r>
      </w:hyperlink>
      <w:r w:rsidRPr="008D0F18">
        <w:rPr>
          <w:szCs w:val="24"/>
          <w:lang w:eastAsia="zh-CN"/>
        </w:rPr>
        <w:t xml:space="preserve"> </w:t>
      </w:r>
      <w:r w:rsidR="00FC6A35">
        <w:rPr>
          <w:rFonts w:hint="eastAsia"/>
          <w:szCs w:val="24"/>
          <w:lang w:eastAsia="zh-CN"/>
        </w:rPr>
        <w:t>建议书的本修订草案</w:t>
      </w:r>
      <w:r w:rsidR="006103FA">
        <w:rPr>
          <w:rFonts w:hint="eastAsia"/>
          <w:szCs w:val="24"/>
          <w:lang w:eastAsia="zh-CN"/>
        </w:rPr>
        <w:t>更正了波束扩展损耗的预测方法。在进行该修订的同时，还建议对</w:t>
      </w:r>
      <w:r w:rsidRPr="008D0F18">
        <w:rPr>
          <w:szCs w:val="24"/>
          <w:lang w:eastAsia="zh-CN"/>
        </w:rPr>
        <w:t>ITU-R P.619-2</w:t>
      </w:r>
      <w:r w:rsidR="006103FA">
        <w:rPr>
          <w:rFonts w:hint="eastAsia"/>
          <w:szCs w:val="24"/>
          <w:lang w:eastAsia="zh-CN"/>
        </w:rPr>
        <w:t>建议书进行类似的修订。</w:t>
      </w:r>
    </w:p>
    <w:p w:rsidR="009C0F13" w:rsidRPr="008D0F18" w:rsidRDefault="009C0F13" w:rsidP="006457E4">
      <w:pPr>
        <w:tabs>
          <w:tab w:val="right" w:pos="9639"/>
        </w:tabs>
        <w:spacing w:before="360"/>
        <w:rPr>
          <w:sz w:val="28"/>
          <w:szCs w:val="28"/>
          <w:lang w:eastAsia="zh-CN"/>
        </w:rPr>
      </w:pPr>
      <w:r w:rsidRPr="008D0F18">
        <w:rPr>
          <w:szCs w:val="24"/>
          <w:u w:val="single"/>
          <w:lang w:eastAsia="zh-CN"/>
        </w:rPr>
        <w:t>ITU-R P.453-12</w:t>
      </w:r>
      <w:r w:rsidR="00D32124">
        <w:rPr>
          <w:rFonts w:asciiTheme="minorHAnsi" w:hAnsiTheme="minorHAnsi" w:cstheme="minorHAnsi" w:hint="eastAsia"/>
          <w:szCs w:val="24"/>
          <w:u w:val="single"/>
          <w:lang w:eastAsia="zh-CN"/>
        </w:rPr>
        <w:t>建议书修订草案</w:t>
      </w:r>
      <w:r w:rsidRPr="008D0F18">
        <w:rPr>
          <w:szCs w:val="24"/>
          <w:lang w:eastAsia="zh-CN"/>
        </w:rPr>
        <w:tab/>
        <w:t>3/70</w:t>
      </w:r>
      <w:r w:rsidR="006457E4">
        <w:rPr>
          <w:rFonts w:hint="eastAsia"/>
          <w:szCs w:val="24"/>
          <w:lang w:eastAsia="zh-CN"/>
        </w:rPr>
        <w:t>号文件</w:t>
      </w:r>
    </w:p>
    <w:p w:rsidR="009C0F13" w:rsidRPr="007A5D43" w:rsidRDefault="004D7514" w:rsidP="004D7514">
      <w:pPr>
        <w:pStyle w:val="Restitle"/>
        <w:rPr>
          <w:color w:val="800000"/>
          <w:sz w:val="22"/>
          <w:szCs w:val="24"/>
          <w:lang w:eastAsia="zh-CN"/>
        </w:rPr>
      </w:pPr>
      <w:r>
        <w:rPr>
          <w:rFonts w:hint="eastAsia"/>
          <w:lang w:eastAsia="zh-CN"/>
        </w:rPr>
        <w:t>无线电折射率：公式和折射率数据</w:t>
      </w:r>
    </w:p>
    <w:p w:rsidR="009C0F13" w:rsidRPr="008D0F18" w:rsidRDefault="006103FA" w:rsidP="000259FC">
      <w:pPr>
        <w:pStyle w:val="Normalaftertitle"/>
        <w:spacing w:before="160"/>
        <w:ind w:firstLineChars="200" w:firstLine="480"/>
        <w:rPr>
          <w:szCs w:val="24"/>
          <w:lang w:eastAsia="zh-CN"/>
        </w:rPr>
      </w:pPr>
      <w:r>
        <w:rPr>
          <w:rFonts w:hint="eastAsia"/>
          <w:szCs w:val="24"/>
          <w:lang w:eastAsia="zh-CN"/>
        </w:rPr>
        <w:t>现行的</w:t>
      </w:r>
      <w:r w:rsidR="009C0F13" w:rsidRPr="008D0F18">
        <w:rPr>
          <w:szCs w:val="24"/>
          <w:lang w:eastAsia="zh-CN"/>
        </w:rPr>
        <w:t>ITU-R P.453-12</w:t>
      </w:r>
      <w:r>
        <w:rPr>
          <w:rFonts w:hint="eastAsia"/>
          <w:szCs w:val="24"/>
          <w:lang w:eastAsia="zh-CN"/>
        </w:rPr>
        <w:t>建议书包含了表面</w:t>
      </w:r>
      <w:r>
        <w:rPr>
          <w:color w:val="000000"/>
          <w:lang w:eastAsia="zh-CN"/>
        </w:rPr>
        <w:t>折射率湿润项的</w:t>
      </w:r>
      <w:r>
        <w:rPr>
          <w:rFonts w:hint="eastAsia"/>
          <w:color w:val="000000"/>
          <w:lang w:eastAsia="zh-CN"/>
        </w:rPr>
        <w:t>年度</w:t>
      </w:r>
      <w:r>
        <w:rPr>
          <w:color w:val="000000"/>
          <w:lang w:eastAsia="zh-CN"/>
        </w:rPr>
        <w:t>中值</w:t>
      </w:r>
      <w:r>
        <w:rPr>
          <w:rFonts w:hint="eastAsia"/>
          <w:color w:val="000000"/>
          <w:lang w:eastAsia="zh-CN"/>
        </w:rPr>
        <w:t>图。这些图的分辨率较低（</w:t>
      </w:r>
      <w:r w:rsidRPr="008D0F18">
        <w:rPr>
          <w:szCs w:val="24"/>
          <w:lang w:eastAsia="zh-CN"/>
        </w:rPr>
        <w:t>1.5°</w:t>
      </w:r>
      <w:r>
        <w:rPr>
          <w:rFonts w:hint="eastAsia"/>
          <w:color w:val="000000"/>
          <w:lang w:eastAsia="zh-CN"/>
        </w:rPr>
        <w:t>）且得自于</w:t>
      </w:r>
      <w:r w:rsidR="000259FC">
        <w:rPr>
          <w:rFonts w:hint="eastAsia"/>
          <w:color w:val="000000"/>
          <w:lang w:eastAsia="zh-CN"/>
        </w:rPr>
        <w:t>为期</w:t>
      </w:r>
      <w:r>
        <w:rPr>
          <w:rFonts w:hint="eastAsia"/>
          <w:color w:val="000000"/>
          <w:lang w:eastAsia="zh-CN"/>
        </w:rPr>
        <w:t>仅</w:t>
      </w:r>
      <w:r>
        <w:rPr>
          <w:rFonts w:hint="eastAsia"/>
          <w:color w:val="000000"/>
          <w:lang w:eastAsia="zh-CN"/>
        </w:rPr>
        <w:t>2</w:t>
      </w:r>
      <w:r>
        <w:rPr>
          <w:rFonts w:hint="eastAsia"/>
          <w:color w:val="000000"/>
          <w:lang w:eastAsia="zh-CN"/>
        </w:rPr>
        <w:t>年的再分析产品。</w:t>
      </w:r>
    </w:p>
    <w:p w:rsidR="009C0F13" w:rsidRPr="00390114" w:rsidRDefault="009C0F13" w:rsidP="00843F92">
      <w:pPr>
        <w:tabs>
          <w:tab w:val="right" w:pos="9639"/>
        </w:tabs>
        <w:spacing w:before="360"/>
        <w:rPr>
          <w:szCs w:val="24"/>
          <w:lang w:eastAsia="zh-CN"/>
        </w:rPr>
      </w:pPr>
      <w:r w:rsidRPr="00390114">
        <w:rPr>
          <w:szCs w:val="24"/>
          <w:u w:val="single"/>
          <w:lang w:eastAsia="zh-CN"/>
        </w:rPr>
        <w:t>ITU-R P.836-5</w:t>
      </w:r>
      <w:r w:rsidR="00D32124">
        <w:rPr>
          <w:rFonts w:asciiTheme="minorHAnsi" w:hAnsiTheme="minorHAnsi" w:cstheme="minorHAnsi" w:hint="eastAsia"/>
          <w:szCs w:val="24"/>
          <w:u w:val="single"/>
          <w:lang w:eastAsia="zh-CN"/>
        </w:rPr>
        <w:t>建议书修订草案</w:t>
      </w:r>
      <w:r w:rsidRPr="00390114">
        <w:rPr>
          <w:szCs w:val="24"/>
          <w:lang w:eastAsia="zh-CN"/>
        </w:rPr>
        <w:tab/>
        <w:t>3/73(Rev.1)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4D7514" w:rsidP="009C0F13">
      <w:pPr>
        <w:pStyle w:val="Reptitle"/>
        <w:rPr>
          <w:color w:val="800000"/>
          <w:sz w:val="22"/>
          <w:szCs w:val="24"/>
          <w:lang w:eastAsia="zh-CN"/>
        </w:rPr>
      </w:pPr>
      <w:r w:rsidRPr="004D7514">
        <w:rPr>
          <w:rFonts w:hint="eastAsia"/>
          <w:lang w:eastAsia="zh-CN"/>
        </w:rPr>
        <w:t>水蒸汽：地表密度和气柱总含容量</w:t>
      </w:r>
    </w:p>
    <w:p w:rsidR="009C0F13" w:rsidRPr="00390114" w:rsidRDefault="009C0F13" w:rsidP="000259FC">
      <w:pPr>
        <w:tabs>
          <w:tab w:val="right" w:pos="9639"/>
        </w:tabs>
        <w:ind w:firstLineChars="200" w:firstLine="480"/>
        <w:rPr>
          <w:sz w:val="28"/>
          <w:szCs w:val="28"/>
          <w:lang w:eastAsia="zh-CN"/>
        </w:rPr>
      </w:pPr>
      <w:r w:rsidRPr="00390114">
        <w:rPr>
          <w:szCs w:val="24"/>
          <w:lang w:eastAsia="zh-CN"/>
        </w:rPr>
        <w:t xml:space="preserve">ITU-R </w:t>
      </w:r>
      <w:hyperlink r:id="rId12" w:history="1">
        <w:r w:rsidRPr="00390114">
          <w:rPr>
            <w:rStyle w:val="Hyperlink"/>
            <w:szCs w:val="24"/>
            <w:lang w:eastAsia="zh-CN"/>
          </w:rPr>
          <w:t>P.836-5</w:t>
        </w:r>
      </w:hyperlink>
      <w:r w:rsidR="005633AC">
        <w:rPr>
          <w:rFonts w:hint="eastAsia"/>
          <w:szCs w:val="24"/>
          <w:lang w:eastAsia="zh-CN"/>
        </w:rPr>
        <w:t>建议书的本次拟议修订包含了</w:t>
      </w:r>
      <w:r w:rsidRPr="00390114">
        <w:rPr>
          <w:szCs w:val="24"/>
          <w:lang w:eastAsia="zh-CN"/>
        </w:rPr>
        <w:t>ITU-R P.1511-1</w:t>
      </w:r>
      <w:r w:rsidR="005633AC">
        <w:rPr>
          <w:rFonts w:hint="eastAsia"/>
          <w:szCs w:val="24"/>
          <w:lang w:eastAsia="zh-CN"/>
        </w:rPr>
        <w:t>建议书现有的数字地图，作为该建议书的一部分，以确保</w:t>
      </w:r>
      <w:r w:rsidR="005633AC" w:rsidRPr="00390114">
        <w:rPr>
          <w:szCs w:val="24"/>
          <w:lang w:eastAsia="zh-CN"/>
        </w:rPr>
        <w:t>ITU-R P.836</w:t>
      </w:r>
      <w:r w:rsidR="005633AC">
        <w:rPr>
          <w:rFonts w:hint="eastAsia"/>
          <w:szCs w:val="24"/>
          <w:lang w:eastAsia="zh-CN"/>
        </w:rPr>
        <w:t>建议书数字产品的一致性。拟议修订示于附件及后附数字地图中。</w:t>
      </w:r>
    </w:p>
    <w:p w:rsidR="009C0F13" w:rsidRDefault="009C0F13" w:rsidP="006457E4">
      <w:pPr>
        <w:tabs>
          <w:tab w:val="right" w:pos="9639"/>
        </w:tabs>
        <w:spacing w:before="360"/>
        <w:rPr>
          <w:szCs w:val="24"/>
          <w:lang w:eastAsia="zh-CN"/>
        </w:rPr>
      </w:pPr>
      <w:r w:rsidRPr="00390114">
        <w:rPr>
          <w:szCs w:val="24"/>
          <w:u w:val="single"/>
          <w:lang w:eastAsia="zh-CN"/>
        </w:rPr>
        <w:lastRenderedPageBreak/>
        <w:t>ITU-R P.840-6</w:t>
      </w:r>
      <w:r w:rsidR="00D32124">
        <w:rPr>
          <w:rFonts w:asciiTheme="minorHAnsi" w:hAnsiTheme="minorHAnsi" w:cstheme="minorHAnsi" w:hint="eastAsia"/>
          <w:szCs w:val="24"/>
          <w:u w:val="single"/>
          <w:lang w:eastAsia="zh-CN"/>
        </w:rPr>
        <w:t>建议书修订草案</w:t>
      </w:r>
      <w:r>
        <w:rPr>
          <w:szCs w:val="24"/>
          <w:lang w:eastAsia="zh-CN"/>
        </w:rPr>
        <w:tab/>
        <w:t>3/76(Rev.1)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4D7514" w:rsidP="009C0F13">
      <w:pPr>
        <w:pStyle w:val="Reptitle"/>
        <w:rPr>
          <w:color w:val="800000"/>
          <w:sz w:val="22"/>
          <w:szCs w:val="24"/>
          <w:lang w:eastAsia="zh-CN"/>
        </w:rPr>
      </w:pPr>
      <w:r w:rsidRPr="004D7514">
        <w:rPr>
          <w:rFonts w:hint="eastAsia"/>
          <w:lang w:eastAsia="zh-CN"/>
        </w:rPr>
        <w:t>云雾引起的衰减</w:t>
      </w:r>
    </w:p>
    <w:p w:rsidR="009C0F13" w:rsidRPr="00390114" w:rsidRDefault="009C0F13" w:rsidP="000259FC">
      <w:pPr>
        <w:spacing w:beforeLines="50" w:afterLines="50" w:after="120"/>
        <w:ind w:firstLineChars="200" w:firstLine="480"/>
        <w:rPr>
          <w:szCs w:val="24"/>
          <w:lang w:eastAsia="zh-CN"/>
        </w:rPr>
      </w:pPr>
      <w:r w:rsidRPr="00390114">
        <w:rPr>
          <w:szCs w:val="24"/>
          <w:lang w:eastAsia="zh-CN"/>
        </w:rPr>
        <w:t xml:space="preserve">ITU-R </w:t>
      </w:r>
      <w:hyperlink r:id="rId13" w:history="1">
        <w:r w:rsidRPr="00390114">
          <w:rPr>
            <w:rStyle w:val="Hyperlink"/>
            <w:szCs w:val="24"/>
            <w:lang w:eastAsia="zh-CN"/>
          </w:rPr>
          <w:t>P.840-6</w:t>
        </w:r>
      </w:hyperlink>
      <w:r w:rsidR="0064098B">
        <w:rPr>
          <w:rFonts w:hint="eastAsia"/>
          <w:szCs w:val="24"/>
          <w:lang w:eastAsia="zh-CN"/>
        </w:rPr>
        <w:t>建议书的本修订草案</w:t>
      </w:r>
      <w:r w:rsidR="004E2972">
        <w:rPr>
          <w:rFonts w:hint="eastAsia"/>
          <w:szCs w:val="24"/>
          <w:lang w:eastAsia="zh-CN"/>
        </w:rPr>
        <w:t>提供了两种在地空路径上预测云雾造成的衰减的方法：</w:t>
      </w:r>
    </w:p>
    <w:p w:rsidR="009C0F13" w:rsidRPr="00390114" w:rsidRDefault="009C0F13" w:rsidP="000259FC">
      <w:pPr>
        <w:pStyle w:val="enumlev1"/>
        <w:spacing w:beforeLines="50" w:before="120" w:afterLines="50" w:after="120"/>
        <w:rPr>
          <w:szCs w:val="24"/>
          <w:lang w:eastAsia="zh-CN"/>
        </w:rPr>
      </w:pPr>
      <w:r w:rsidRPr="00390114">
        <w:rPr>
          <w:szCs w:val="24"/>
          <w:lang w:eastAsia="zh-CN"/>
        </w:rPr>
        <w:t>1)</w:t>
      </w:r>
      <w:r w:rsidRPr="00390114">
        <w:rPr>
          <w:szCs w:val="24"/>
          <w:lang w:eastAsia="zh-CN"/>
        </w:rPr>
        <w:tab/>
      </w:r>
      <w:r w:rsidR="00083CB3">
        <w:rPr>
          <w:rFonts w:hint="eastAsia"/>
          <w:szCs w:val="24"/>
          <w:lang w:eastAsia="zh-CN"/>
        </w:rPr>
        <w:t>如果没有</w:t>
      </w:r>
      <w:r w:rsidR="00083CB3">
        <w:rPr>
          <w:color w:val="000000"/>
          <w:lang w:eastAsia="zh-CN"/>
        </w:rPr>
        <w:t>层状云降低液态水总含</w:t>
      </w:r>
      <w:r w:rsidR="00083CB3">
        <w:rPr>
          <w:rFonts w:ascii="SimSun" w:eastAsia="SimSun" w:hAnsi="SimSun" w:cs="SimSun" w:hint="eastAsia"/>
          <w:color w:val="000000"/>
          <w:lang w:eastAsia="zh-CN"/>
        </w:rPr>
        <w:t>量的本地测量数据，应采用</w:t>
      </w:r>
      <w:r w:rsidR="00083CB3" w:rsidRPr="00390114">
        <w:rPr>
          <w:szCs w:val="24"/>
          <w:lang w:eastAsia="zh-CN"/>
        </w:rPr>
        <w:t>3.1</w:t>
      </w:r>
      <w:r w:rsidR="00083CB3">
        <w:rPr>
          <w:rFonts w:ascii="SimSun" w:eastAsia="SimSun" w:hAnsi="SimSun" w:cs="SimSun" w:hint="eastAsia"/>
          <w:color w:val="000000"/>
          <w:lang w:eastAsia="zh-CN"/>
        </w:rPr>
        <w:t>段的现有预测方法。该预测方法基于</w:t>
      </w:r>
      <w:r w:rsidR="00083CB3">
        <w:rPr>
          <w:color w:val="000000"/>
          <w:lang w:eastAsia="zh-CN"/>
        </w:rPr>
        <w:t>层状云降低液态水总含</w:t>
      </w:r>
      <w:r w:rsidR="00083CB3">
        <w:rPr>
          <w:rFonts w:ascii="SimSun" w:eastAsia="SimSun" w:hAnsi="SimSun" w:cs="SimSun" w:hint="eastAsia"/>
          <w:color w:val="000000"/>
          <w:lang w:eastAsia="zh-CN"/>
        </w:rPr>
        <w:t>量降至固定温度的</w:t>
      </w:r>
      <w:r w:rsidRPr="00390114">
        <w:rPr>
          <w:szCs w:val="24"/>
          <w:lang w:eastAsia="zh-CN"/>
        </w:rPr>
        <w:t>ERA-40</w:t>
      </w:r>
      <w:r w:rsidR="00083CB3">
        <w:rPr>
          <w:rFonts w:hint="eastAsia"/>
          <w:szCs w:val="24"/>
          <w:lang w:eastAsia="zh-CN"/>
        </w:rPr>
        <w:t>数据。</w:t>
      </w:r>
    </w:p>
    <w:p w:rsidR="009C0F13" w:rsidRPr="00390114" w:rsidRDefault="009C0F13" w:rsidP="00E63E21">
      <w:pPr>
        <w:pStyle w:val="enumlev1"/>
        <w:spacing w:beforeLines="50" w:before="120" w:afterLines="50" w:after="120"/>
        <w:rPr>
          <w:szCs w:val="24"/>
          <w:lang w:eastAsia="zh-CN"/>
        </w:rPr>
      </w:pPr>
      <w:r w:rsidRPr="00390114">
        <w:rPr>
          <w:szCs w:val="24"/>
          <w:lang w:eastAsia="zh-CN"/>
        </w:rPr>
        <w:t>2)</w:t>
      </w:r>
      <w:r w:rsidRPr="00390114">
        <w:rPr>
          <w:szCs w:val="24"/>
          <w:lang w:eastAsia="zh-CN"/>
        </w:rPr>
        <w:tab/>
      </w:r>
      <w:r w:rsidR="00083CB3">
        <w:rPr>
          <w:rFonts w:hint="eastAsia"/>
          <w:szCs w:val="24"/>
          <w:lang w:eastAsia="zh-CN"/>
        </w:rPr>
        <w:t>如果可从其他渠道获得</w:t>
      </w:r>
      <w:r w:rsidR="00083CB3">
        <w:rPr>
          <w:color w:val="000000"/>
          <w:lang w:eastAsia="zh-CN"/>
        </w:rPr>
        <w:t>层状云降低液态水总含</w:t>
      </w:r>
      <w:r w:rsidR="00083CB3">
        <w:rPr>
          <w:rFonts w:ascii="SimSun" w:eastAsia="SimSun" w:hAnsi="SimSun" w:cs="SimSun" w:hint="eastAsia"/>
          <w:color w:val="000000"/>
          <w:lang w:eastAsia="zh-CN"/>
        </w:rPr>
        <w:t>量的本地测量数据（如从</w:t>
      </w:r>
      <w:r w:rsidR="00E63E21">
        <w:rPr>
          <w:color w:val="000000"/>
          <w:lang w:eastAsia="zh-CN"/>
        </w:rPr>
        <w:t>层状云降低液态水总含</w:t>
      </w:r>
      <w:r w:rsidR="00E63E21">
        <w:rPr>
          <w:rFonts w:ascii="SimSun" w:eastAsia="SimSun" w:hAnsi="SimSun" w:cs="SimSun" w:hint="eastAsia"/>
          <w:color w:val="000000"/>
          <w:lang w:eastAsia="zh-CN"/>
        </w:rPr>
        <w:t>量未降至固定温度的</w:t>
      </w:r>
      <w:r w:rsidR="00083CB3">
        <w:rPr>
          <w:rFonts w:ascii="SimSun" w:eastAsia="SimSun" w:hAnsi="SimSun" w:cs="SimSun" w:hint="eastAsia"/>
          <w:color w:val="000000"/>
          <w:lang w:eastAsia="zh-CN"/>
        </w:rPr>
        <w:t>辐射测量、地球观测或气象</w:t>
      </w:r>
      <w:r w:rsidR="00E63E21">
        <w:rPr>
          <w:rFonts w:ascii="SimSun" w:eastAsia="SimSun" w:hAnsi="SimSun" w:cs="SimSun" w:hint="eastAsia"/>
          <w:color w:val="000000"/>
          <w:lang w:eastAsia="zh-CN"/>
        </w:rPr>
        <w:t>数值预报</w:t>
      </w:r>
      <w:r w:rsidR="00083CB3">
        <w:rPr>
          <w:rFonts w:ascii="SimSun" w:eastAsia="SimSun" w:hAnsi="SimSun" w:cs="SimSun" w:hint="eastAsia"/>
          <w:color w:val="000000"/>
          <w:lang w:eastAsia="zh-CN"/>
        </w:rPr>
        <w:t>产品）</w:t>
      </w:r>
      <w:r w:rsidR="00083CB3">
        <w:rPr>
          <w:rFonts w:hint="eastAsia"/>
          <w:szCs w:val="24"/>
          <w:lang w:eastAsia="zh-CN"/>
        </w:rPr>
        <w:t>，</w:t>
      </w:r>
      <w:r w:rsidR="00E63E21">
        <w:rPr>
          <w:rFonts w:hint="eastAsia"/>
          <w:szCs w:val="24"/>
          <w:lang w:eastAsia="zh-CN"/>
        </w:rPr>
        <w:t>应采用新增</w:t>
      </w:r>
      <w:r w:rsidR="00E63E21">
        <w:rPr>
          <w:rFonts w:hint="eastAsia"/>
          <w:szCs w:val="24"/>
          <w:lang w:eastAsia="zh-CN"/>
        </w:rPr>
        <w:t>3.2</w:t>
      </w:r>
      <w:r w:rsidR="00E63E21">
        <w:rPr>
          <w:rFonts w:hint="eastAsia"/>
          <w:szCs w:val="24"/>
          <w:lang w:eastAsia="zh-CN"/>
        </w:rPr>
        <w:t>段中建议的计算方法。</w:t>
      </w:r>
    </w:p>
    <w:p w:rsidR="009C0F13" w:rsidRPr="00390114" w:rsidRDefault="009C0F13" w:rsidP="006457E4">
      <w:pPr>
        <w:tabs>
          <w:tab w:val="right" w:pos="9639"/>
        </w:tabs>
        <w:spacing w:before="360"/>
        <w:rPr>
          <w:szCs w:val="24"/>
          <w:lang w:eastAsia="zh-CN"/>
        </w:rPr>
      </w:pPr>
      <w:r w:rsidRPr="00390114">
        <w:rPr>
          <w:szCs w:val="24"/>
          <w:u w:val="single"/>
          <w:lang w:eastAsia="zh-CN"/>
        </w:rPr>
        <w:t>ITU-R P.835-5</w:t>
      </w:r>
      <w:r w:rsidR="00D32124">
        <w:rPr>
          <w:rFonts w:asciiTheme="minorHAnsi" w:hAnsiTheme="minorHAnsi" w:cstheme="minorHAnsi" w:hint="eastAsia"/>
          <w:szCs w:val="24"/>
          <w:u w:val="single"/>
          <w:lang w:eastAsia="zh-CN"/>
        </w:rPr>
        <w:t>建议书修订草案</w:t>
      </w:r>
      <w:r w:rsidRPr="00390114">
        <w:rPr>
          <w:szCs w:val="24"/>
          <w:lang w:eastAsia="zh-CN"/>
        </w:rPr>
        <w:tab/>
        <w:t>3/77(Rev.1)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4D7514" w:rsidP="009C0F13">
      <w:pPr>
        <w:pStyle w:val="Reptitle"/>
        <w:rPr>
          <w:color w:val="800000"/>
          <w:sz w:val="22"/>
          <w:szCs w:val="24"/>
          <w:lang w:eastAsia="zh-CN"/>
        </w:rPr>
      </w:pPr>
      <w:r w:rsidRPr="004D7514">
        <w:rPr>
          <w:rFonts w:hint="eastAsia"/>
          <w:lang w:eastAsia="zh-CN"/>
        </w:rPr>
        <w:t>参考标准大气</w:t>
      </w:r>
    </w:p>
    <w:p w:rsidR="009C0F13" w:rsidRPr="00390114" w:rsidRDefault="009C0F13" w:rsidP="000259FC">
      <w:pPr>
        <w:ind w:firstLineChars="200" w:firstLine="480"/>
        <w:rPr>
          <w:szCs w:val="24"/>
          <w:lang w:eastAsia="zh-CN"/>
        </w:rPr>
      </w:pPr>
      <w:r w:rsidRPr="00390114">
        <w:rPr>
          <w:szCs w:val="24"/>
          <w:lang w:eastAsia="zh-CN"/>
        </w:rPr>
        <w:t xml:space="preserve">ITU-R </w:t>
      </w:r>
      <w:hyperlink r:id="rId14" w:history="1">
        <w:r w:rsidRPr="00390114">
          <w:rPr>
            <w:rStyle w:val="Hyperlink"/>
            <w:szCs w:val="24"/>
            <w:lang w:eastAsia="zh-CN"/>
          </w:rPr>
          <w:t>P.835-5</w:t>
        </w:r>
      </w:hyperlink>
      <w:r w:rsidRPr="00390114">
        <w:rPr>
          <w:szCs w:val="24"/>
          <w:lang w:eastAsia="zh-CN"/>
        </w:rPr>
        <w:t xml:space="preserve">: </w:t>
      </w:r>
      <w:r w:rsidR="00162C2A">
        <w:rPr>
          <w:rFonts w:hint="eastAsia"/>
          <w:szCs w:val="24"/>
          <w:lang w:eastAsia="zh-CN"/>
        </w:rPr>
        <w:t>建议书修订草案：</w:t>
      </w:r>
    </w:p>
    <w:p w:rsidR="009C0F13" w:rsidRPr="00390114" w:rsidRDefault="000259FC" w:rsidP="00162C2A">
      <w:pPr>
        <w:pStyle w:val="enumlev1"/>
        <w:rPr>
          <w:szCs w:val="24"/>
          <w:lang w:eastAsia="zh-CN"/>
        </w:rPr>
      </w:pPr>
      <w:r>
        <w:rPr>
          <w:szCs w:val="24"/>
          <w:lang w:eastAsia="zh-CN"/>
        </w:rPr>
        <w:t>1)</w:t>
      </w:r>
      <w:r w:rsidR="009C0F13" w:rsidRPr="00390114">
        <w:rPr>
          <w:szCs w:val="24"/>
          <w:lang w:eastAsia="zh-CN"/>
        </w:rPr>
        <w:tab/>
      </w:r>
      <w:r w:rsidR="00162C2A">
        <w:rPr>
          <w:rFonts w:hint="eastAsia"/>
          <w:szCs w:val="24"/>
          <w:lang w:eastAsia="zh-CN"/>
        </w:rPr>
        <w:t>将</w:t>
      </w:r>
      <w:r w:rsidR="009C0F13" w:rsidRPr="00390114">
        <w:rPr>
          <w:szCs w:val="24"/>
          <w:lang w:eastAsia="zh-CN"/>
        </w:rPr>
        <w:t>ITU-R</w:t>
      </w:r>
      <w:r w:rsidR="00162C2A">
        <w:rPr>
          <w:rFonts w:hint="eastAsia"/>
          <w:szCs w:val="24"/>
          <w:lang w:eastAsia="zh-CN"/>
        </w:rPr>
        <w:t>全球参考标准大气与</w:t>
      </w:r>
      <w:r w:rsidR="00162C2A">
        <w:rPr>
          <w:rFonts w:hint="eastAsia"/>
          <w:szCs w:val="24"/>
          <w:lang w:eastAsia="zh-CN"/>
        </w:rPr>
        <w:t>1976</w:t>
      </w:r>
      <w:r w:rsidR="00162C2A">
        <w:rPr>
          <w:rFonts w:hint="eastAsia"/>
          <w:szCs w:val="24"/>
          <w:lang w:eastAsia="zh-CN"/>
        </w:rPr>
        <w:t>年美国标准大气相统一，后者定义了两种高度体制：</w:t>
      </w:r>
    </w:p>
    <w:p w:rsidR="009C0F13" w:rsidRPr="00390114" w:rsidRDefault="009C0F13" w:rsidP="00162C2A">
      <w:pPr>
        <w:pStyle w:val="enumlev2"/>
        <w:rPr>
          <w:szCs w:val="24"/>
          <w:lang w:eastAsia="zh-CN"/>
        </w:rPr>
      </w:pPr>
      <w:r w:rsidRPr="00390114">
        <w:rPr>
          <w:szCs w:val="24"/>
          <w:lang w:eastAsia="zh-CN"/>
        </w:rPr>
        <w:t xml:space="preserve">i) </w:t>
      </w:r>
      <w:r w:rsidRPr="00390114">
        <w:rPr>
          <w:szCs w:val="24"/>
          <w:lang w:eastAsia="zh-CN"/>
        </w:rPr>
        <w:tab/>
      </w:r>
      <w:r w:rsidR="00162C2A">
        <w:rPr>
          <w:rFonts w:hint="eastAsia"/>
          <w:szCs w:val="24"/>
          <w:lang w:eastAsia="zh-CN"/>
        </w:rPr>
        <w:t>从</w:t>
      </w:r>
      <w:r w:rsidR="00162C2A">
        <w:rPr>
          <w:rFonts w:hint="eastAsia"/>
          <w:szCs w:val="24"/>
          <w:lang w:eastAsia="zh-CN"/>
        </w:rPr>
        <w:t>0</w:t>
      </w:r>
      <w:r w:rsidR="00162C2A">
        <w:rPr>
          <w:rFonts w:hint="eastAsia"/>
          <w:szCs w:val="24"/>
          <w:lang w:eastAsia="zh-CN"/>
        </w:rPr>
        <w:t>公里至</w:t>
      </w:r>
      <w:r w:rsidR="00162C2A" w:rsidRPr="00390114">
        <w:rPr>
          <w:szCs w:val="24"/>
          <w:lang w:eastAsia="zh-CN"/>
        </w:rPr>
        <w:t xml:space="preserve">84.852 </w:t>
      </w:r>
      <w:r w:rsidR="00162C2A">
        <w:rPr>
          <w:rFonts w:hint="eastAsia"/>
          <w:szCs w:val="24"/>
          <w:lang w:eastAsia="zh-CN"/>
        </w:rPr>
        <w:t>公里的</w:t>
      </w:r>
      <w:r w:rsidR="00162C2A" w:rsidRPr="00162C2A">
        <w:rPr>
          <w:rFonts w:hint="eastAsia"/>
          <w:szCs w:val="24"/>
          <w:lang w:eastAsia="zh-CN"/>
        </w:rPr>
        <w:t>位势高度</w:t>
      </w:r>
      <w:r w:rsidR="00162C2A">
        <w:rPr>
          <w:rFonts w:hint="eastAsia"/>
          <w:szCs w:val="24"/>
          <w:lang w:eastAsia="zh-CN"/>
        </w:rPr>
        <w:t>，以及</w:t>
      </w:r>
      <w:r w:rsidRPr="00390114">
        <w:rPr>
          <w:szCs w:val="24"/>
          <w:lang w:eastAsia="zh-CN"/>
        </w:rPr>
        <w:t xml:space="preserve"> </w:t>
      </w:r>
    </w:p>
    <w:p w:rsidR="009C0F13" w:rsidRPr="00390114" w:rsidRDefault="009C0F13" w:rsidP="00162C2A">
      <w:pPr>
        <w:pStyle w:val="enumlev2"/>
        <w:rPr>
          <w:szCs w:val="24"/>
          <w:lang w:eastAsia="zh-CN"/>
        </w:rPr>
      </w:pPr>
      <w:r w:rsidRPr="00390114">
        <w:rPr>
          <w:szCs w:val="24"/>
          <w:lang w:eastAsia="zh-CN"/>
        </w:rPr>
        <w:t xml:space="preserve">ii) </w:t>
      </w:r>
      <w:r w:rsidRPr="00390114">
        <w:rPr>
          <w:szCs w:val="24"/>
          <w:lang w:eastAsia="zh-CN"/>
        </w:rPr>
        <w:tab/>
      </w:r>
      <w:r w:rsidR="00162C2A">
        <w:rPr>
          <w:rFonts w:hint="eastAsia"/>
          <w:szCs w:val="24"/>
          <w:lang w:eastAsia="zh-CN"/>
        </w:rPr>
        <w:t>从</w:t>
      </w:r>
      <w:r w:rsidRPr="00390114">
        <w:rPr>
          <w:szCs w:val="24"/>
          <w:lang w:eastAsia="zh-CN"/>
        </w:rPr>
        <w:t>86</w:t>
      </w:r>
      <w:r w:rsidR="00162C2A">
        <w:rPr>
          <w:rFonts w:hint="eastAsia"/>
          <w:szCs w:val="24"/>
          <w:lang w:eastAsia="zh-CN"/>
        </w:rPr>
        <w:t>公里到</w:t>
      </w:r>
      <w:r w:rsidRPr="00390114">
        <w:rPr>
          <w:szCs w:val="24"/>
          <w:lang w:eastAsia="zh-CN"/>
        </w:rPr>
        <w:t>100</w:t>
      </w:r>
      <w:r w:rsidR="00162C2A">
        <w:rPr>
          <w:rFonts w:hint="eastAsia"/>
          <w:szCs w:val="24"/>
          <w:lang w:eastAsia="zh-CN"/>
        </w:rPr>
        <w:t>公里的几何高度，</w:t>
      </w:r>
    </w:p>
    <w:p w:rsidR="009C0F13" w:rsidRPr="00390114" w:rsidRDefault="000259FC" w:rsidP="0062184E">
      <w:pPr>
        <w:pStyle w:val="enumlev1"/>
        <w:rPr>
          <w:szCs w:val="24"/>
          <w:lang w:eastAsia="zh-CN"/>
        </w:rPr>
      </w:pPr>
      <w:r>
        <w:rPr>
          <w:szCs w:val="24"/>
          <w:lang w:eastAsia="zh-CN"/>
        </w:rPr>
        <w:t>2)</w:t>
      </w:r>
      <w:r w:rsidR="009C0F13" w:rsidRPr="00390114">
        <w:rPr>
          <w:szCs w:val="24"/>
          <w:lang w:eastAsia="zh-CN"/>
        </w:rPr>
        <w:tab/>
      </w:r>
      <w:r w:rsidR="00162C2A">
        <w:rPr>
          <w:rFonts w:hint="eastAsia"/>
          <w:szCs w:val="24"/>
          <w:lang w:eastAsia="zh-CN"/>
        </w:rPr>
        <w:t>在</w:t>
      </w:r>
      <w:r w:rsidR="00162C2A">
        <w:rPr>
          <w:rFonts w:hint="eastAsia"/>
          <w:szCs w:val="24"/>
          <w:lang w:eastAsia="zh-CN"/>
        </w:rPr>
        <w:t>0</w:t>
      </w:r>
      <w:r w:rsidR="00162C2A">
        <w:rPr>
          <w:rFonts w:hint="eastAsia"/>
          <w:szCs w:val="24"/>
          <w:lang w:eastAsia="zh-CN"/>
        </w:rPr>
        <w:t>公里至</w:t>
      </w:r>
      <w:r w:rsidR="00162C2A" w:rsidRPr="00390114">
        <w:rPr>
          <w:szCs w:val="24"/>
          <w:lang w:eastAsia="zh-CN"/>
        </w:rPr>
        <w:t xml:space="preserve">84.852 </w:t>
      </w:r>
      <w:r w:rsidR="00162C2A">
        <w:rPr>
          <w:rFonts w:hint="eastAsia"/>
          <w:szCs w:val="24"/>
          <w:lang w:eastAsia="zh-CN"/>
        </w:rPr>
        <w:t>公里</w:t>
      </w:r>
      <w:r w:rsidR="0062184E">
        <w:rPr>
          <w:rFonts w:hint="eastAsia"/>
          <w:szCs w:val="24"/>
          <w:lang w:eastAsia="zh-CN"/>
        </w:rPr>
        <w:t>较低</w:t>
      </w:r>
      <w:r w:rsidR="00162C2A">
        <w:rPr>
          <w:rFonts w:hint="eastAsia"/>
          <w:szCs w:val="24"/>
          <w:lang w:eastAsia="zh-CN"/>
        </w:rPr>
        <w:t>的</w:t>
      </w:r>
      <w:r w:rsidR="00162C2A" w:rsidRPr="00162C2A">
        <w:rPr>
          <w:rFonts w:hint="eastAsia"/>
          <w:szCs w:val="24"/>
          <w:lang w:eastAsia="zh-CN"/>
        </w:rPr>
        <w:t>位势高度</w:t>
      </w:r>
      <w:r w:rsidR="00162C2A">
        <w:rPr>
          <w:rFonts w:hint="eastAsia"/>
          <w:szCs w:val="24"/>
          <w:lang w:eastAsia="zh-CN"/>
        </w:rPr>
        <w:t>体制内提供了从几何高度到位势高度的转换，</w:t>
      </w:r>
    </w:p>
    <w:p w:rsidR="009C0F13" w:rsidRPr="00390114" w:rsidRDefault="000259FC" w:rsidP="0062184E">
      <w:pPr>
        <w:pStyle w:val="enumlev1"/>
        <w:rPr>
          <w:szCs w:val="24"/>
          <w:lang w:eastAsia="zh-CN"/>
        </w:rPr>
      </w:pPr>
      <w:r>
        <w:rPr>
          <w:szCs w:val="24"/>
          <w:lang w:eastAsia="zh-CN"/>
        </w:rPr>
        <w:t>3)</w:t>
      </w:r>
      <w:r w:rsidR="009C0F13" w:rsidRPr="00390114">
        <w:rPr>
          <w:szCs w:val="24"/>
          <w:lang w:eastAsia="zh-CN"/>
        </w:rPr>
        <w:tab/>
      </w:r>
      <w:r w:rsidR="0062184E">
        <w:rPr>
          <w:rFonts w:hint="eastAsia"/>
          <w:szCs w:val="24"/>
          <w:lang w:eastAsia="zh-CN"/>
        </w:rPr>
        <w:t>简化了压力对高度的计算，以及</w:t>
      </w:r>
    </w:p>
    <w:p w:rsidR="009C0F13" w:rsidRPr="00390114" w:rsidRDefault="000259FC" w:rsidP="0062184E">
      <w:pPr>
        <w:pStyle w:val="enumlev1"/>
        <w:rPr>
          <w:szCs w:val="24"/>
          <w:lang w:eastAsia="zh-CN"/>
        </w:rPr>
      </w:pPr>
      <w:r>
        <w:rPr>
          <w:szCs w:val="24"/>
          <w:lang w:eastAsia="zh-CN"/>
        </w:rPr>
        <w:t>4)</w:t>
      </w:r>
      <w:r w:rsidR="009C0F13" w:rsidRPr="00390114">
        <w:rPr>
          <w:szCs w:val="24"/>
          <w:lang w:eastAsia="zh-CN"/>
        </w:rPr>
        <w:tab/>
      </w:r>
      <w:r w:rsidR="0062184E">
        <w:rPr>
          <w:rFonts w:hint="eastAsia"/>
          <w:szCs w:val="24"/>
          <w:lang w:eastAsia="zh-CN"/>
        </w:rPr>
        <w:t>定义了包含足够数量有效数字的常量，以便近似误差可以忽略，</w:t>
      </w:r>
    </w:p>
    <w:p w:rsidR="009C0F13" w:rsidRPr="00390114" w:rsidRDefault="000259FC" w:rsidP="0062184E">
      <w:pPr>
        <w:pStyle w:val="enumlev1"/>
        <w:rPr>
          <w:szCs w:val="24"/>
          <w:lang w:eastAsia="zh-CN"/>
        </w:rPr>
      </w:pPr>
      <w:r>
        <w:rPr>
          <w:szCs w:val="24"/>
          <w:lang w:eastAsia="zh-CN"/>
        </w:rPr>
        <w:t>5)</w:t>
      </w:r>
      <w:r w:rsidR="009C0F13" w:rsidRPr="00390114">
        <w:rPr>
          <w:szCs w:val="24"/>
          <w:lang w:eastAsia="zh-CN"/>
        </w:rPr>
        <w:tab/>
      </w:r>
      <w:r w:rsidR="0062184E">
        <w:rPr>
          <w:rFonts w:hint="eastAsia"/>
          <w:szCs w:val="24"/>
          <w:lang w:eastAsia="zh-CN"/>
        </w:rPr>
        <w:t>更正了附件</w:t>
      </w:r>
      <w:r w:rsidR="0062184E">
        <w:rPr>
          <w:rFonts w:hint="eastAsia"/>
          <w:szCs w:val="24"/>
          <w:lang w:eastAsia="zh-CN"/>
        </w:rPr>
        <w:t>3</w:t>
      </w:r>
      <w:r w:rsidR="0062184E">
        <w:rPr>
          <w:rFonts w:hint="eastAsia"/>
          <w:szCs w:val="24"/>
          <w:lang w:eastAsia="zh-CN"/>
        </w:rPr>
        <w:t>表</w:t>
      </w:r>
      <w:r w:rsidR="0062184E">
        <w:rPr>
          <w:rFonts w:hint="eastAsia"/>
          <w:szCs w:val="24"/>
          <w:lang w:eastAsia="zh-CN"/>
        </w:rPr>
        <w:t>4</w:t>
      </w:r>
      <w:r w:rsidR="0062184E">
        <w:rPr>
          <w:rFonts w:hint="eastAsia"/>
          <w:szCs w:val="24"/>
          <w:lang w:eastAsia="zh-CN"/>
        </w:rPr>
        <w:t>，列出了</w:t>
      </w:r>
      <w:r w:rsidR="0062184E" w:rsidRPr="00390114">
        <w:rPr>
          <w:szCs w:val="24"/>
          <w:lang w:eastAsia="zh-CN"/>
        </w:rPr>
        <w:t>ESA_STD_PROF</w:t>
      </w:r>
      <w:r w:rsidR="0062184E">
        <w:rPr>
          <w:rFonts w:hint="eastAsia"/>
          <w:szCs w:val="24"/>
          <w:lang w:eastAsia="zh-CN"/>
        </w:rPr>
        <w:t>数据集中包含的相同参数值以及一些编辑性修订。</w:t>
      </w:r>
    </w:p>
    <w:p w:rsidR="009C0F13" w:rsidRDefault="009C0F13" w:rsidP="006457E4">
      <w:pPr>
        <w:tabs>
          <w:tab w:val="right" w:pos="9639"/>
        </w:tabs>
        <w:spacing w:before="360"/>
        <w:rPr>
          <w:szCs w:val="24"/>
          <w:lang w:eastAsia="zh-CN"/>
        </w:rPr>
      </w:pPr>
      <w:r w:rsidRPr="00390114">
        <w:rPr>
          <w:szCs w:val="24"/>
          <w:u w:val="single"/>
          <w:lang w:eastAsia="zh-CN"/>
        </w:rPr>
        <w:t>ITU-R P.617-3</w:t>
      </w:r>
      <w:r w:rsidR="00D32124">
        <w:rPr>
          <w:rFonts w:asciiTheme="minorHAnsi" w:hAnsiTheme="minorHAnsi" w:cstheme="minorHAnsi" w:hint="eastAsia"/>
          <w:szCs w:val="24"/>
          <w:u w:val="single"/>
          <w:lang w:eastAsia="zh-CN"/>
        </w:rPr>
        <w:t>建议书修订草案</w:t>
      </w:r>
      <w:r>
        <w:rPr>
          <w:szCs w:val="24"/>
          <w:lang w:eastAsia="zh-CN"/>
        </w:rPr>
        <w:tab/>
        <w:t>3/80(Rev.1)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F974C4" w:rsidP="00F974C4">
      <w:pPr>
        <w:pStyle w:val="Reptitle"/>
        <w:rPr>
          <w:color w:val="800000"/>
          <w:sz w:val="22"/>
          <w:szCs w:val="24"/>
          <w:lang w:eastAsia="zh-CN"/>
        </w:rPr>
      </w:pPr>
      <w:r>
        <w:rPr>
          <w:rFonts w:hint="eastAsia"/>
          <w:lang w:eastAsia="zh-CN"/>
        </w:rPr>
        <w:t>超视距无线电中继系统设计所需传播预测技术和数据</w:t>
      </w:r>
    </w:p>
    <w:p w:rsidR="009C0F13" w:rsidRPr="00390114" w:rsidRDefault="00177F83" w:rsidP="000259FC">
      <w:pPr>
        <w:ind w:firstLineChars="200" w:firstLine="480"/>
        <w:textAlignment w:val="auto"/>
        <w:rPr>
          <w:rFonts w:eastAsia="SimSun"/>
          <w:szCs w:val="24"/>
          <w:lang w:eastAsia="zh-CN"/>
        </w:rPr>
      </w:pPr>
      <w:r>
        <w:rPr>
          <w:rFonts w:eastAsia="SimSun" w:hint="eastAsia"/>
          <w:szCs w:val="24"/>
          <w:lang w:eastAsia="zh-CN"/>
        </w:rPr>
        <w:t>该修订草案</w:t>
      </w:r>
      <w:r w:rsidR="00524B0C">
        <w:rPr>
          <w:rFonts w:eastAsia="SimSun" w:hint="eastAsia"/>
          <w:szCs w:val="24"/>
          <w:lang w:eastAsia="zh-CN"/>
        </w:rPr>
        <w:t>包含了对流层散射模型的修订及一个新波导模型和一种确定基本传输损耗的方法。</w:t>
      </w:r>
    </w:p>
    <w:p w:rsidR="009C0F13" w:rsidRPr="00390114" w:rsidRDefault="00524B0C" w:rsidP="000259FC">
      <w:pPr>
        <w:ind w:firstLineChars="200" w:firstLine="480"/>
        <w:textAlignment w:val="auto"/>
        <w:rPr>
          <w:rFonts w:eastAsia="SimSun"/>
          <w:szCs w:val="24"/>
          <w:lang w:eastAsia="zh-CN"/>
        </w:rPr>
      </w:pPr>
      <w:r>
        <w:rPr>
          <w:rFonts w:eastAsia="SimSun" w:hint="eastAsia"/>
          <w:szCs w:val="24"/>
          <w:lang w:eastAsia="zh-CN"/>
        </w:rPr>
        <w:t>该草案</w:t>
      </w:r>
      <w:r w:rsidR="00E6165D">
        <w:rPr>
          <w:rFonts w:eastAsia="SimSun" w:hint="eastAsia"/>
          <w:szCs w:val="24"/>
          <w:lang w:eastAsia="zh-CN"/>
        </w:rPr>
        <w:t>（附录</w:t>
      </w:r>
      <w:r w:rsidR="00E6165D">
        <w:rPr>
          <w:rFonts w:eastAsia="SimSun" w:hint="eastAsia"/>
          <w:szCs w:val="24"/>
          <w:lang w:eastAsia="zh-CN"/>
        </w:rPr>
        <w:t>2</w:t>
      </w:r>
      <w:r w:rsidR="00E6165D">
        <w:rPr>
          <w:rFonts w:eastAsia="SimSun" w:hint="eastAsia"/>
          <w:szCs w:val="24"/>
          <w:lang w:eastAsia="zh-CN"/>
        </w:rPr>
        <w:t>）</w:t>
      </w:r>
      <w:r>
        <w:rPr>
          <w:rFonts w:eastAsia="SimSun" w:hint="eastAsia"/>
          <w:szCs w:val="24"/>
          <w:lang w:eastAsia="zh-CN"/>
        </w:rPr>
        <w:t>也增加了一个确定有效终端高度和</w:t>
      </w:r>
      <w:r w:rsidR="00E6165D">
        <w:rPr>
          <w:color w:val="000000"/>
          <w:lang w:eastAsia="zh-CN"/>
        </w:rPr>
        <w:t>粗糙</w:t>
      </w:r>
      <w:r w:rsidR="00E6165D">
        <w:rPr>
          <w:rFonts w:ascii="SimSun" w:eastAsia="SimSun" w:hAnsi="SimSun" w:cs="SimSun" w:hint="eastAsia"/>
          <w:color w:val="000000"/>
          <w:lang w:eastAsia="zh-CN"/>
        </w:rPr>
        <w:t>度</w:t>
      </w:r>
      <w:r>
        <w:rPr>
          <w:rFonts w:eastAsia="SimSun" w:hint="eastAsia"/>
          <w:szCs w:val="24"/>
          <w:lang w:eastAsia="zh-CN"/>
        </w:rPr>
        <w:t>参数的程序。</w:t>
      </w:r>
    </w:p>
    <w:p w:rsidR="009C0F13" w:rsidRPr="00390114" w:rsidRDefault="00E6165D" w:rsidP="000259FC">
      <w:pPr>
        <w:ind w:firstLineChars="200" w:firstLine="480"/>
        <w:textAlignment w:val="auto"/>
        <w:rPr>
          <w:rFonts w:eastAsia="SimSun"/>
          <w:szCs w:val="24"/>
          <w:lang w:eastAsia="zh-CN"/>
        </w:rPr>
      </w:pPr>
      <w:r>
        <w:rPr>
          <w:rFonts w:eastAsia="SimSun" w:hint="eastAsia"/>
          <w:szCs w:val="24"/>
          <w:lang w:eastAsia="zh-CN"/>
        </w:rPr>
        <w:t>最后，该草案修订了输入数据产品，包含了差分中值折射指数小于</w:t>
      </w:r>
      <w:r>
        <w:rPr>
          <w:rFonts w:eastAsia="SimSun" w:hint="eastAsia"/>
          <w:szCs w:val="24"/>
          <w:lang w:eastAsia="zh-CN"/>
        </w:rPr>
        <w:t>1</w:t>
      </w:r>
      <w:r>
        <w:rPr>
          <w:rFonts w:eastAsia="SimSun" w:hint="eastAsia"/>
          <w:szCs w:val="24"/>
          <w:lang w:eastAsia="zh-CN"/>
        </w:rPr>
        <w:t>公里（</w:t>
      </w:r>
      <w:r w:rsidRPr="00390114">
        <w:rPr>
          <w:rFonts w:eastAsia="SimSun"/>
          <w:szCs w:val="24"/>
          <w:lang w:eastAsia="zh-CN"/>
        </w:rPr>
        <w:t>DN0.txt</w:t>
      </w:r>
      <w:r>
        <w:rPr>
          <w:rFonts w:eastAsia="SimSun" w:hint="eastAsia"/>
          <w:szCs w:val="24"/>
          <w:lang w:eastAsia="zh-CN"/>
        </w:rPr>
        <w:t>）和表面中值折射指数（</w:t>
      </w:r>
      <w:r w:rsidRPr="00390114">
        <w:rPr>
          <w:rFonts w:eastAsia="SimSun"/>
          <w:szCs w:val="24"/>
          <w:lang w:eastAsia="zh-CN"/>
        </w:rPr>
        <w:t>D050.txt</w:t>
      </w:r>
      <w:r>
        <w:rPr>
          <w:rFonts w:eastAsia="SimSun" w:hint="eastAsia"/>
          <w:szCs w:val="24"/>
          <w:lang w:eastAsia="zh-CN"/>
        </w:rPr>
        <w:t>）的数据。</w:t>
      </w:r>
    </w:p>
    <w:p w:rsidR="009C0F13" w:rsidRPr="008D0F18" w:rsidRDefault="009C0F13" w:rsidP="006457E4">
      <w:pPr>
        <w:tabs>
          <w:tab w:val="right" w:pos="9639"/>
        </w:tabs>
        <w:spacing w:before="360"/>
        <w:rPr>
          <w:szCs w:val="24"/>
          <w:lang w:eastAsia="zh-CN"/>
        </w:rPr>
      </w:pPr>
      <w:r w:rsidRPr="008D0F18">
        <w:rPr>
          <w:szCs w:val="24"/>
          <w:u w:val="single"/>
          <w:lang w:eastAsia="zh-CN"/>
        </w:rPr>
        <w:t>ITU-R P.618-12</w:t>
      </w:r>
      <w:r w:rsidR="00D32124">
        <w:rPr>
          <w:rFonts w:asciiTheme="minorHAnsi" w:hAnsiTheme="minorHAnsi" w:cstheme="minorHAnsi" w:hint="eastAsia"/>
          <w:szCs w:val="24"/>
          <w:u w:val="single"/>
          <w:lang w:eastAsia="zh-CN"/>
        </w:rPr>
        <w:t>建议书修订草案</w:t>
      </w:r>
      <w:r w:rsidRPr="008D0F18">
        <w:rPr>
          <w:szCs w:val="24"/>
          <w:lang w:eastAsia="zh-CN"/>
        </w:rPr>
        <w:tab/>
        <w:t>3/81</w:t>
      </w:r>
      <w:r w:rsidR="006457E4">
        <w:rPr>
          <w:rFonts w:hint="eastAsia"/>
          <w:szCs w:val="24"/>
          <w:lang w:eastAsia="zh-CN"/>
        </w:rPr>
        <w:t>号文件</w:t>
      </w:r>
    </w:p>
    <w:p w:rsidR="009C0F13" w:rsidRPr="007B6B91" w:rsidRDefault="00F974C4" w:rsidP="00F974C4">
      <w:pPr>
        <w:pStyle w:val="Restitle"/>
        <w:rPr>
          <w:color w:val="800000"/>
          <w:sz w:val="22"/>
          <w:szCs w:val="24"/>
          <w:lang w:eastAsia="zh-CN"/>
        </w:rPr>
      </w:pPr>
      <w:r>
        <w:rPr>
          <w:rFonts w:hint="eastAsia"/>
          <w:lang w:eastAsia="zh-CN"/>
        </w:rPr>
        <w:t>设计地对空电信系统所需的传播数据和预测方法</w:t>
      </w:r>
    </w:p>
    <w:p w:rsidR="009C0F13" w:rsidRPr="008D0F18" w:rsidRDefault="00E6165D" w:rsidP="000259FC">
      <w:pPr>
        <w:ind w:firstLineChars="200" w:firstLine="480"/>
        <w:rPr>
          <w:sz w:val="28"/>
          <w:szCs w:val="28"/>
          <w:lang w:eastAsia="zh-CN"/>
        </w:rPr>
      </w:pPr>
      <w:r>
        <w:rPr>
          <w:rFonts w:hint="eastAsia"/>
          <w:szCs w:val="24"/>
          <w:lang w:eastAsia="zh-CN"/>
        </w:rPr>
        <w:t>该</w:t>
      </w:r>
      <w:r w:rsidR="009C0F13" w:rsidRPr="008D0F18">
        <w:rPr>
          <w:szCs w:val="24"/>
          <w:lang w:eastAsia="zh-CN"/>
        </w:rPr>
        <w:t xml:space="preserve">ITU-R </w:t>
      </w:r>
      <w:hyperlink r:id="rId15" w:history="1">
        <w:r w:rsidR="009C0F13" w:rsidRPr="0072510B">
          <w:rPr>
            <w:rStyle w:val="Hyperlink"/>
            <w:szCs w:val="24"/>
            <w:lang w:eastAsia="zh-CN"/>
          </w:rPr>
          <w:t>P.618-12</w:t>
        </w:r>
      </w:hyperlink>
      <w:r>
        <w:rPr>
          <w:rFonts w:hint="eastAsia"/>
          <w:szCs w:val="24"/>
          <w:lang w:eastAsia="zh-CN"/>
        </w:rPr>
        <w:t>建议书修订草案移除了</w:t>
      </w:r>
      <w:r w:rsidRPr="008D0F18">
        <w:rPr>
          <w:szCs w:val="24"/>
          <w:lang w:eastAsia="zh-CN"/>
        </w:rPr>
        <w:t>2.3.2</w:t>
      </w:r>
      <w:r>
        <w:rPr>
          <w:rFonts w:hint="eastAsia"/>
          <w:szCs w:val="24"/>
          <w:lang w:eastAsia="zh-CN"/>
        </w:rPr>
        <w:t>段中现有的波束扩展损耗预测方法并参引了</w:t>
      </w:r>
      <w:r w:rsidR="009C0F13" w:rsidRPr="008D0F18">
        <w:rPr>
          <w:szCs w:val="24"/>
          <w:lang w:eastAsia="zh-CN"/>
        </w:rPr>
        <w:t>ITU-R P.834</w:t>
      </w:r>
      <w:r>
        <w:rPr>
          <w:rFonts w:hint="eastAsia"/>
          <w:szCs w:val="24"/>
          <w:lang w:eastAsia="zh-CN"/>
        </w:rPr>
        <w:t>建议书。</w:t>
      </w:r>
    </w:p>
    <w:p w:rsidR="009C0F13" w:rsidRPr="00700F5D" w:rsidRDefault="009C0F13" w:rsidP="006457E4">
      <w:pPr>
        <w:tabs>
          <w:tab w:val="right" w:pos="9639"/>
        </w:tabs>
        <w:spacing w:before="360"/>
        <w:rPr>
          <w:sz w:val="28"/>
          <w:szCs w:val="28"/>
          <w:lang w:eastAsia="zh-CN"/>
        </w:rPr>
      </w:pPr>
      <w:r w:rsidRPr="00700F5D">
        <w:rPr>
          <w:szCs w:val="28"/>
          <w:u w:val="single"/>
          <w:lang w:eastAsia="zh-CN"/>
        </w:rPr>
        <w:lastRenderedPageBreak/>
        <w:t>ITU-R P.681-9</w:t>
      </w:r>
      <w:r w:rsidR="00D32124">
        <w:rPr>
          <w:rFonts w:asciiTheme="minorHAnsi" w:hAnsiTheme="minorHAnsi" w:cstheme="minorHAnsi" w:hint="eastAsia"/>
          <w:szCs w:val="24"/>
          <w:u w:val="single"/>
          <w:lang w:eastAsia="zh-CN"/>
        </w:rPr>
        <w:t>建议书修订草案</w:t>
      </w:r>
      <w:r>
        <w:rPr>
          <w:szCs w:val="28"/>
          <w:lang w:eastAsia="zh-CN"/>
        </w:rPr>
        <w:tab/>
        <w:t>3/82</w:t>
      </w:r>
      <w:r w:rsidR="006457E4">
        <w:rPr>
          <w:rFonts w:hint="eastAsia"/>
          <w:szCs w:val="24"/>
          <w:lang w:eastAsia="zh-CN"/>
        </w:rPr>
        <w:t>号文件</w:t>
      </w:r>
    </w:p>
    <w:p w:rsidR="009C0F13" w:rsidRPr="007B6B91" w:rsidRDefault="001E3383" w:rsidP="00BF36DA">
      <w:pPr>
        <w:pStyle w:val="Restitle"/>
        <w:rPr>
          <w:color w:val="800000"/>
          <w:sz w:val="22"/>
          <w:szCs w:val="24"/>
          <w:lang w:eastAsia="zh-CN"/>
        </w:rPr>
      </w:pPr>
      <w:r>
        <w:rPr>
          <w:rFonts w:hint="eastAsia"/>
          <w:lang w:eastAsia="zh-CN"/>
        </w:rPr>
        <w:t>设计地球</w:t>
      </w:r>
      <w:r w:rsidR="00BF36DA">
        <w:rPr>
          <w:lang w:eastAsia="zh-CN"/>
        </w:rPr>
        <w:t xml:space="preserve"> – </w:t>
      </w:r>
      <w:r>
        <w:rPr>
          <w:rFonts w:hint="eastAsia"/>
          <w:lang w:eastAsia="zh-CN"/>
        </w:rPr>
        <w:t>空间陆地移动电信系统所需要的传播数据</w:t>
      </w:r>
    </w:p>
    <w:p w:rsidR="009C0F13" w:rsidRPr="00700F5D" w:rsidRDefault="009C0F13" w:rsidP="000259FC">
      <w:pPr>
        <w:ind w:firstLineChars="200" w:firstLine="480"/>
        <w:rPr>
          <w:sz w:val="28"/>
          <w:szCs w:val="28"/>
          <w:lang w:eastAsia="zh-CN"/>
        </w:rPr>
      </w:pPr>
      <w:r w:rsidRPr="00700F5D">
        <w:rPr>
          <w:szCs w:val="24"/>
          <w:lang w:eastAsia="zh-CN"/>
        </w:rPr>
        <w:t xml:space="preserve">ITU-R </w:t>
      </w:r>
      <w:hyperlink r:id="rId16" w:history="1">
        <w:r w:rsidRPr="00700F5D">
          <w:rPr>
            <w:rStyle w:val="Hyperlink"/>
            <w:szCs w:val="24"/>
            <w:lang w:eastAsia="zh-CN"/>
          </w:rPr>
          <w:t>P.681-9</w:t>
        </w:r>
      </w:hyperlink>
      <w:r w:rsidR="00E6165D">
        <w:rPr>
          <w:rFonts w:hint="eastAsia"/>
          <w:szCs w:val="24"/>
          <w:lang w:eastAsia="zh-CN"/>
        </w:rPr>
        <w:t>建议书的本次修订旨在建议新增一节，说明可仿真用于接收机算法评估的大带宽卫星到室内传播情形的大带宽新模型。</w:t>
      </w:r>
    </w:p>
    <w:p w:rsidR="009C0F13" w:rsidRDefault="009C0F13" w:rsidP="006457E4">
      <w:pPr>
        <w:tabs>
          <w:tab w:val="right" w:pos="9639"/>
        </w:tabs>
        <w:spacing w:before="360"/>
        <w:rPr>
          <w:szCs w:val="24"/>
          <w:lang w:eastAsia="zh-CN"/>
        </w:rPr>
      </w:pPr>
      <w:r w:rsidRPr="00390114">
        <w:rPr>
          <w:szCs w:val="24"/>
          <w:u w:val="single"/>
          <w:lang w:eastAsia="zh-CN"/>
        </w:rPr>
        <w:t>ITU-R P.619-2</w:t>
      </w:r>
      <w:r w:rsidR="00D32124">
        <w:rPr>
          <w:rFonts w:asciiTheme="minorHAnsi" w:hAnsiTheme="minorHAnsi" w:cstheme="minorHAnsi" w:hint="eastAsia"/>
          <w:szCs w:val="24"/>
          <w:u w:val="single"/>
          <w:lang w:eastAsia="zh-CN"/>
        </w:rPr>
        <w:t>建议书修订草案</w:t>
      </w:r>
      <w:r>
        <w:rPr>
          <w:szCs w:val="24"/>
          <w:lang w:eastAsia="zh-CN"/>
        </w:rPr>
        <w:tab/>
        <w:t>3/84(Rev.1)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1E3383" w:rsidP="001E3383">
      <w:pPr>
        <w:pStyle w:val="Restitle"/>
        <w:rPr>
          <w:color w:val="800000"/>
          <w:sz w:val="22"/>
          <w:szCs w:val="24"/>
          <w:lang w:eastAsia="zh-CN"/>
        </w:rPr>
      </w:pPr>
      <w:r>
        <w:rPr>
          <w:rFonts w:hint="eastAsia"/>
          <w:lang w:eastAsia="zh-CN"/>
        </w:rPr>
        <w:t>评估空间和地球表面电台之间干扰所需的传播数据</w:t>
      </w:r>
    </w:p>
    <w:p w:rsidR="009C0F13" w:rsidRPr="00390114" w:rsidRDefault="009C0F13" w:rsidP="000259FC">
      <w:pPr>
        <w:ind w:firstLineChars="200" w:firstLine="480"/>
        <w:rPr>
          <w:szCs w:val="24"/>
          <w:lang w:eastAsia="zh-CN"/>
        </w:rPr>
      </w:pPr>
      <w:r w:rsidRPr="00390114">
        <w:rPr>
          <w:szCs w:val="24"/>
          <w:lang w:eastAsia="zh-CN"/>
        </w:rPr>
        <w:t xml:space="preserve">ITU-R </w:t>
      </w:r>
      <w:hyperlink r:id="rId17" w:history="1">
        <w:r w:rsidRPr="00390114">
          <w:rPr>
            <w:rStyle w:val="Hyperlink"/>
            <w:szCs w:val="24"/>
            <w:lang w:eastAsia="zh-CN"/>
          </w:rPr>
          <w:t>P.619-2</w:t>
        </w:r>
      </w:hyperlink>
      <w:r w:rsidRPr="00390114">
        <w:rPr>
          <w:szCs w:val="24"/>
          <w:lang w:eastAsia="zh-CN"/>
        </w:rPr>
        <w:t xml:space="preserve"> </w:t>
      </w:r>
      <w:r w:rsidR="00AF05E5">
        <w:rPr>
          <w:rFonts w:hint="eastAsia"/>
          <w:szCs w:val="24"/>
          <w:lang w:eastAsia="zh-CN"/>
        </w:rPr>
        <w:t>建议书的本修订草案</w:t>
      </w:r>
      <w:r w:rsidR="00E6165D">
        <w:rPr>
          <w:rFonts w:hint="eastAsia"/>
          <w:szCs w:val="24"/>
          <w:lang w:eastAsia="zh-CN"/>
        </w:rPr>
        <w:t>更正了波束扩展损耗预测方法及其他编辑性更正。该拟议修订还包括了其他修订和更正。</w:t>
      </w:r>
    </w:p>
    <w:p w:rsidR="009C0F13" w:rsidRDefault="009C0F13" w:rsidP="006457E4">
      <w:pPr>
        <w:tabs>
          <w:tab w:val="right" w:pos="9639"/>
        </w:tabs>
        <w:spacing w:before="360"/>
        <w:rPr>
          <w:szCs w:val="24"/>
          <w:lang w:eastAsia="zh-CN"/>
        </w:rPr>
      </w:pPr>
      <w:r w:rsidRPr="00A809AE">
        <w:rPr>
          <w:szCs w:val="24"/>
          <w:u w:val="single"/>
          <w:lang w:eastAsia="zh-CN"/>
        </w:rPr>
        <w:t>ITU-R P.1144-8</w:t>
      </w:r>
      <w:r w:rsidR="00D32124">
        <w:rPr>
          <w:rFonts w:asciiTheme="minorHAnsi" w:hAnsiTheme="minorHAnsi" w:cstheme="minorHAnsi" w:hint="eastAsia"/>
          <w:szCs w:val="24"/>
          <w:u w:val="single"/>
          <w:lang w:eastAsia="zh-CN"/>
        </w:rPr>
        <w:t>建议书修订草案</w:t>
      </w:r>
      <w:r>
        <w:rPr>
          <w:szCs w:val="24"/>
          <w:lang w:eastAsia="zh-CN"/>
        </w:rPr>
        <w:tab/>
        <w:t>3/85(Rev.1)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1E3383" w:rsidP="001E3383">
      <w:pPr>
        <w:pStyle w:val="Reptitle"/>
        <w:rPr>
          <w:color w:val="800000"/>
          <w:sz w:val="22"/>
          <w:szCs w:val="24"/>
          <w:lang w:eastAsia="zh-CN"/>
        </w:rPr>
      </w:pPr>
      <w:r>
        <w:rPr>
          <w:rFonts w:hint="eastAsia"/>
          <w:lang w:eastAsia="zh-CN"/>
        </w:rPr>
        <w:t>无线电通信第</w:t>
      </w:r>
      <w:r>
        <w:rPr>
          <w:rFonts w:hint="eastAsia"/>
          <w:lang w:eastAsia="zh-CN"/>
        </w:rPr>
        <w:t>3</w:t>
      </w:r>
      <w:r>
        <w:rPr>
          <w:rFonts w:hint="eastAsia"/>
          <w:lang w:eastAsia="zh-CN"/>
        </w:rPr>
        <w:t>研究组传播方法应用指导</w:t>
      </w:r>
    </w:p>
    <w:p w:rsidR="009C0F13" w:rsidRPr="00A809AE" w:rsidRDefault="006F2F0C" w:rsidP="000259FC">
      <w:pPr>
        <w:tabs>
          <w:tab w:val="right" w:pos="9639"/>
        </w:tabs>
        <w:ind w:firstLineChars="200" w:firstLine="480"/>
        <w:rPr>
          <w:sz w:val="28"/>
          <w:szCs w:val="28"/>
          <w:lang w:eastAsia="zh-CN"/>
        </w:rPr>
      </w:pPr>
      <w:r>
        <w:rPr>
          <w:rFonts w:hint="eastAsia"/>
          <w:szCs w:val="24"/>
          <w:lang w:eastAsia="zh-CN"/>
        </w:rPr>
        <w:t>本文件包含了由于完善</w:t>
      </w:r>
      <w:r>
        <w:rPr>
          <w:rFonts w:hint="eastAsia"/>
          <w:szCs w:val="24"/>
          <w:lang w:eastAsia="zh-CN"/>
        </w:rPr>
        <w:t>ITU-R P</w:t>
      </w:r>
      <w:r>
        <w:rPr>
          <w:rFonts w:hint="eastAsia"/>
          <w:szCs w:val="24"/>
          <w:lang w:eastAsia="zh-CN"/>
        </w:rPr>
        <w:t>系列建议书引发的、对表</w:t>
      </w:r>
      <w:r>
        <w:rPr>
          <w:rFonts w:hint="eastAsia"/>
          <w:szCs w:val="24"/>
          <w:lang w:eastAsia="zh-CN"/>
        </w:rPr>
        <w:t>1</w:t>
      </w:r>
      <w:r>
        <w:rPr>
          <w:rFonts w:hint="eastAsia"/>
          <w:szCs w:val="24"/>
          <w:lang w:eastAsia="zh-CN"/>
        </w:rPr>
        <w:t>和表</w:t>
      </w:r>
      <w:r>
        <w:rPr>
          <w:rFonts w:hint="eastAsia"/>
          <w:szCs w:val="24"/>
          <w:lang w:eastAsia="zh-CN"/>
        </w:rPr>
        <w:t>2</w:t>
      </w:r>
      <w:r>
        <w:rPr>
          <w:rFonts w:hint="eastAsia"/>
          <w:szCs w:val="24"/>
          <w:lang w:eastAsia="zh-CN"/>
        </w:rPr>
        <w:t>的更新。</w:t>
      </w:r>
    </w:p>
    <w:p w:rsidR="009C0F13" w:rsidRDefault="009C0F13" w:rsidP="009C0F13">
      <w:pPr>
        <w:tabs>
          <w:tab w:val="clear" w:pos="794"/>
          <w:tab w:val="clear" w:pos="1191"/>
          <w:tab w:val="clear" w:pos="1588"/>
          <w:tab w:val="clear" w:pos="1985"/>
        </w:tabs>
        <w:overflowPunct/>
        <w:autoSpaceDE/>
        <w:autoSpaceDN/>
        <w:adjustRightInd/>
        <w:spacing w:before="0"/>
        <w:jc w:val="left"/>
        <w:textAlignment w:val="auto"/>
        <w:rPr>
          <w:szCs w:val="24"/>
          <w:u w:val="single"/>
          <w:lang w:eastAsia="zh-CN"/>
        </w:rPr>
      </w:pPr>
    </w:p>
    <w:p w:rsidR="009C0F13" w:rsidRDefault="009C0F13" w:rsidP="006457E4">
      <w:pPr>
        <w:tabs>
          <w:tab w:val="right" w:pos="9639"/>
        </w:tabs>
        <w:spacing w:before="360"/>
        <w:rPr>
          <w:szCs w:val="24"/>
          <w:lang w:eastAsia="zh-CN"/>
        </w:rPr>
      </w:pPr>
      <w:r w:rsidRPr="00A809AE">
        <w:rPr>
          <w:szCs w:val="24"/>
          <w:u w:val="single"/>
          <w:lang w:eastAsia="zh-CN"/>
        </w:rPr>
        <w:t>ITU-R P.311-16</w:t>
      </w:r>
      <w:r w:rsidR="00D32124">
        <w:rPr>
          <w:rFonts w:asciiTheme="minorHAnsi" w:hAnsiTheme="minorHAnsi" w:cstheme="minorHAnsi" w:hint="eastAsia"/>
          <w:szCs w:val="24"/>
          <w:u w:val="single"/>
          <w:lang w:eastAsia="zh-CN"/>
        </w:rPr>
        <w:t>建议书修订草案</w:t>
      </w:r>
      <w:r>
        <w:rPr>
          <w:szCs w:val="24"/>
          <w:lang w:eastAsia="zh-CN"/>
        </w:rPr>
        <w:tab/>
        <w:t>3/86(Rev.1)</w:t>
      </w:r>
      <w:r w:rsidR="006457E4" w:rsidRPr="006457E4">
        <w:rPr>
          <w:rFonts w:hint="eastAsia"/>
          <w:szCs w:val="24"/>
          <w:lang w:eastAsia="zh-CN"/>
        </w:rPr>
        <w:t xml:space="preserve"> </w:t>
      </w:r>
      <w:r w:rsidR="006457E4">
        <w:rPr>
          <w:rFonts w:hint="eastAsia"/>
          <w:szCs w:val="24"/>
          <w:lang w:eastAsia="zh-CN"/>
        </w:rPr>
        <w:t>号文件</w:t>
      </w:r>
    </w:p>
    <w:p w:rsidR="009C0F13" w:rsidRPr="007B6B91" w:rsidRDefault="00F72A33" w:rsidP="00F72A33">
      <w:pPr>
        <w:pStyle w:val="Reptitle"/>
        <w:rPr>
          <w:rFonts w:cstheme="minorHAnsi"/>
          <w:color w:val="800000"/>
          <w:sz w:val="22"/>
          <w:szCs w:val="28"/>
          <w:lang w:eastAsia="zh-CN"/>
        </w:rPr>
      </w:pPr>
      <w:r>
        <w:rPr>
          <w:rFonts w:hint="eastAsia"/>
          <w:lang w:eastAsia="zh-CN"/>
        </w:rPr>
        <w:t>对无线电波传播研究中数据的采集、表述和分析</w:t>
      </w:r>
    </w:p>
    <w:p w:rsidR="009C0F13" w:rsidRDefault="009C0F13" w:rsidP="000259FC">
      <w:pPr>
        <w:ind w:firstLineChars="200" w:firstLine="480"/>
        <w:rPr>
          <w:szCs w:val="24"/>
          <w:lang w:eastAsia="zh-CN"/>
        </w:rPr>
      </w:pPr>
      <w:r w:rsidRPr="00A809AE">
        <w:rPr>
          <w:szCs w:val="24"/>
          <w:lang w:eastAsia="zh-CN"/>
        </w:rPr>
        <w:t xml:space="preserve">ITU-R </w:t>
      </w:r>
      <w:hyperlink r:id="rId18" w:history="1">
        <w:r w:rsidRPr="0072510B">
          <w:rPr>
            <w:rStyle w:val="Hyperlink"/>
            <w:szCs w:val="24"/>
            <w:lang w:eastAsia="zh-CN"/>
          </w:rPr>
          <w:t>P.311-16</w:t>
        </w:r>
      </w:hyperlink>
      <w:r w:rsidRPr="00A809AE">
        <w:rPr>
          <w:szCs w:val="24"/>
          <w:lang w:eastAsia="zh-CN"/>
        </w:rPr>
        <w:t xml:space="preserve"> </w:t>
      </w:r>
      <w:r w:rsidR="00E6165D">
        <w:rPr>
          <w:rFonts w:hint="eastAsia"/>
          <w:szCs w:val="24"/>
          <w:lang w:eastAsia="zh-CN"/>
        </w:rPr>
        <w:t>建议书的</w:t>
      </w:r>
      <w:r w:rsidR="005E5D4A">
        <w:rPr>
          <w:rFonts w:hint="eastAsia"/>
          <w:szCs w:val="24"/>
          <w:lang w:eastAsia="zh-CN"/>
        </w:rPr>
        <w:t>该</w:t>
      </w:r>
      <w:r w:rsidR="00E6165D">
        <w:rPr>
          <w:rFonts w:hint="eastAsia"/>
          <w:szCs w:val="24"/>
          <w:lang w:eastAsia="zh-CN"/>
        </w:rPr>
        <w:t>拟议修订</w:t>
      </w:r>
      <w:r w:rsidR="005E5D4A">
        <w:rPr>
          <w:rFonts w:hint="eastAsia"/>
          <w:szCs w:val="24"/>
          <w:lang w:eastAsia="zh-CN"/>
        </w:rPr>
        <w:t>旨在提供</w:t>
      </w:r>
      <w:r w:rsidR="00147D76">
        <w:rPr>
          <w:rFonts w:hint="eastAsia"/>
          <w:szCs w:val="24"/>
          <w:lang w:eastAsia="zh-CN"/>
        </w:rPr>
        <w:t>针对地面与航空移动终端之间链路情形的额外实验数据。修订述于附件</w:t>
      </w:r>
      <w:r w:rsidR="00147D76">
        <w:rPr>
          <w:rFonts w:hint="eastAsia"/>
          <w:szCs w:val="24"/>
          <w:lang w:eastAsia="zh-CN"/>
        </w:rPr>
        <w:t>1</w:t>
      </w:r>
      <w:r w:rsidR="00147D76">
        <w:rPr>
          <w:rFonts w:hint="eastAsia"/>
          <w:szCs w:val="24"/>
          <w:lang w:eastAsia="zh-CN"/>
        </w:rPr>
        <w:t>中。</w:t>
      </w:r>
    </w:p>
    <w:p w:rsidR="009C0F13" w:rsidRDefault="009C0F13" w:rsidP="0032202E">
      <w:pPr>
        <w:pStyle w:val="Reasons"/>
        <w:rPr>
          <w:lang w:eastAsia="zh-CN"/>
        </w:rPr>
      </w:pPr>
    </w:p>
    <w:p w:rsidR="009C0F13" w:rsidRDefault="009C0F13">
      <w:pPr>
        <w:jc w:val="center"/>
      </w:pPr>
      <w:r>
        <w:t>______________</w:t>
      </w:r>
    </w:p>
    <w:sectPr w:rsidR="009C0F13"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92" w:rsidRDefault="00843F92" w:rsidP="00843F92">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A16E6" w:rsidRPr="00843F92" w:rsidRDefault="00843F92" w:rsidP="00843F92">
    <w:pPr>
      <w:pStyle w:val="FirstFooter"/>
      <w:spacing w:before="0"/>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357426">
      <w:rPr>
        <w:rStyle w:val="PageNumber"/>
        <w:noProof/>
        <w:sz w:val="18"/>
        <w:szCs w:val="18"/>
      </w:rPr>
      <w:t>2</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357426">
      <w:rPr>
        <w:iCs/>
        <w:noProof/>
        <w:sz w:val="18"/>
        <w:szCs w:val="18"/>
      </w:rPr>
      <w:t>3</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15307C" w:rsidP="00DA16E6">
          <w:pPr>
            <w:pStyle w:val="Header"/>
            <w:tabs>
              <w:tab w:val="clear" w:pos="794"/>
              <w:tab w:val="clear" w:pos="4820"/>
            </w:tabs>
            <w:spacing w:line="360" w:lineRule="auto"/>
            <w:jc w:val="right"/>
          </w:pPr>
          <w:r w:rsidRPr="00A03501">
            <w:rPr>
              <w:noProof/>
              <w:lang w:eastAsia="zh-CN"/>
            </w:rPr>
            <w:drawing>
              <wp:inline distT="0" distB="0" distL="0" distR="0" wp14:anchorId="34613CD4" wp14:editId="11674DC9">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48C1"/>
    <w:rsid w:val="00015C76"/>
    <w:rsid w:val="000259FC"/>
    <w:rsid w:val="00026CF8"/>
    <w:rsid w:val="00030BD7"/>
    <w:rsid w:val="00031E64"/>
    <w:rsid w:val="00034340"/>
    <w:rsid w:val="00035CB3"/>
    <w:rsid w:val="00045A8D"/>
    <w:rsid w:val="0005167A"/>
    <w:rsid w:val="00054E5D"/>
    <w:rsid w:val="00070258"/>
    <w:rsid w:val="0007323C"/>
    <w:rsid w:val="00083CB3"/>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47D76"/>
    <w:rsid w:val="0015307C"/>
    <w:rsid w:val="00162C2A"/>
    <w:rsid w:val="00164B62"/>
    <w:rsid w:val="00177F83"/>
    <w:rsid w:val="00186B04"/>
    <w:rsid w:val="00187CA3"/>
    <w:rsid w:val="00196710"/>
    <w:rsid w:val="00196770"/>
    <w:rsid w:val="00197324"/>
    <w:rsid w:val="001A2A22"/>
    <w:rsid w:val="001B351B"/>
    <w:rsid w:val="001B42C9"/>
    <w:rsid w:val="001C06DB"/>
    <w:rsid w:val="001C6971"/>
    <w:rsid w:val="001D2785"/>
    <w:rsid w:val="001D7070"/>
    <w:rsid w:val="001E3383"/>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7426"/>
    <w:rsid w:val="003666FF"/>
    <w:rsid w:val="0037309C"/>
    <w:rsid w:val="00380A6E"/>
    <w:rsid w:val="003836D4"/>
    <w:rsid w:val="003A1F49"/>
    <w:rsid w:val="003A2CE1"/>
    <w:rsid w:val="003A55ED"/>
    <w:rsid w:val="003A5D52"/>
    <w:rsid w:val="003B2BDA"/>
    <w:rsid w:val="003B55EC"/>
    <w:rsid w:val="003C2EA7"/>
    <w:rsid w:val="003C4471"/>
    <w:rsid w:val="003C7D41"/>
    <w:rsid w:val="003D4A69"/>
    <w:rsid w:val="003E504F"/>
    <w:rsid w:val="003E78D6"/>
    <w:rsid w:val="00400573"/>
    <w:rsid w:val="004007A3"/>
    <w:rsid w:val="00403276"/>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D7514"/>
    <w:rsid w:val="004E0DC4"/>
    <w:rsid w:val="004E0FB5"/>
    <w:rsid w:val="004E2972"/>
    <w:rsid w:val="004E43BB"/>
    <w:rsid w:val="004E460D"/>
    <w:rsid w:val="004F178E"/>
    <w:rsid w:val="004F4543"/>
    <w:rsid w:val="004F57BB"/>
    <w:rsid w:val="00505309"/>
    <w:rsid w:val="0050789B"/>
    <w:rsid w:val="005224A1"/>
    <w:rsid w:val="00524B0C"/>
    <w:rsid w:val="00534372"/>
    <w:rsid w:val="00543DF8"/>
    <w:rsid w:val="00546101"/>
    <w:rsid w:val="00553DD7"/>
    <w:rsid w:val="005633AC"/>
    <w:rsid w:val="005638CF"/>
    <w:rsid w:val="00566A55"/>
    <w:rsid w:val="0056741E"/>
    <w:rsid w:val="0057325A"/>
    <w:rsid w:val="0057469A"/>
    <w:rsid w:val="00580814"/>
    <w:rsid w:val="00583A0B"/>
    <w:rsid w:val="005A03A3"/>
    <w:rsid w:val="005A2B92"/>
    <w:rsid w:val="005A3F66"/>
    <w:rsid w:val="005A79E9"/>
    <w:rsid w:val="005B214C"/>
    <w:rsid w:val="005B4CDA"/>
    <w:rsid w:val="005C7B7E"/>
    <w:rsid w:val="005D3669"/>
    <w:rsid w:val="005E5C29"/>
    <w:rsid w:val="005E5D4A"/>
    <w:rsid w:val="005E5EB3"/>
    <w:rsid w:val="005F3CB6"/>
    <w:rsid w:val="005F657C"/>
    <w:rsid w:val="00602D53"/>
    <w:rsid w:val="006047E5"/>
    <w:rsid w:val="006103FA"/>
    <w:rsid w:val="0062184E"/>
    <w:rsid w:val="0064098B"/>
    <w:rsid w:val="0064371D"/>
    <w:rsid w:val="006457E4"/>
    <w:rsid w:val="00650543"/>
    <w:rsid w:val="00650B2A"/>
    <w:rsid w:val="00651777"/>
    <w:rsid w:val="006550F8"/>
    <w:rsid w:val="00677D2E"/>
    <w:rsid w:val="006829F3"/>
    <w:rsid w:val="006A518B"/>
    <w:rsid w:val="006B0590"/>
    <w:rsid w:val="006B49DA"/>
    <w:rsid w:val="006C53F8"/>
    <w:rsid w:val="006C7CDE"/>
    <w:rsid w:val="006F2F0C"/>
    <w:rsid w:val="007234B1"/>
    <w:rsid w:val="00723D08"/>
    <w:rsid w:val="007253AF"/>
    <w:rsid w:val="00725FDA"/>
    <w:rsid w:val="00727816"/>
    <w:rsid w:val="00730B9A"/>
    <w:rsid w:val="00733769"/>
    <w:rsid w:val="00750CFA"/>
    <w:rsid w:val="007553DA"/>
    <w:rsid w:val="007616E7"/>
    <w:rsid w:val="00775DB8"/>
    <w:rsid w:val="00782354"/>
    <w:rsid w:val="007921A7"/>
    <w:rsid w:val="00794485"/>
    <w:rsid w:val="00796CD6"/>
    <w:rsid w:val="007B3DB1"/>
    <w:rsid w:val="007D183E"/>
    <w:rsid w:val="007D43D0"/>
    <w:rsid w:val="007D6787"/>
    <w:rsid w:val="007E1833"/>
    <w:rsid w:val="007E3F13"/>
    <w:rsid w:val="007F751A"/>
    <w:rsid w:val="00800012"/>
    <w:rsid w:val="0080261F"/>
    <w:rsid w:val="00806160"/>
    <w:rsid w:val="008143A4"/>
    <w:rsid w:val="0081513E"/>
    <w:rsid w:val="00843F92"/>
    <w:rsid w:val="008443D9"/>
    <w:rsid w:val="00854131"/>
    <w:rsid w:val="0085652D"/>
    <w:rsid w:val="008674D0"/>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0F13"/>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05E5"/>
    <w:rsid w:val="00AF3325"/>
    <w:rsid w:val="00AF34D9"/>
    <w:rsid w:val="00AF70DA"/>
    <w:rsid w:val="00B019D3"/>
    <w:rsid w:val="00B06B90"/>
    <w:rsid w:val="00B34CF9"/>
    <w:rsid w:val="00B37559"/>
    <w:rsid w:val="00B4054B"/>
    <w:rsid w:val="00B579B0"/>
    <w:rsid w:val="00B57D11"/>
    <w:rsid w:val="00B61AEC"/>
    <w:rsid w:val="00B649D7"/>
    <w:rsid w:val="00B6766B"/>
    <w:rsid w:val="00B81C2F"/>
    <w:rsid w:val="00B90743"/>
    <w:rsid w:val="00B90C45"/>
    <w:rsid w:val="00B933BE"/>
    <w:rsid w:val="00BD6738"/>
    <w:rsid w:val="00BD7E5E"/>
    <w:rsid w:val="00BE63DB"/>
    <w:rsid w:val="00BE6574"/>
    <w:rsid w:val="00BF36DA"/>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D10BA0"/>
    <w:rsid w:val="00D13164"/>
    <w:rsid w:val="00D21694"/>
    <w:rsid w:val="00D24EB5"/>
    <w:rsid w:val="00D32124"/>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65D"/>
    <w:rsid w:val="00E63E21"/>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72A33"/>
    <w:rsid w:val="00F8310E"/>
    <w:rsid w:val="00F914DD"/>
    <w:rsid w:val="00F974C4"/>
    <w:rsid w:val="00FA2358"/>
    <w:rsid w:val="00FB2592"/>
    <w:rsid w:val="00FB2810"/>
    <w:rsid w:val="00FB7A2C"/>
    <w:rsid w:val="00FC2947"/>
    <w:rsid w:val="00FC6A35"/>
    <w:rsid w:val="00FD408A"/>
    <w:rsid w:val="00FE0818"/>
    <w:rsid w:val="00FE08CC"/>
    <w:rsid w:val="00FE2B7E"/>
    <w:rsid w:val="00FE6FB1"/>
    <w:rsid w:val="00FE76A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B3A3739-F226-4CE7-ADCF-15618393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9C0F13"/>
    <w:rPr>
      <w:b/>
      <w:sz w:val="28"/>
      <w:szCs w:val="22"/>
      <w:lang w:val="en-US" w:eastAsia="en-US"/>
    </w:rPr>
  </w:style>
  <w:style w:type="character" w:customStyle="1" w:styleId="enumlev1Char">
    <w:name w:val="enumlev1 Char"/>
    <w:link w:val="enumlev1"/>
    <w:rsid w:val="009C0F13"/>
    <w:rPr>
      <w:sz w:val="24"/>
      <w:szCs w:val="22"/>
      <w:lang w:val="en-US" w:eastAsia="en-US"/>
    </w:rPr>
  </w:style>
  <w:style w:type="character" w:styleId="FollowedHyperlink">
    <w:name w:val="FollowedHyperlink"/>
    <w:basedOn w:val="DefaultParagraphFont"/>
    <w:semiHidden/>
    <w:unhideWhenUsed/>
    <w:rsid w:val="001A2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rec/R-REC-P.840/en" TargetMode="External"/><Relationship Id="rId18" Type="http://schemas.openxmlformats.org/officeDocument/2006/relationships/hyperlink" Target="http://www.itu.int/rec/R-REC-P.311-16-201609-I/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rec/R-REC-P.836/en" TargetMode="External"/><Relationship Id="rId17" Type="http://schemas.openxmlformats.org/officeDocument/2006/relationships/hyperlink" Target="http://www.itu.int/rec/R-REC-P.619/en" TargetMode="External"/><Relationship Id="rId2" Type="http://schemas.openxmlformats.org/officeDocument/2006/relationships/numbering" Target="numbering.xml"/><Relationship Id="rId16" Type="http://schemas.openxmlformats.org/officeDocument/2006/relationships/hyperlink" Target="http://www.itu.int/rec/R-REC-P.681/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34-8-201609-I/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rec/R-REC-P.618-12-201507-I/en" TargetMode="External"/><Relationship Id="rId23" Type="http://schemas.openxmlformats.org/officeDocument/2006/relationships/fontTable" Target="fontTable.xml"/><Relationship Id="rId10" Type="http://schemas.openxmlformats.org/officeDocument/2006/relationships/hyperlink" Target="https://www.itu.int/md/R15-SG03-C/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rec/R-REC-P.83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91B7-4E7F-420F-A5D5-26C56BA6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2235</Words>
  <Characters>1591</Characters>
  <Application>Microsoft Office Word</Application>
  <DocSecurity>0</DocSecurity>
  <Lines>13</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4</cp:revision>
  <cp:lastPrinted>2017-09-29T13:59:00Z</cp:lastPrinted>
  <dcterms:created xsi:type="dcterms:W3CDTF">2017-09-28T13:52:00Z</dcterms:created>
  <dcterms:modified xsi:type="dcterms:W3CDTF">2017-09-29T14:00:00Z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