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CD4E4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CD4E44">
              <w:rPr>
                <w:szCs w:val="24"/>
                <w:lang w:val="fr-CH"/>
              </w:rPr>
              <w:t xml:space="preserve">Administrative </w:t>
            </w:r>
            <w:proofErr w:type="spellStart"/>
            <w:r w:rsidR="008B35A3"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CD4E44" w:rsidRDefault="00F44117" w:rsidP="00147E4A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A22034">
              <w:rPr>
                <w:b/>
                <w:bCs/>
                <w:szCs w:val="24"/>
                <w:lang w:val="fr-CH"/>
              </w:rPr>
              <w:t>CACE</w:t>
            </w:r>
            <w:proofErr w:type="spellEnd"/>
            <w:r w:rsidRPr="00A22034">
              <w:rPr>
                <w:b/>
                <w:bCs/>
                <w:szCs w:val="24"/>
                <w:lang w:val="fr-CH"/>
              </w:rPr>
              <w:t>/</w:t>
            </w:r>
            <w:r w:rsidR="00147E4A">
              <w:rPr>
                <w:b/>
                <w:bCs/>
                <w:szCs w:val="24"/>
                <w:lang w:val="fr-CH"/>
              </w:rPr>
              <w:t>824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147E4A" w:rsidP="00A078BD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</w:t>
            </w:r>
            <w:r w:rsidR="00A078BD">
              <w:rPr>
                <w:szCs w:val="24"/>
                <w:lang w:val="en-GB"/>
              </w:rPr>
              <w:t>9</w:t>
            </w:r>
            <w:r>
              <w:rPr>
                <w:szCs w:val="24"/>
                <w:lang w:val="en-GB"/>
              </w:rPr>
              <w:t xml:space="preserve"> July 2017</w:t>
            </w: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44117" w:rsidRPr="00A22034" w:rsidRDefault="00F44117" w:rsidP="005D0D77">
            <w:pPr>
              <w:spacing w:before="0"/>
              <w:jc w:val="left"/>
              <w:rPr>
                <w:b/>
                <w:bCs/>
                <w:szCs w:val="24"/>
              </w:rPr>
            </w:pPr>
            <w:r w:rsidRPr="00A22034">
              <w:rPr>
                <w:b/>
                <w:bCs/>
                <w:szCs w:val="24"/>
              </w:rPr>
              <w:t xml:space="preserve">To Administrations of Member States of the </w:t>
            </w:r>
            <w:proofErr w:type="spellStart"/>
            <w:r w:rsidRPr="00A22034">
              <w:rPr>
                <w:b/>
                <w:bCs/>
                <w:szCs w:val="24"/>
              </w:rPr>
              <w:t>ITU</w:t>
            </w:r>
            <w:proofErr w:type="spellEnd"/>
            <w:r w:rsidRPr="00A22034">
              <w:rPr>
                <w:b/>
                <w:bCs/>
              </w:rPr>
              <w:t xml:space="preserve">, </w:t>
            </w:r>
            <w:proofErr w:type="spellStart"/>
            <w:r w:rsidRPr="00A22034">
              <w:rPr>
                <w:b/>
                <w:bCs/>
              </w:rPr>
              <w:t>Radiocommunication</w:t>
            </w:r>
            <w:proofErr w:type="spellEnd"/>
            <w:r w:rsidRPr="00A22034">
              <w:rPr>
                <w:b/>
                <w:bCs/>
              </w:rPr>
              <w:t xml:space="preserve"> Sector Members</w:t>
            </w:r>
            <w:r>
              <w:rPr>
                <w:b/>
                <w:bCs/>
              </w:rPr>
              <w:t>,</w:t>
            </w:r>
            <w:r w:rsidRPr="00A22034">
              <w:rPr>
                <w:b/>
                <w:bCs/>
              </w:rPr>
              <w:t xml:space="preserve"> </w:t>
            </w:r>
            <w:r w:rsidRPr="00A22034">
              <w:rPr>
                <w:b/>
                <w:bCs/>
              </w:rPr>
              <w:br/>
            </w:r>
            <w:proofErr w:type="spellStart"/>
            <w:r w:rsidRPr="00A22034">
              <w:rPr>
                <w:b/>
                <w:bCs/>
              </w:rPr>
              <w:t>ITU</w:t>
            </w:r>
            <w:proofErr w:type="spellEnd"/>
            <w:r w:rsidRPr="00A22034">
              <w:rPr>
                <w:b/>
                <w:bCs/>
              </w:rPr>
              <w:t xml:space="preserve">-R Associates participating in the work of </w:t>
            </w:r>
            <w:proofErr w:type="spellStart"/>
            <w:r w:rsidRPr="00A22034">
              <w:rPr>
                <w:b/>
                <w:bCs/>
              </w:rPr>
              <w:t>Radiocommunication</w:t>
            </w:r>
            <w:proofErr w:type="spellEnd"/>
            <w:r w:rsidRPr="00A22034">
              <w:rPr>
                <w:b/>
                <w:bCs/>
              </w:rPr>
              <w:t xml:space="preserve"> Study Group </w:t>
            </w:r>
            <w:r w:rsidR="005D0D77">
              <w:rPr>
                <w:b/>
                <w:bCs/>
              </w:rPr>
              <w:t xml:space="preserve">7 </w:t>
            </w:r>
            <w:r>
              <w:rPr>
                <w:b/>
                <w:bCs/>
              </w:rPr>
              <w:t xml:space="preserve">and </w:t>
            </w:r>
            <w:proofErr w:type="spellStart"/>
            <w:r>
              <w:rPr>
                <w:b/>
                <w:bCs/>
              </w:rPr>
              <w:t>ITU</w:t>
            </w:r>
            <w:proofErr w:type="spellEnd"/>
            <w:r>
              <w:rPr>
                <w:b/>
                <w:bCs/>
              </w:rPr>
              <w:t xml:space="preserve"> Academia</w:t>
            </w:r>
          </w:p>
          <w:p w:rsidR="00D21694" w:rsidRPr="00CD4E44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CD4E44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CD4E4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44117" w:rsidRPr="00532F5D" w:rsidRDefault="00F441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 w:line="240" w:lineRule="auto"/>
              <w:ind w:left="709" w:hanging="709"/>
              <w:rPr>
                <w:b/>
              </w:rPr>
            </w:pPr>
            <w:proofErr w:type="spellStart"/>
            <w:r w:rsidRPr="00A22034">
              <w:rPr>
                <w:b/>
                <w:bCs/>
              </w:rPr>
              <w:t>Radiocommunication</w:t>
            </w:r>
            <w:proofErr w:type="spellEnd"/>
            <w:r w:rsidRPr="00A22034">
              <w:rPr>
                <w:b/>
                <w:bCs/>
              </w:rPr>
              <w:t xml:space="preserve"> Study Group </w:t>
            </w:r>
            <w:r w:rsidR="005D0D77" w:rsidRPr="00532F5D">
              <w:rPr>
                <w:b/>
                <w:bCs/>
              </w:rPr>
              <w:t xml:space="preserve">7 </w:t>
            </w:r>
            <w:r w:rsidRPr="00532F5D">
              <w:rPr>
                <w:b/>
                <w:bCs/>
              </w:rPr>
              <w:t>(</w:t>
            </w:r>
            <w:r w:rsidR="005D0D77" w:rsidRPr="00532F5D">
              <w:rPr>
                <w:b/>
                <w:bCs/>
              </w:rPr>
              <w:t>Science Services</w:t>
            </w:r>
            <w:r w:rsidRPr="00532F5D">
              <w:rPr>
                <w:b/>
                <w:bCs/>
              </w:rPr>
              <w:t>)</w:t>
            </w:r>
          </w:p>
          <w:p w:rsidR="00F44117" w:rsidRPr="00A22034" w:rsidRDefault="00F44117">
            <w:pPr>
              <w:tabs>
                <w:tab w:val="clear" w:pos="1588"/>
                <w:tab w:val="clear" w:pos="1985"/>
                <w:tab w:val="left" w:pos="1134"/>
                <w:tab w:val="left" w:pos="1418"/>
              </w:tabs>
              <w:spacing w:before="240"/>
              <w:ind w:left="742" w:hanging="742"/>
              <w:rPr>
                <w:b/>
              </w:rPr>
            </w:pPr>
            <w:r w:rsidRPr="00532F5D">
              <w:rPr>
                <w:b/>
              </w:rPr>
              <w:t>–</w:t>
            </w:r>
            <w:r w:rsidRPr="00532F5D">
              <w:rPr>
                <w:bCs/>
              </w:rPr>
              <w:tab/>
            </w:r>
            <w:r w:rsidRPr="00532F5D">
              <w:rPr>
                <w:b/>
              </w:rPr>
              <w:t xml:space="preserve">Proposed approval of </w:t>
            </w:r>
            <w:r w:rsidR="005D0D77" w:rsidRPr="00532F5D">
              <w:rPr>
                <w:b/>
              </w:rPr>
              <w:t xml:space="preserve">2 </w:t>
            </w:r>
            <w:r w:rsidRPr="00532F5D">
              <w:rPr>
                <w:b/>
              </w:rPr>
              <w:t xml:space="preserve">draft revised </w:t>
            </w:r>
            <w:proofErr w:type="spellStart"/>
            <w:r w:rsidRPr="00532F5D">
              <w:rPr>
                <w:b/>
              </w:rPr>
              <w:t>ITU</w:t>
            </w:r>
            <w:proofErr w:type="spellEnd"/>
            <w:r w:rsidRPr="00532F5D">
              <w:rPr>
                <w:b/>
              </w:rPr>
              <w:t>-R Recommendations</w:t>
            </w:r>
          </w:p>
          <w:p w:rsidR="00B4054B" w:rsidRPr="00CD4E44" w:rsidRDefault="00B4054B" w:rsidP="00F44117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CD4E44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D4E4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CD4E44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D4E4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CD4E4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CD4E4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A5DD7" w:rsidRPr="00CD4E44" w:rsidRDefault="002A5DD7" w:rsidP="002A5DD7">
      <w:pPr>
        <w:spacing w:before="0"/>
        <w:rPr>
          <w:szCs w:val="24"/>
        </w:rPr>
      </w:pPr>
    </w:p>
    <w:p w:rsidR="00F44117" w:rsidRPr="006B761A" w:rsidRDefault="00F44117">
      <w:r w:rsidRPr="00A22034">
        <w:t xml:space="preserve">At the meeting of </w:t>
      </w:r>
      <w:proofErr w:type="spellStart"/>
      <w:r w:rsidRPr="00A22034">
        <w:t>Radiocommunication</w:t>
      </w:r>
      <w:proofErr w:type="spellEnd"/>
      <w:r w:rsidRPr="00A22034">
        <w:t xml:space="preserve"> Study Group </w:t>
      </w:r>
      <w:r w:rsidR="005D0D77">
        <w:t>7</w:t>
      </w:r>
      <w:r w:rsidR="005D0D77" w:rsidRPr="00A22034">
        <w:t xml:space="preserve"> </w:t>
      </w:r>
      <w:r w:rsidRPr="00A22034">
        <w:t xml:space="preserve">held </w:t>
      </w:r>
      <w:r w:rsidR="005D0D77">
        <w:t>on 4 and 12 April</w:t>
      </w:r>
      <w:r w:rsidR="009D1119">
        <w:t xml:space="preserve"> 2017</w:t>
      </w:r>
      <w:r w:rsidRPr="00A22034">
        <w:t xml:space="preserve">, the Study Group </w:t>
      </w:r>
      <w:r w:rsidRPr="006B761A">
        <w:t xml:space="preserve">decided to seek adoption of </w:t>
      </w:r>
      <w:r w:rsidR="005D0D77" w:rsidRPr="006B761A">
        <w:t xml:space="preserve">2 </w:t>
      </w:r>
      <w:r w:rsidRPr="006B761A">
        <w:t xml:space="preserve">draft revised </w:t>
      </w:r>
      <w:proofErr w:type="spellStart"/>
      <w:r w:rsidRPr="006B761A">
        <w:t>ITU</w:t>
      </w:r>
      <w:proofErr w:type="spellEnd"/>
      <w:r w:rsidRPr="006B761A">
        <w:t>-R Recommendations by correspondence, in accordance with § </w:t>
      </w:r>
      <w:proofErr w:type="spellStart"/>
      <w:r w:rsidRPr="006B761A">
        <w:t>A2.6.2.2.3</w:t>
      </w:r>
      <w:proofErr w:type="spellEnd"/>
      <w:r w:rsidRPr="006B761A">
        <w:t xml:space="preserve"> of Resolution </w:t>
      </w:r>
      <w:proofErr w:type="spellStart"/>
      <w:r w:rsidRPr="006B761A">
        <w:t>ITU</w:t>
      </w:r>
      <w:proofErr w:type="spellEnd"/>
      <w:r w:rsidRPr="006B761A">
        <w:noBreakHyphen/>
        <w:t>R 1-7. The Recommendations</w:t>
      </w:r>
      <w:r w:rsidR="00AF215B" w:rsidRPr="006B761A">
        <w:t xml:space="preserve"> </w:t>
      </w:r>
      <w:r w:rsidRPr="006B761A">
        <w:t xml:space="preserve">have now been adopted by Study Group </w:t>
      </w:r>
      <w:r w:rsidR="005D0D77" w:rsidRPr="006B761A">
        <w:t xml:space="preserve">7 </w:t>
      </w:r>
      <w:r w:rsidRPr="006B761A">
        <w:t xml:space="preserve">and the approval procedure of Resolution </w:t>
      </w:r>
      <w:proofErr w:type="spellStart"/>
      <w:r w:rsidRPr="006B761A">
        <w:t>ITU</w:t>
      </w:r>
      <w:proofErr w:type="spellEnd"/>
      <w:r w:rsidRPr="006B761A">
        <w:t xml:space="preserve">-R 1-7 § </w:t>
      </w:r>
      <w:proofErr w:type="spellStart"/>
      <w:r w:rsidRPr="006B761A">
        <w:t>A2.6.2.3</w:t>
      </w:r>
      <w:proofErr w:type="spellEnd"/>
      <w:r w:rsidRPr="006B761A">
        <w:t xml:space="preserve"> is to be applied. The titles and the summaries of the draft Recommendations are given in the Annex to this letter. Any Member State who objects to the approval of a draft Recommendation is requested to inform the Director and the Chairman of the Study Group of the reasons for the objection.</w:t>
      </w:r>
    </w:p>
    <w:p w:rsidR="00F44117" w:rsidRPr="006B761A" w:rsidRDefault="00F44117">
      <w:pPr>
        <w:spacing w:before="136"/>
      </w:pPr>
      <w:r w:rsidRPr="006B761A">
        <w:t xml:space="preserve">As stated in Administrative Circular </w:t>
      </w:r>
      <w:proofErr w:type="spellStart"/>
      <w:r w:rsidRPr="006B761A">
        <w:t>CACE</w:t>
      </w:r>
      <w:proofErr w:type="spellEnd"/>
      <w:r w:rsidRPr="006B761A">
        <w:t>/</w:t>
      </w:r>
      <w:r w:rsidR="005D0D77" w:rsidRPr="006B761A">
        <w:t>810</w:t>
      </w:r>
      <w:r w:rsidRPr="006B761A">
        <w:t xml:space="preserve">, dated </w:t>
      </w:r>
      <w:r w:rsidR="005D0D77" w:rsidRPr="006B761A">
        <w:t>10 May 2017</w:t>
      </w:r>
      <w:r w:rsidRPr="006B761A">
        <w:t xml:space="preserve">, the consultation period for the adoption of the Recommendations ended on </w:t>
      </w:r>
      <w:r w:rsidR="002F7790" w:rsidRPr="006B761A">
        <w:t>10 July 2017</w:t>
      </w:r>
      <w:r w:rsidRPr="006B761A">
        <w:t>.</w:t>
      </w:r>
    </w:p>
    <w:p w:rsidR="00F44117" w:rsidRPr="006B761A" w:rsidRDefault="00F44117" w:rsidP="00A078BD">
      <w:r w:rsidRPr="006B761A">
        <w:t xml:space="preserve">Having regard to the provisions of § </w:t>
      </w:r>
      <w:proofErr w:type="spellStart"/>
      <w:r w:rsidRPr="006B761A">
        <w:t>A2.6.2.3</w:t>
      </w:r>
      <w:proofErr w:type="spellEnd"/>
      <w:r w:rsidRPr="006B761A">
        <w:t xml:space="preserve"> of Resolution </w:t>
      </w:r>
      <w:proofErr w:type="spellStart"/>
      <w:r w:rsidRPr="006B761A">
        <w:t>ITU</w:t>
      </w:r>
      <w:proofErr w:type="spellEnd"/>
      <w:r w:rsidRPr="006B761A">
        <w:t>-R 1-7, Member States are requested to inform the Secretariat (</w:t>
      </w:r>
      <w:proofErr w:type="spellStart"/>
      <w:r w:rsidR="00F834F6" w:rsidRPr="006B761A">
        <w:fldChar w:fldCharType="begin"/>
      </w:r>
      <w:r w:rsidR="00F834F6" w:rsidRPr="006B761A">
        <w:instrText xml:space="preserve"> HYPERLINK "mailto:brsgd@itu.int" </w:instrText>
      </w:r>
      <w:r w:rsidR="00F834F6" w:rsidRPr="006B761A">
        <w:fldChar w:fldCharType="separate"/>
      </w:r>
      <w:r w:rsidRPr="006B761A">
        <w:rPr>
          <w:rStyle w:val="Hyperlink"/>
        </w:rPr>
        <w:t>brsgd@itu.int</w:t>
      </w:r>
      <w:proofErr w:type="spellEnd"/>
      <w:r w:rsidR="00F834F6" w:rsidRPr="006B761A">
        <w:rPr>
          <w:rStyle w:val="Hyperlink"/>
        </w:rPr>
        <w:fldChar w:fldCharType="end"/>
      </w:r>
      <w:r w:rsidRPr="006B761A">
        <w:t xml:space="preserve">) by </w:t>
      </w:r>
      <w:r w:rsidR="00532F5D">
        <w:rPr>
          <w:u w:val="single"/>
        </w:rPr>
        <w:t>1</w:t>
      </w:r>
      <w:r w:rsidR="00A078BD">
        <w:rPr>
          <w:u w:val="single"/>
        </w:rPr>
        <w:t>9</w:t>
      </w:r>
      <w:r w:rsidR="009D1119" w:rsidRPr="006B761A">
        <w:rPr>
          <w:u w:val="single"/>
        </w:rPr>
        <w:t xml:space="preserve"> </w:t>
      </w:r>
      <w:r w:rsidR="005D0D77" w:rsidRPr="006B761A">
        <w:rPr>
          <w:u w:val="single"/>
        </w:rPr>
        <w:t>September 2017</w:t>
      </w:r>
      <w:r w:rsidRPr="006B761A">
        <w:t>, whether they approve or do not approve the proposals above.</w:t>
      </w:r>
    </w:p>
    <w:p w:rsidR="00F44117" w:rsidRPr="00A22034" w:rsidRDefault="00F44117">
      <w:r w:rsidRPr="006B761A">
        <w:t xml:space="preserve">After the above-mentioned deadline, the results of this consultation will be announced in an Administrative Circular and the approved Recommendations will be published as soon as practicable (see </w:t>
      </w:r>
      <w:hyperlink r:id="rId8" w:history="1">
        <w:r w:rsidRPr="006B761A">
          <w:rPr>
            <w:rStyle w:val="Hyperlink"/>
          </w:rPr>
          <w:t>http://</w:t>
        </w:r>
        <w:proofErr w:type="spellStart"/>
        <w:r w:rsidRPr="006B761A">
          <w:rPr>
            <w:rStyle w:val="Hyperlink"/>
          </w:rPr>
          <w:t>www.itu.int</w:t>
        </w:r>
        <w:proofErr w:type="spellEnd"/>
        <w:r w:rsidRPr="006B761A">
          <w:rPr>
            <w:rStyle w:val="Hyperlink"/>
          </w:rPr>
          <w:t>/pub/R-REC</w:t>
        </w:r>
      </w:hyperlink>
      <w:r w:rsidRPr="006B761A">
        <w:t>).</w:t>
      </w:r>
    </w:p>
    <w:p w:rsidR="00F44117" w:rsidRDefault="00F44117" w:rsidP="00F44117">
      <w:pPr>
        <w:spacing w:before="136"/>
      </w:pPr>
      <w:r>
        <w:br w:type="page"/>
      </w:r>
    </w:p>
    <w:p w:rsidR="00F44117" w:rsidRPr="00A22034" w:rsidRDefault="00F44117">
      <w:pPr>
        <w:spacing w:before="136"/>
      </w:pPr>
      <w:r w:rsidRPr="00A22034">
        <w:lastRenderedPageBreak/>
        <w:t xml:space="preserve">Any </w:t>
      </w:r>
      <w:proofErr w:type="spellStart"/>
      <w:r w:rsidRPr="00A22034">
        <w:t>ITU</w:t>
      </w:r>
      <w:proofErr w:type="spellEnd"/>
      <w:r w:rsidRPr="00A22034">
        <w:t xml:space="preserve"> member organization aware of a patent held by itself or others which may fully or partly cover elements of the draft </w:t>
      </w:r>
      <w:r w:rsidRPr="006B761A">
        <w:t>Recommendations m</w:t>
      </w:r>
      <w:r w:rsidRPr="00A22034">
        <w:t xml:space="preserve">entioned in this letter is requested to disclose such information to the Secretariat as soon as possible. The Common Patent Policy for </w:t>
      </w:r>
      <w:r w:rsidRPr="00A22034">
        <w:br/>
      </w:r>
      <w:proofErr w:type="spellStart"/>
      <w:r w:rsidRPr="00A22034">
        <w:t>ITU</w:t>
      </w:r>
      <w:proofErr w:type="spellEnd"/>
      <w:r w:rsidRPr="00A22034">
        <w:t>-T/</w:t>
      </w:r>
      <w:proofErr w:type="spellStart"/>
      <w:r w:rsidRPr="00A22034">
        <w:t>ITU</w:t>
      </w:r>
      <w:proofErr w:type="spellEnd"/>
      <w:r w:rsidRPr="00A22034">
        <w:t>-R/ISO/</w:t>
      </w:r>
      <w:proofErr w:type="spellStart"/>
      <w:r w:rsidRPr="00A22034">
        <w:t>IEC</w:t>
      </w:r>
      <w:proofErr w:type="spellEnd"/>
      <w:r w:rsidRPr="00A22034">
        <w:t xml:space="preserve"> is available at </w:t>
      </w:r>
      <w:hyperlink r:id="rId9" w:history="1">
        <w:r w:rsidRPr="00A22034">
          <w:rPr>
            <w:rStyle w:val="Hyperlink"/>
          </w:rPr>
          <w:t>http://</w:t>
        </w:r>
        <w:proofErr w:type="spellStart"/>
        <w:r w:rsidRPr="00A22034">
          <w:rPr>
            <w:rStyle w:val="Hyperlink"/>
          </w:rPr>
          <w:t>www.itu.int</w:t>
        </w:r>
        <w:proofErr w:type="spellEnd"/>
        <w:r w:rsidRPr="00A22034">
          <w:rPr>
            <w:rStyle w:val="Hyperlink"/>
          </w:rPr>
          <w:t>/</w:t>
        </w:r>
        <w:proofErr w:type="spellStart"/>
        <w:r w:rsidRPr="00A22034">
          <w:rPr>
            <w:rStyle w:val="Hyperlink"/>
          </w:rPr>
          <w:t>en</w:t>
        </w:r>
        <w:proofErr w:type="spellEnd"/>
        <w:r w:rsidRPr="00A22034">
          <w:rPr>
            <w:rStyle w:val="Hyperlink"/>
          </w:rPr>
          <w:t>/</w:t>
        </w:r>
        <w:proofErr w:type="spellStart"/>
        <w:r w:rsidRPr="00A22034">
          <w:rPr>
            <w:rStyle w:val="Hyperlink"/>
          </w:rPr>
          <w:t>ITU</w:t>
        </w:r>
        <w:proofErr w:type="spellEnd"/>
        <w:r w:rsidRPr="00A22034">
          <w:rPr>
            <w:rStyle w:val="Hyperlink"/>
          </w:rPr>
          <w:t>-T/</w:t>
        </w:r>
        <w:proofErr w:type="spellStart"/>
        <w:r w:rsidRPr="00A22034">
          <w:rPr>
            <w:rStyle w:val="Hyperlink"/>
          </w:rPr>
          <w:t>ipr</w:t>
        </w:r>
        <w:proofErr w:type="spellEnd"/>
        <w:r w:rsidRPr="00A22034">
          <w:rPr>
            <w:rStyle w:val="Hyperlink"/>
          </w:rPr>
          <w:t>/Pages/</w:t>
        </w:r>
        <w:proofErr w:type="spellStart"/>
        <w:r w:rsidRPr="00A22034">
          <w:rPr>
            <w:rStyle w:val="Hyperlink"/>
          </w:rPr>
          <w:t>policy.aspx</w:t>
        </w:r>
        <w:proofErr w:type="spellEnd"/>
      </w:hyperlink>
      <w:r w:rsidRPr="00A22034">
        <w:t>.</w:t>
      </w:r>
    </w:p>
    <w:p w:rsidR="00F44117" w:rsidRPr="00FA6B22" w:rsidRDefault="00F44117" w:rsidP="00AF215B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2040"/>
      </w:pPr>
      <w:r w:rsidRPr="00FA6B22">
        <w:t xml:space="preserve">François </w:t>
      </w:r>
      <w:proofErr w:type="spellStart"/>
      <w:r w:rsidRPr="00FA6B22">
        <w:t>Rancy</w:t>
      </w:r>
      <w:proofErr w:type="spellEnd"/>
    </w:p>
    <w:p w:rsidR="00F44117" w:rsidRPr="00FA6B22" w:rsidRDefault="00F44117" w:rsidP="00F44117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0"/>
      </w:pPr>
      <w:r w:rsidRPr="00FA6B22">
        <w:t>Director</w:t>
      </w:r>
    </w:p>
    <w:p w:rsidR="00F44117" w:rsidRPr="00FA6B22" w:rsidRDefault="00F44117" w:rsidP="00F44117">
      <w:pPr>
        <w:tabs>
          <w:tab w:val="center" w:pos="7939"/>
          <w:tab w:val="right" w:pos="8505"/>
        </w:tabs>
        <w:rPr>
          <w:u w:val="single"/>
        </w:rPr>
      </w:pPr>
    </w:p>
    <w:p w:rsidR="00F44117" w:rsidRPr="00FA6B22" w:rsidRDefault="00F44117" w:rsidP="00F44117">
      <w:pPr>
        <w:tabs>
          <w:tab w:val="center" w:pos="7939"/>
          <w:tab w:val="right" w:pos="8505"/>
        </w:tabs>
        <w:rPr>
          <w:u w:val="single"/>
        </w:rPr>
      </w:pPr>
    </w:p>
    <w:p w:rsidR="00F44117" w:rsidRPr="006B761A" w:rsidRDefault="00F44117" w:rsidP="00820E38">
      <w:pPr>
        <w:tabs>
          <w:tab w:val="clear" w:pos="794"/>
          <w:tab w:val="clear" w:pos="1191"/>
          <w:tab w:val="clear" w:pos="1588"/>
          <w:tab w:val="clear" w:pos="1985"/>
          <w:tab w:val="left" w:pos="1560"/>
          <w:tab w:val="center" w:pos="7939"/>
          <w:tab w:val="right" w:pos="8505"/>
        </w:tabs>
      </w:pPr>
      <w:r w:rsidRPr="00A22034">
        <w:rPr>
          <w:b/>
          <w:bCs/>
        </w:rPr>
        <w:t>Annex:</w:t>
      </w:r>
      <w:r w:rsidR="00820E38">
        <w:tab/>
      </w:r>
      <w:r w:rsidRPr="006B761A">
        <w:t>Titles and summaries of the draft Recommendation</w:t>
      </w:r>
      <w:r w:rsidR="00B82E34">
        <w:t>s</w:t>
      </w:r>
    </w:p>
    <w:p w:rsidR="00F44117" w:rsidRPr="006B761A" w:rsidRDefault="00F44117" w:rsidP="00820E38">
      <w:pPr>
        <w:tabs>
          <w:tab w:val="clear" w:pos="794"/>
          <w:tab w:val="clear" w:pos="1191"/>
          <w:tab w:val="clear" w:pos="1588"/>
          <w:tab w:val="clear" w:pos="1985"/>
          <w:tab w:val="left" w:pos="1560"/>
          <w:tab w:val="center" w:pos="7939"/>
          <w:tab w:val="right" w:pos="8505"/>
        </w:tabs>
        <w:rPr>
          <w:lang w:val="en-GB"/>
        </w:rPr>
      </w:pPr>
      <w:r w:rsidRPr="00820E38">
        <w:rPr>
          <w:b/>
          <w:lang w:val="en-GB"/>
        </w:rPr>
        <w:t>Documents</w:t>
      </w:r>
      <w:r w:rsidR="00820E38">
        <w:rPr>
          <w:bCs/>
          <w:lang w:val="en-GB"/>
        </w:rPr>
        <w:t>:</w:t>
      </w:r>
      <w:r w:rsidR="00820E38">
        <w:rPr>
          <w:bCs/>
          <w:lang w:val="en-GB"/>
        </w:rPr>
        <w:tab/>
      </w:r>
      <w:r w:rsidR="00820E38" w:rsidRPr="006B761A">
        <w:rPr>
          <w:bCs/>
          <w:lang w:val="en-GB"/>
        </w:rPr>
        <w:t>Documents</w:t>
      </w:r>
      <w:r w:rsidR="00820E38">
        <w:t xml:space="preserve"> </w:t>
      </w:r>
      <w:hyperlink r:id="rId10" w:history="1">
        <w:r w:rsidR="00551517" w:rsidRPr="006B761A">
          <w:rPr>
            <w:rStyle w:val="Hyperlink"/>
            <w:lang w:val="en-GB"/>
          </w:rPr>
          <w:t>7/59</w:t>
        </w:r>
      </w:hyperlink>
      <w:r w:rsidRPr="006B761A">
        <w:rPr>
          <w:lang w:val="en-GB"/>
        </w:rPr>
        <w:t xml:space="preserve">, </w:t>
      </w:r>
      <w:hyperlink r:id="rId11" w:history="1">
        <w:r w:rsidR="00551517" w:rsidRPr="006B761A">
          <w:rPr>
            <w:rStyle w:val="Hyperlink"/>
            <w:lang w:val="en-GB"/>
          </w:rPr>
          <w:t>7/61</w:t>
        </w:r>
      </w:hyperlink>
    </w:p>
    <w:p w:rsidR="00F44117" w:rsidRPr="00A22034" w:rsidRDefault="00F44117" w:rsidP="00551517">
      <w:pPr>
        <w:tabs>
          <w:tab w:val="clear" w:pos="794"/>
          <w:tab w:val="clear" w:pos="1191"/>
          <w:tab w:val="clear" w:pos="1588"/>
          <w:tab w:val="left" w:pos="1701"/>
        </w:tabs>
        <w:spacing w:before="360" w:after="40"/>
        <w:rPr>
          <w:szCs w:val="24"/>
        </w:rPr>
      </w:pPr>
      <w:r w:rsidRPr="00A22034">
        <w:rPr>
          <w:szCs w:val="24"/>
        </w:rPr>
        <w:t>These documents are available in electron</w:t>
      </w:r>
      <w:bookmarkStart w:id="0" w:name="_GoBack"/>
      <w:bookmarkEnd w:id="0"/>
      <w:r w:rsidRPr="00A22034">
        <w:rPr>
          <w:szCs w:val="24"/>
        </w:rPr>
        <w:t xml:space="preserve">ic format at: </w:t>
      </w:r>
      <w:hyperlink r:id="rId12" w:history="1">
        <w:r w:rsidR="00551517" w:rsidRPr="008739CD">
          <w:rPr>
            <w:rStyle w:val="Hyperlink"/>
          </w:rPr>
          <w:t>https://</w:t>
        </w:r>
        <w:proofErr w:type="spellStart"/>
        <w:r w:rsidR="00551517" w:rsidRPr="008739CD">
          <w:rPr>
            <w:rStyle w:val="Hyperlink"/>
          </w:rPr>
          <w:t>www.itu.int</w:t>
        </w:r>
        <w:proofErr w:type="spellEnd"/>
        <w:r w:rsidR="00551517" w:rsidRPr="008739CD">
          <w:rPr>
            <w:rStyle w:val="Hyperlink"/>
          </w:rPr>
          <w:t>/md/</w:t>
        </w:r>
        <w:proofErr w:type="spellStart"/>
        <w:r w:rsidR="00551517" w:rsidRPr="008739CD">
          <w:rPr>
            <w:rStyle w:val="Hyperlink"/>
          </w:rPr>
          <w:t>R15</w:t>
        </w:r>
        <w:proofErr w:type="spellEnd"/>
        <w:r w:rsidR="00551517" w:rsidRPr="008739CD">
          <w:rPr>
            <w:rStyle w:val="Hyperlink"/>
          </w:rPr>
          <w:t>-</w:t>
        </w:r>
        <w:proofErr w:type="spellStart"/>
        <w:r w:rsidR="00551517" w:rsidRPr="008739CD">
          <w:rPr>
            <w:rStyle w:val="Hyperlink"/>
          </w:rPr>
          <w:t>SG07</w:t>
        </w:r>
        <w:proofErr w:type="spellEnd"/>
        <w:r w:rsidR="00551517" w:rsidRPr="008739CD">
          <w:rPr>
            <w:rStyle w:val="Hyperlink"/>
          </w:rPr>
          <w:t>-C/</w:t>
        </w:r>
        <w:proofErr w:type="spellStart"/>
        <w:r w:rsidR="00551517" w:rsidRPr="008739CD">
          <w:rPr>
            <w:rStyle w:val="Hyperlink"/>
          </w:rPr>
          <w:t>en</w:t>
        </w:r>
        <w:proofErr w:type="spellEnd"/>
      </w:hyperlink>
    </w:p>
    <w:p w:rsidR="00F44117" w:rsidRDefault="00F44117" w:rsidP="00F44117">
      <w:pPr>
        <w:tabs>
          <w:tab w:val="left" w:pos="284"/>
          <w:tab w:val="left" w:pos="568"/>
        </w:tabs>
        <w:spacing w:before="360" w:after="40"/>
        <w:rPr>
          <w:sz w:val="16"/>
        </w:rPr>
      </w:pPr>
    </w:p>
    <w:p w:rsidR="00AF215B" w:rsidRDefault="00AF215B" w:rsidP="00F44117">
      <w:pPr>
        <w:tabs>
          <w:tab w:val="left" w:pos="284"/>
          <w:tab w:val="left" w:pos="568"/>
        </w:tabs>
        <w:spacing w:before="360" w:after="40"/>
        <w:rPr>
          <w:sz w:val="16"/>
        </w:rPr>
      </w:pPr>
    </w:p>
    <w:p w:rsidR="00AF215B" w:rsidRDefault="00AF215B" w:rsidP="00F44117">
      <w:pPr>
        <w:tabs>
          <w:tab w:val="left" w:pos="284"/>
          <w:tab w:val="left" w:pos="568"/>
        </w:tabs>
        <w:spacing w:before="360" w:after="40"/>
        <w:rPr>
          <w:sz w:val="16"/>
        </w:rPr>
      </w:pPr>
    </w:p>
    <w:p w:rsidR="00AF215B" w:rsidRPr="00A22034" w:rsidRDefault="00AF215B" w:rsidP="00F44117">
      <w:pPr>
        <w:tabs>
          <w:tab w:val="left" w:pos="284"/>
          <w:tab w:val="left" w:pos="568"/>
        </w:tabs>
        <w:spacing w:before="360" w:after="40"/>
        <w:rPr>
          <w:sz w:val="16"/>
        </w:rPr>
      </w:pPr>
    </w:p>
    <w:p w:rsidR="00F44117" w:rsidRPr="00A22034" w:rsidRDefault="00F44117" w:rsidP="00AF215B">
      <w:pPr>
        <w:tabs>
          <w:tab w:val="left" w:pos="284"/>
          <w:tab w:val="left" w:pos="568"/>
        </w:tabs>
        <w:spacing w:beforeLines="100" w:before="240" w:after="60"/>
        <w:rPr>
          <w:b/>
          <w:bCs/>
          <w:sz w:val="18"/>
          <w:szCs w:val="18"/>
        </w:rPr>
      </w:pPr>
      <w:r w:rsidRPr="00A22034">
        <w:rPr>
          <w:b/>
          <w:bCs/>
          <w:sz w:val="18"/>
          <w:szCs w:val="18"/>
        </w:rPr>
        <w:t>Distribution:</w:t>
      </w:r>
    </w:p>
    <w:p w:rsidR="00F44117" w:rsidRPr="00A22034" w:rsidRDefault="00F44117" w:rsidP="00551517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A22034">
        <w:rPr>
          <w:rFonts w:asciiTheme="minorHAnsi" w:hAnsiTheme="minorHAnsi" w:cstheme="minorHAnsi"/>
          <w:sz w:val="18"/>
          <w:szCs w:val="18"/>
        </w:rPr>
        <w:t>–</w:t>
      </w:r>
      <w:r w:rsidRPr="00A22034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</w:t>
      </w:r>
      <w:proofErr w:type="spellStart"/>
      <w:r w:rsidRPr="00A22034">
        <w:rPr>
          <w:rFonts w:asciiTheme="minorHAnsi" w:hAnsiTheme="minorHAnsi" w:cstheme="minorHAnsi"/>
          <w:sz w:val="18"/>
          <w:szCs w:val="18"/>
        </w:rPr>
        <w:t>ITU</w:t>
      </w:r>
      <w:proofErr w:type="spellEnd"/>
      <w:r w:rsidRPr="00A22034">
        <w:rPr>
          <w:rFonts w:asciiTheme="minorHAnsi" w:hAnsiTheme="minorHAnsi" w:cstheme="minorHAnsi"/>
          <w:sz w:val="18"/>
          <w:szCs w:val="18"/>
        </w:rPr>
        <w:t xml:space="preserve"> and </w:t>
      </w:r>
      <w:proofErr w:type="spellStart"/>
      <w:r w:rsidRPr="00A22034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A22034">
        <w:rPr>
          <w:rFonts w:asciiTheme="minorHAnsi" w:hAnsiTheme="minorHAnsi" w:cstheme="minorHAnsi"/>
          <w:sz w:val="18"/>
          <w:szCs w:val="18"/>
        </w:rPr>
        <w:t xml:space="preserve"> Sector Members participating in the work of </w:t>
      </w:r>
      <w:proofErr w:type="spellStart"/>
      <w:r w:rsidRPr="00A22034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A22034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551517">
        <w:rPr>
          <w:rFonts w:asciiTheme="minorHAnsi" w:hAnsiTheme="minorHAnsi" w:cstheme="minorHAnsi"/>
          <w:sz w:val="18"/>
          <w:szCs w:val="18"/>
        </w:rPr>
        <w:t>7</w:t>
      </w:r>
    </w:p>
    <w:p w:rsidR="00F44117" w:rsidRPr="00A22034" w:rsidRDefault="00F44117" w:rsidP="005515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A22034">
        <w:rPr>
          <w:rFonts w:asciiTheme="minorHAnsi" w:hAnsiTheme="minorHAnsi" w:cstheme="minorHAnsi"/>
          <w:sz w:val="18"/>
          <w:szCs w:val="18"/>
        </w:rPr>
        <w:t>–</w:t>
      </w:r>
      <w:r w:rsidRPr="00A22034"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Pr="00A22034">
        <w:rPr>
          <w:rFonts w:asciiTheme="minorHAnsi" w:hAnsiTheme="minorHAnsi" w:cstheme="minorHAnsi"/>
          <w:sz w:val="18"/>
          <w:szCs w:val="18"/>
        </w:rPr>
        <w:t>ITU</w:t>
      </w:r>
      <w:proofErr w:type="spellEnd"/>
      <w:r w:rsidRPr="00A22034">
        <w:rPr>
          <w:rFonts w:asciiTheme="minorHAnsi" w:hAnsiTheme="minorHAnsi" w:cstheme="minorHAnsi"/>
          <w:sz w:val="18"/>
          <w:szCs w:val="18"/>
        </w:rPr>
        <w:t xml:space="preserve">-R Associates participating in the work of </w:t>
      </w:r>
      <w:proofErr w:type="spellStart"/>
      <w:r w:rsidRPr="00A22034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A22034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551517">
        <w:rPr>
          <w:rFonts w:asciiTheme="minorHAnsi" w:hAnsiTheme="minorHAnsi" w:cstheme="minorHAnsi"/>
          <w:sz w:val="18"/>
          <w:szCs w:val="18"/>
        </w:rPr>
        <w:t>7</w:t>
      </w:r>
    </w:p>
    <w:p w:rsidR="00F44117" w:rsidRDefault="00F44117" w:rsidP="00F44117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A22034">
        <w:rPr>
          <w:rFonts w:asciiTheme="minorHAnsi" w:hAnsiTheme="minorHAnsi" w:cstheme="minorHAnsi"/>
          <w:sz w:val="18"/>
          <w:szCs w:val="18"/>
        </w:rPr>
        <w:t>–</w:t>
      </w:r>
      <w:r w:rsidRPr="00A22034">
        <w:rPr>
          <w:rFonts w:asciiTheme="minorHAnsi" w:hAnsiTheme="minorHAnsi" w:cstheme="minorHAnsi"/>
          <w:sz w:val="18"/>
          <w:szCs w:val="18"/>
        </w:rPr>
        <w:tab/>
      </w:r>
      <w:proofErr w:type="spellStart"/>
      <w:r>
        <w:rPr>
          <w:rFonts w:asciiTheme="minorHAnsi" w:hAnsiTheme="minorHAnsi" w:cstheme="minorHAnsi"/>
          <w:sz w:val="18"/>
          <w:szCs w:val="18"/>
        </w:rPr>
        <w:t>ITU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Academia</w:t>
      </w:r>
    </w:p>
    <w:p w:rsidR="00F44117" w:rsidRPr="00A22034" w:rsidRDefault="00F44117" w:rsidP="00F44117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A22034">
        <w:rPr>
          <w:rFonts w:asciiTheme="minorHAnsi" w:hAnsiTheme="minorHAnsi" w:cstheme="minorHAnsi"/>
          <w:sz w:val="18"/>
          <w:szCs w:val="18"/>
        </w:rPr>
        <w:t>–</w:t>
      </w:r>
      <w:r w:rsidRPr="00A22034">
        <w:rPr>
          <w:rFonts w:asciiTheme="minorHAnsi" w:hAnsiTheme="minorHAnsi" w:cstheme="minorHAnsi"/>
          <w:sz w:val="18"/>
          <w:szCs w:val="18"/>
        </w:rPr>
        <w:tab/>
        <w:t xml:space="preserve">Chairmen and Vice-Chairmen of </w:t>
      </w:r>
      <w:proofErr w:type="spellStart"/>
      <w:r w:rsidRPr="00A22034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A22034">
        <w:rPr>
          <w:rFonts w:asciiTheme="minorHAnsi" w:hAnsiTheme="minorHAnsi" w:cstheme="minorHAnsi"/>
          <w:sz w:val="18"/>
          <w:szCs w:val="18"/>
        </w:rPr>
        <w:t xml:space="preserve"> Study Group</w:t>
      </w:r>
      <w:r w:rsidRPr="00F51EFE">
        <w:rPr>
          <w:rFonts w:asciiTheme="minorHAnsi" w:hAnsiTheme="minorHAnsi" w:cstheme="minorHAnsi"/>
          <w:sz w:val="18"/>
          <w:szCs w:val="18"/>
        </w:rPr>
        <w:t>s</w:t>
      </w:r>
    </w:p>
    <w:p w:rsidR="00F44117" w:rsidRPr="00A22034" w:rsidRDefault="00F44117" w:rsidP="00F441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A22034">
        <w:rPr>
          <w:rFonts w:asciiTheme="minorHAnsi" w:hAnsiTheme="minorHAnsi" w:cstheme="minorHAnsi"/>
          <w:sz w:val="18"/>
          <w:szCs w:val="18"/>
        </w:rPr>
        <w:t>–</w:t>
      </w:r>
      <w:r w:rsidRPr="00A22034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F44117" w:rsidRPr="00A22034" w:rsidRDefault="00F44117" w:rsidP="00F441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A22034">
        <w:rPr>
          <w:rFonts w:asciiTheme="minorHAnsi" w:hAnsiTheme="minorHAnsi" w:cstheme="minorHAnsi"/>
          <w:sz w:val="18"/>
          <w:szCs w:val="18"/>
        </w:rPr>
        <w:t>–</w:t>
      </w:r>
      <w:r w:rsidRPr="00A22034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F44117" w:rsidRPr="00A22034" w:rsidRDefault="00F44117" w:rsidP="00F44117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A22034">
        <w:rPr>
          <w:rFonts w:asciiTheme="minorHAnsi" w:hAnsiTheme="minorHAnsi" w:cstheme="minorHAnsi"/>
          <w:sz w:val="18"/>
          <w:szCs w:val="18"/>
        </w:rPr>
        <w:t>–</w:t>
      </w:r>
      <w:r w:rsidRPr="00A22034">
        <w:rPr>
          <w:rFonts w:asciiTheme="minorHAnsi" w:hAnsiTheme="minorHAnsi" w:cstheme="minorHAnsi"/>
          <w:sz w:val="18"/>
          <w:szCs w:val="18"/>
        </w:rPr>
        <w:tab/>
        <w:t xml:space="preserve">Secretary-General of the </w:t>
      </w:r>
      <w:proofErr w:type="spellStart"/>
      <w:r w:rsidRPr="00A22034">
        <w:rPr>
          <w:rFonts w:asciiTheme="minorHAnsi" w:hAnsiTheme="minorHAnsi" w:cstheme="minorHAnsi"/>
          <w:sz w:val="18"/>
          <w:szCs w:val="18"/>
        </w:rPr>
        <w:t>ITU</w:t>
      </w:r>
      <w:proofErr w:type="spellEnd"/>
      <w:r w:rsidRPr="00A22034">
        <w:rPr>
          <w:rFonts w:asciiTheme="minorHAnsi" w:hAnsiTheme="minorHAnsi" w:cstheme="minorHAnsi"/>
          <w:sz w:val="18"/>
          <w:szCs w:val="18"/>
        </w:rPr>
        <w:t>, Director of the Telecommunication Standardization Bureau, Director of the Telecommunication Development Bureau</w:t>
      </w:r>
    </w:p>
    <w:p w:rsidR="00F44117" w:rsidRPr="00A22034" w:rsidRDefault="00F44117">
      <w:pPr>
        <w:pStyle w:val="AnnexNotitle0"/>
        <w:spacing w:before="120"/>
        <w:rPr>
          <w:rFonts w:asciiTheme="minorHAnsi" w:hAnsiTheme="minorHAnsi" w:cstheme="minorHAnsi"/>
          <w:szCs w:val="28"/>
        </w:rPr>
      </w:pPr>
      <w:r w:rsidRPr="00A22034">
        <w:rPr>
          <w:sz w:val="16"/>
        </w:rPr>
        <w:br w:type="page"/>
      </w:r>
      <w:r w:rsidRPr="00A22034">
        <w:rPr>
          <w:rFonts w:asciiTheme="minorHAnsi" w:hAnsiTheme="minorHAnsi" w:cstheme="minorHAnsi"/>
          <w:szCs w:val="28"/>
        </w:rPr>
        <w:lastRenderedPageBreak/>
        <w:t>Annex</w:t>
      </w:r>
      <w:r w:rsidRPr="00A22034">
        <w:rPr>
          <w:rFonts w:asciiTheme="minorHAnsi" w:hAnsiTheme="minorHAnsi" w:cstheme="minorHAnsi"/>
          <w:szCs w:val="28"/>
        </w:rPr>
        <w:br/>
      </w:r>
      <w:r w:rsidRPr="00A22034">
        <w:rPr>
          <w:rFonts w:asciiTheme="minorHAnsi" w:hAnsiTheme="minorHAnsi" w:cstheme="minorHAnsi"/>
          <w:szCs w:val="28"/>
        </w:rPr>
        <w:br/>
      </w:r>
      <w:r w:rsidRPr="00BC0400">
        <w:rPr>
          <w:rFonts w:asciiTheme="minorHAnsi" w:hAnsiTheme="minorHAnsi" w:cstheme="minorHAnsi"/>
          <w:szCs w:val="28"/>
        </w:rPr>
        <w:t>Titles and summaries of the draft Recommendations</w:t>
      </w:r>
      <w:r w:rsidRPr="00A22034">
        <w:rPr>
          <w:rFonts w:asciiTheme="minorHAnsi" w:hAnsiTheme="minorHAnsi" w:cstheme="minorHAnsi"/>
          <w:szCs w:val="28"/>
        </w:rPr>
        <w:br/>
        <w:t xml:space="preserve">adopted by </w:t>
      </w:r>
      <w:proofErr w:type="spellStart"/>
      <w:r w:rsidRPr="00A22034">
        <w:rPr>
          <w:rFonts w:asciiTheme="minorHAnsi" w:hAnsiTheme="minorHAnsi" w:cstheme="minorHAnsi"/>
          <w:szCs w:val="28"/>
        </w:rPr>
        <w:t>Radiocommunication</w:t>
      </w:r>
      <w:proofErr w:type="spellEnd"/>
      <w:r w:rsidRPr="00A22034">
        <w:rPr>
          <w:rFonts w:asciiTheme="minorHAnsi" w:hAnsiTheme="minorHAnsi" w:cstheme="minorHAnsi"/>
          <w:szCs w:val="28"/>
        </w:rPr>
        <w:t xml:space="preserve"> Study Group </w:t>
      </w:r>
      <w:r w:rsidR="00DA0D98">
        <w:rPr>
          <w:rFonts w:asciiTheme="minorHAnsi" w:hAnsiTheme="minorHAnsi" w:cstheme="minorHAnsi"/>
          <w:szCs w:val="28"/>
        </w:rPr>
        <w:t>7</w:t>
      </w:r>
    </w:p>
    <w:p w:rsidR="00F44117" w:rsidRPr="00A22034" w:rsidRDefault="00F44117" w:rsidP="00F44117">
      <w:pPr>
        <w:pStyle w:val="Normalaftertitle"/>
        <w:rPr>
          <w:rFonts w:asciiTheme="minorHAnsi" w:hAnsiTheme="minorHAnsi" w:cstheme="minorHAnsi"/>
          <w:szCs w:val="24"/>
        </w:rPr>
      </w:pPr>
    </w:p>
    <w:p w:rsidR="00551517" w:rsidRPr="00972089" w:rsidRDefault="00551517" w:rsidP="00551517">
      <w:pPr>
        <w:tabs>
          <w:tab w:val="right" w:pos="9639"/>
        </w:tabs>
      </w:pPr>
      <w:r w:rsidRPr="00972089">
        <w:rPr>
          <w:u w:val="single"/>
        </w:rPr>
        <w:t>Draft revision of</w:t>
      </w:r>
      <w:r>
        <w:rPr>
          <w:u w:val="single"/>
        </w:rPr>
        <w:t xml:space="preserve"> </w:t>
      </w:r>
      <w:r w:rsidRPr="00972089">
        <w:rPr>
          <w:u w:val="single"/>
        </w:rPr>
        <w:t xml:space="preserve">Recommendation </w:t>
      </w:r>
      <w:proofErr w:type="spellStart"/>
      <w:r w:rsidRPr="00972089">
        <w:rPr>
          <w:u w:val="single"/>
        </w:rPr>
        <w:t>ITU</w:t>
      </w:r>
      <w:proofErr w:type="spellEnd"/>
      <w:r w:rsidRPr="00972089">
        <w:rPr>
          <w:u w:val="single"/>
        </w:rPr>
        <w:t xml:space="preserve">-R </w:t>
      </w:r>
      <w:proofErr w:type="spellStart"/>
      <w:r>
        <w:rPr>
          <w:u w:val="single"/>
        </w:rPr>
        <w:t>SA.1161</w:t>
      </w:r>
      <w:proofErr w:type="spellEnd"/>
      <w:r>
        <w:rPr>
          <w:u w:val="single"/>
        </w:rPr>
        <w:t>-1</w:t>
      </w:r>
      <w:r w:rsidRPr="00972089">
        <w:tab/>
        <w:t xml:space="preserve">Doc. </w:t>
      </w:r>
      <w:hyperlink r:id="rId13" w:history="1">
        <w:r w:rsidRPr="00E92D83">
          <w:rPr>
            <w:rStyle w:val="Hyperlink"/>
          </w:rPr>
          <w:t>7/59</w:t>
        </w:r>
      </w:hyperlink>
    </w:p>
    <w:p w:rsidR="00EE398A" w:rsidRDefault="00EE398A" w:rsidP="00551517">
      <w:pPr>
        <w:pStyle w:val="Rectitle"/>
      </w:pPr>
      <w:r w:rsidRPr="007B5328">
        <w:t xml:space="preserve">Sharing and coordination criteria for </w:t>
      </w:r>
      <w:r>
        <w:t>d</w:t>
      </w:r>
      <w:r w:rsidRPr="007B5328">
        <w:t>ata</w:t>
      </w:r>
      <w:r>
        <w:t xml:space="preserve"> dissemination and direct data </w:t>
      </w:r>
      <w:r w:rsidRPr="007B5328">
        <w:t xml:space="preserve">readout systems in the </w:t>
      </w:r>
      <w:r>
        <w:t xml:space="preserve">earth exploration-satellite and </w:t>
      </w:r>
      <w:r w:rsidRPr="007B5328">
        <w:t>meteorological-satellite services</w:t>
      </w:r>
      <w:r>
        <w:t xml:space="preserve"> </w:t>
      </w:r>
      <w:r w:rsidRPr="007B5328">
        <w:t>using satellites in geostationary orbit</w:t>
      </w:r>
    </w:p>
    <w:p w:rsidR="00551517" w:rsidRDefault="00551517" w:rsidP="00551517">
      <w:pPr>
        <w:spacing w:before="360"/>
        <w:rPr>
          <w:szCs w:val="24"/>
        </w:rPr>
      </w:pPr>
      <w:r w:rsidRPr="008D1D1A">
        <w:rPr>
          <w:szCs w:val="24"/>
        </w:rPr>
        <w:t xml:space="preserve">The present revision of </w:t>
      </w:r>
      <w:r>
        <w:rPr>
          <w:szCs w:val="24"/>
        </w:rPr>
        <w:t xml:space="preserve">Recommendation </w:t>
      </w:r>
      <w:proofErr w:type="spellStart"/>
      <w:r>
        <w:rPr>
          <w:szCs w:val="24"/>
        </w:rPr>
        <w:t>ITU</w:t>
      </w:r>
      <w:proofErr w:type="spellEnd"/>
      <w:r>
        <w:rPr>
          <w:szCs w:val="24"/>
        </w:rPr>
        <w:t xml:space="preserve">-R </w:t>
      </w:r>
      <w:proofErr w:type="spellStart"/>
      <w:r>
        <w:rPr>
          <w:szCs w:val="24"/>
        </w:rPr>
        <w:t>SA.1161</w:t>
      </w:r>
      <w:proofErr w:type="spellEnd"/>
      <w:r w:rsidRPr="008D1D1A">
        <w:rPr>
          <w:szCs w:val="24"/>
        </w:rPr>
        <w:t xml:space="preserve"> simplifies the current provisions by proposing a single sharing criteria per frequency band, consistent with associated revision of </w:t>
      </w:r>
      <w:r>
        <w:rPr>
          <w:szCs w:val="24"/>
        </w:rPr>
        <w:t xml:space="preserve">Recommendation </w:t>
      </w:r>
      <w:proofErr w:type="spellStart"/>
      <w:r>
        <w:rPr>
          <w:szCs w:val="24"/>
        </w:rPr>
        <w:t>ITU</w:t>
      </w:r>
      <w:proofErr w:type="spellEnd"/>
      <w:r>
        <w:rPr>
          <w:szCs w:val="24"/>
        </w:rPr>
        <w:t xml:space="preserve">-R </w:t>
      </w:r>
      <w:proofErr w:type="spellStart"/>
      <w:r>
        <w:rPr>
          <w:szCs w:val="24"/>
        </w:rPr>
        <w:t>SA.1160</w:t>
      </w:r>
      <w:proofErr w:type="spellEnd"/>
      <w:r w:rsidRPr="008D1D1A">
        <w:rPr>
          <w:szCs w:val="24"/>
        </w:rPr>
        <w:t>.</w:t>
      </w:r>
    </w:p>
    <w:p w:rsidR="00551517" w:rsidRDefault="00551517" w:rsidP="00551517">
      <w:pPr>
        <w:tabs>
          <w:tab w:val="clear" w:pos="1588"/>
          <w:tab w:val="clear" w:pos="1985"/>
          <w:tab w:val="right" w:pos="9639"/>
        </w:tabs>
        <w:spacing w:before="600"/>
      </w:pPr>
      <w:r w:rsidRPr="00972089">
        <w:rPr>
          <w:u w:val="single"/>
        </w:rPr>
        <w:t>Draft revision of</w:t>
      </w:r>
      <w:r>
        <w:rPr>
          <w:u w:val="single"/>
        </w:rPr>
        <w:t xml:space="preserve"> </w:t>
      </w:r>
      <w:r w:rsidRPr="00972089">
        <w:rPr>
          <w:u w:val="single"/>
        </w:rPr>
        <w:t xml:space="preserve">Recommendation </w:t>
      </w:r>
      <w:proofErr w:type="spellStart"/>
      <w:r w:rsidRPr="00972089">
        <w:rPr>
          <w:u w:val="single"/>
        </w:rPr>
        <w:t>ITU</w:t>
      </w:r>
      <w:proofErr w:type="spellEnd"/>
      <w:r w:rsidRPr="00972089">
        <w:rPr>
          <w:u w:val="single"/>
        </w:rPr>
        <w:t>-R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RS.1260</w:t>
      </w:r>
      <w:proofErr w:type="spellEnd"/>
      <w:r>
        <w:rPr>
          <w:u w:val="single"/>
        </w:rPr>
        <w:t>-1</w:t>
      </w:r>
      <w:r>
        <w:tab/>
        <w:t xml:space="preserve">Doc. </w:t>
      </w:r>
      <w:hyperlink r:id="rId14" w:history="1">
        <w:r w:rsidRPr="00E92D83">
          <w:rPr>
            <w:rStyle w:val="Hyperlink"/>
          </w:rPr>
          <w:t>7/61</w:t>
        </w:r>
      </w:hyperlink>
    </w:p>
    <w:p w:rsidR="00551517" w:rsidRDefault="00551517" w:rsidP="00551517">
      <w:pPr>
        <w:tabs>
          <w:tab w:val="clear" w:pos="1588"/>
          <w:tab w:val="clear" w:pos="1985"/>
          <w:tab w:val="right" w:pos="9639"/>
        </w:tabs>
        <w:spacing w:before="360"/>
        <w:jc w:val="center"/>
        <w:rPr>
          <w:b/>
          <w:bCs/>
          <w:sz w:val="28"/>
          <w:szCs w:val="28"/>
        </w:rPr>
      </w:pPr>
      <w:r w:rsidRPr="006A4D90">
        <w:rPr>
          <w:b/>
          <w:bCs/>
          <w:sz w:val="28"/>
          <w:szCs w:val="28"/>
        </w:rPr>
        <w:t xml:space="preserve">Feasibility of sharing between active </w:t>
      </w:r>
      <w:proofErr w:type="spellStart"/>
      <w:r w:rsidRPr="006A4D90">
        <w:rPr>
          <w:b/>
          <w:bCs/>
          <w:sz w:val="28"/>
          <w:szCs w:val="28"/>
        </w:rPr>
        <w:t>spaceborne</w:t>
      </w:r>
      <w:proofErr w:type="spellEnd"/>
      <w:r w:rsidRPr="006A4D90">
        <w:rPr>
          <w:b/>
          <w:bCs/>
          <w:sz w:val="28"/>
          <w:szCs w:val="28"/>
        </w:rPr>
        <w:t xml:space="preserve"> sensors and</w:t>
      </w:r>
      <w:r w:rsidRPr="006A4D90">
        <w:rPr>
          <w:b/>
          <w:bCs/>
          <w:sz w:val="28"/>
          <w:szCs w:val="28"/>
        </w:rPr>
        <w:br/>
        <w:t>other services in the range 420-470 MHz</w:t>
      </w:r>
    </w:p>
    <w:p w:rsidR="00551517" w:rsidRDefault="00551517" w:rsidP="00551517">
      <w:r>
        <w:t xml:space="preserve">This recommendation is revised to take into account the fact that one space object tracking radar listed in Table 2 of Annex 1 is not active anymore. The associated changes to the exclusion zone map in Figure 1 of Annex 1 has also been updated. Furthermore a </w:t>
      </w:r>
      <w:r w:rsidRPr="006A4D90">
        <w:rPr>
          <w:i/>
          <w:iCs/>
        </w:rPr>
        <w:t>considering</w:t>
      </w:r>
      <w:r>
        <w:t xml:space="preserve"> referring to a </w:t>
      </w:r>
      <w:proofErr w:type="spellStart"/>
      <w:r>
        <w:t>WRC</w:t>
      </w:r>
      <w:proofErr w:type="spellEnd"/>
      <w:r>
        <w:noBreakHyphen/>
        <w:t>2000 Resolution has been suppressed, given the suppression of that Resolution. Also an outdated reference to a UN Conference in 1992 has been suppressed.</w:t>
      </w:r>
    </w:p>
    <w:p w:rsidR="00F44117" w:rsidRPr="00A22034" w:rsidRDefault="00F44117" w:rsidP="00F44117">
      <w:pPr>
        <w:rPr>
          <w:rFonts w:asciiTheme="minorHAnsi" w:hAnsiTheme="minorHAnsi" w:cstheme="minorHAnsi"/>
          <w:szCs w:val="24"/>
        </w:rPr>
      </w:pPr>
    </w:p>
    <w:p w:rsidR="00F44117" w:rsidRDefault="00F44117" w:rsidP="0032202E">
      <w:pPr>
        <w:pStyle w:val="Reasons"/>
      </w:pPr>
    </w:p>
    <w:p w:rsidR="00031E64" w:rsidRDefault="00F44117" w:rsidP="0029555D">
      <w:pPr>
        <w:jc w:val="center"/>
        <w:rPr>
          <w:rFonts w:asciiTheme="minorHAnsi" w:hAnsiTheme="minorHAnsi" w:cstheme="minorHAnsi"/>
          <w:szCs w:val="24"/>
          <w:lang w:val="fr-CH"/>
        </w:rPr>
      </w:pPr>
      <w:r>
        <w:t>______________</w:t>
      </w:r>
    </w:p>
    <w:sectPr w:rsidR="00031E64" w:rsidSect="00031E64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ABF" w:rsidRDefault="003A2ABF">
      <w:r>
        <w:separator/>
      </w:r>
    </w:p>
  </w:endnote>
  <w:endnote w:type="continuationSeparator" w:id="0">
    <w:p w:rsidR="003A2ABF" w:rsidRDefault="003A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554" w:rsidRDefault="00AD4554" w:rsidP="00AD4554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proofErr w:type="spellStart"/>
      <w:r w:rsidRPr="005E5EB3">
        <w:rPr>
          <w:rStyle w:val="Hyperlink"/>
          <w:sz w:val="18"/>
          <w:szCs w:val="18"/>
        </w:rPr>
        <w:t>itumail@itu.int</w:t>
      </w:r>
      <w:proofErr w:type="spellEnd"/>
    </w:hyperlink>
    <w:r w:rsidRPr="005E5EB3">
      <w:rPr>
        <w:sz w:val="18"/>
        <w:szCs w:val="18"/>
      </w:rPr>
      <w:t xml:space="preserve"> • </w:t>
    </w:r>
    <w:hyperlink r:id="rId2" w:history="1">
      <w:proofErr w:type="spellStart"/>
      <w:r w:rsidRPr="005E5EB3">
        <w:rPr>
          <w:rStyle w:val="Hyperlink"/>
          <w:sz w:val="18"/>
          <w:szCs w:val="18"/>
        </w:rPr>
        <w:t>www.itu.int</w:t>
      </w:r>
      <w:proofErr w:type="spellEnd"/>
    </w:hyperlink>
    <w:r w:rsidRPr="005E5EB3">
      <w:rPr>
        <w:sz w:val="18"/>
        <w:szCs w:val="18"/>
      </w:rPr>
      <w:t xml:space="preserve"> •</w:t>
    </w:r>
  </w:p>
  <w:p w:rsidR="00AD4554" w:rsidRPr="007B52D4" w:rsidRDefault="006B4C75" w:rsidP="00AD4554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</w:t>
    </w:r>
    <w:proofErr w:type="spellStart"/>
    <w:r w:rsidRPr="00BC67FE">
      <w:rPr>
        <w:b/>
        <w:bCs/>
        <w:color w:val="1F497D"/>
        <w:sz w:val="18"/>
        <w:szCs w:val="18"/>
      </w:rPr>
      <w:t>CCIR</w:t>
    </w:r>
    <w:proofErr w:type="spellEnd"/>
    <w:r w:rsidRPr="00BC67FE">
      <w:rPr>
        <w:b/>
        <w:bCs/>
        <w:color w:val="1F497D"/>
        <w:sz w:val="18"/>
        <w:szCs w:val="18"/>
      </w:rPr>
      <w:t>/</w:t>
    </w:r>
    <w:proofErr w:type="spellStart"/>
    <w:r w:rsidRPr="00BC67FE">
      <w:rPr>
        <w:b/>
        <w:bCs/>
        <w:color w:val="1F497D"/>
        <w:sz w:val="18"/>
        <w:szCs w:val="18"/>
      </w:rPr>
      <w:t>ITU</w:t>
    </w:r>
    <w:proofErr w:type="spellEnd"/>
    <w:r w:rsidRPr="00BC67FE">
      <w:rPr>
        <w:b/>
        <w:bCs/>
        <w:color w:val="1F497D"/>
        <w:sz w:val="18"/>
        <w:szCs w:val="18"/>
      </w:rPr>
      <w:t>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ABF" w:rsidRDefault="003A2ABF">
      <w:r>
        <w:t>____________________</w:t>
      </w:r>
    </w:p>
  </w:footnote>
  <w:footnote w:type="continuationSeparator" w:id="0">
    <w:p w:rsidR="003A2ABF" w:rsidRDefault="003A2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6B" w:rsidRPr="00FC6F6B" w:rsidRDefault="00E915AF" w:rsidP="00436CD1">
    <w:pPr>
      <w:pStyle w:val="Header"/>
      <w:rPr>
        <w:sz w:val="18"/>
        <w:szCs w:val="16"/>
      </w:rPr>
    </w:pPr>
    <w:r w:rsidRPr="00FC6F6B">
      <w:rPr>
        <w:sz w:val="18"/>
        <w:szCs w:val="16"/>
      </w:rPr>
      <w:tab/>
    </w:r>
    <w:r w:rsidRPr="00FC6F6B">
      <w:rPr>
        <w:sz w:val="18"/>
        <w:szCs w:val="16"/>
      </w:rPr>
      <w:tab/>
    </w:r>
    <w:r w:rsidR="006231F4"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820E38">
      <w:rPr>
        <w:rStyle w:val="PageNumber"/>
        <w:noProof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  <w:r w:rsidR="006231F4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D49F5" w:rsidRDefault="00E915AF">
    <w:pPr>
      <w:pStyle w:val="Header"/>
      <w:rPr>
        <w:sz w:val="18"/>
        <w:szCs w:val="18"/>
      </w:rPr>
    </w:pPr>
    <w:r>
      <w:tab/>
    </w:r>
    <w:r>
      <w:tab/>
    </w:r>
    <w:r w:rsidR="005D49F5" w:rsidRPr="005D49F5">
      <w:rPr>
        <w:sz w:val="18"/>
        <w:szCs w:val="18"/>
      </w:rPr>
      <w:t xml:space="preserve">- </w:t>
    </w:r>
    <w:r w:rsidRPr="005D49F5">
      <w:rPr>
        <w:sz w:val="18"/>
        <w:szCs w:val="18"/>
      </w:rPr>
      <w:fldChar w:fldCharType="begin"/>
    </w:r>
    <w:r w:rsidRPr="005D49F5">
      <w:rPr>
        <w:sz w:val="18"/>
        <w:szCs w:val="18"/>
      </w:rPr>
      <w:instrText xml:space="preserve"> PAGE  \* MERGEFORMAT </w:instrText>
    </w:r>
    <w:r w:rsidRPr="005D49F5">
      <w:rPr>
        <w:sz w:val="18"/>
        <w:szCs w:val="18"/>
      </w:rPr>
      <w:fldChar w:fldCharType="separate"/>
    </w:r>
    <w:r w:rsidR="00820E38">
      <w:rPr>
        <w:noProof/>
        <w:sz w:val="18"/>
        <w:szCs w:val="18"/>
      </w:rPr>
      <w:t>3</w:t>
    </w:r>
    <w:r w:rsidRPr="005D49F5">
      <w:rPr>
        <w:sz w:val="18"/>
        <w:szCs w:val="18"/>
      </w:rPr>
      <w:fldChar w:fldCharType="end"/>
    </w:r>
    <w:r w:rsidR="005D49F5" w:rsidRPr="005D49F5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AD4554" w:rsidTr="00F9372A">
      <w:tc>
        <w:tcPr>
          <w:tcW w:w="4961" w:type="dxa"/>
        </w:tcPr>
        <w:p w:rsidR="00AD4554" w:rsidRDefault="00AD4554" w:rsidP="00AD4554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5C37EBA2" wp14:editId="685782FC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AD4554" w:rsidRDefault="006B4C75" w:rsidP="00AD4554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val="en-GB" w:eastAsia="zh-CN"/>
            </w:rPr>
            <w:drawing>
              <wp:inline distT="0" distB="0" distL="0" distR="0" wp14:anchorId="2A9A4973" wp14:editId="7C009D4F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51612A" w:rsidRDefault="00E915AF" w:rsidP="005161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44117"/>
    <w:rsid w:val="00006A31"/>
    <w:rsid w:val="00006C82"/>
    <w:rsid w:val="00010E30"/>
    <w:rsid w:val="00015C76"/>
    <w:rsid w:val="0002232B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6F0B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47E4A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5C3"/>
    <w:rsid w:val="00283C3B"/>
    <w:rsid w:val="002861E6"/>
    <w:rsid w:val="00287D18"/>
    <w:rsid w:val="0029555D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7790"/>
    <w:rsid w:val="00316935"/>
    <w:rsid w:val="003266ED"/>
    <w:rsid w:val="0033190E"/>
    <w:rsid w:val="003370B8"/>
    <w:rsid w:val="00345D38"/>
    <w:rsid w:val="00352097"/>
    <w:rsid w:val="003666FF"/>
    <w:rsid w:val="0037309C"/>
    <w:rsid w:val="00380A6E"/>
    <w:rsid w:val="003836D4"/>
    <w:rsid w:val="003A1F49"/>
    <w:rsid w:val="003A2ABF"/>
    <w:rsid w:val="003A5D52"/>
    <w:rsid w:val="003B1691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36CD1"/>
    <w:rsid w:val="00447ECB"/>
    <w:rsid w:val="004623F7"/>
    <w:rsid w:val="004659E5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612A"/>
    <w:rsid w:val="005224A1"/>
    <w:rsid w:val="00532F5D"/>
    <w:rsid w:val="00534372"/>
    <w:rsid w:val="00543DF8"/>
    <w:rsid w:val="00546101"/>
    <w:rsid w:val="00551517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0D77"/>
    <w:rsid w:val="005D3669"/>
    <w:rsid w:val="005D49F5"/>
    <w:rsid w:val="005E5EB3"/>
    <w:rsid w:val="005F3CB6"/>
    <w:rsid w:val="005F657C"/>
    <w:rsid w:val="00602D53"/>
    <w:rsid w:val="006047E5"/>
    <w:rsid w:val="006231F4"/>
    <w:rsid w:val="00641DBF"/>
    <w:rsid w:val="0064371D"/>
    <w:rsid w:val="00650B2A"/>
    <w:rsid w:val="00651777"/>
    <w:rsid w:val="006550F8"/>
    <w:rsid w:val="00656226"/>
    <w:rsid w:val="006829F3"/>
    <w:rsid w:val="006A1921"/>
    <w:rsid w:val="006A518B"/>
    <w:rsid w:val="006B0590"/>
    <w:rsid w:val="006B49DA"/>
    <w:rsid w:val="006B4C75"/>
    <w:rsid w:val="006B761A"/>
    <w:rsid w:val="006C53F8"/>
    <w:rsid w:val="006C7CDE"/>
    <w:rsid w:val="006F2ADD"/>
    <w:rsid w:val="00714B22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D6962"/>
    <w:rsid w:val="007E1833"/>
    <w:rsid w:val="007E3F13"/>
    <w:rsid w:val="007F751A"/>
    <w:rsid w:val="00800012"/>
    <w:rsid w:val="0080261F"/>
    <w:rsid w:val="00806160"/>
    <w:rsid w:val="008143A4"/>
    <w:rsid w:val="0081513E"/>
    <w:rsid w:val="00820E38"/>
    <w:rsid w:val="008346DB"/>
    <w:rsid w:val="00854131"/>
    <w:rsid w:val="0085652D"/>
    <w:rsid w:val="0087694B"/>
    <w:rsid w:val="00880F4D"/>
    <w:rsid w:val="008A0F5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27DD"/>
    <w:rsid w:val="009151BA"/>
    <w:rsid w:val="00925023"/>
    <w:rsid w:val="009277BC"/>
    <w:rsid w:val="00927D57"/>
    <w:rsid w:val="00931A51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1119"/>
    <w:rsid w:val="009D51A2"/>
    <w:rsid w:val="009E04A8"/>
    <w:rsid w:val="009E4AEC"/>
    <w:rsid w:val="009E5BD8"/>
    <w:rsid w:val="009E681E"/>
    <w:rsid w:val="00A078BD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C4ACD"/>
    <w:rsid w:val="00AD2CF2"/>
    <w:rsid w:val="00AD4554"/>
    <w:rsid w:val="00AE2D88"/>
    <w:rsid w:val="00AE6F6F"/>
    <w:rsid w:val="00AF215B"/>
    <w:rsid w:val="00AF3325"/>
    <w:rsid w:val="00AF34D9"/>
    <w:rsid w:val="00AF70DA"/>
    <w:rsid w:val="00B019D3"/>
    <w:rsid w:val="00B03947"/>
    <w:rsid w:val="00B34CF9"/>
    <w:rsid w:val="00B37559"/>
    <w:rsid w:val="00B4054B"/>
    <w:rsid w:val="00B579B0"/>
    <w:rsid w:val="00B57D11"/>
    <w:rsid w:val="00B649D7"/>
    <w:rsid w:val="00B819C1"/>
    <w:rsid w:val="00B81C2F"/>
    <w:rsid w:val="00B82E34"/>
    <w:rsid w:val="00B90743"/>
    <w:rsid w:val="00B90C45"/>
    <w:rsid w:val="00B933BE"/>
    <w:rsid w:val="00BA072F"/>
    <w:rsid w:val="00BB5D48"/>
    <w:rsid w:val="00BC0400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0D98"/>
    <w:rsid w:val="00DA195D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1C47"/>
    <w:rsid w:val="00E856C1"/>
    <w:rsid w:val="00E915AF"/>
    <w:rsid w:val="00E96415"/>
    <w:rsid w:val="00EA15B3"/>
    <w:rsid w:val="00EB2358"/>
    <w:rsid w:val="00EB3EB8"/>
    <w:rsid w:val="00EC02FE"/>
    <w:rsid w:val="00EC4A96"/>
    <w:rsid w:val="00EE398A"/>
    <w:rsid w:val="00F424BF"/>
    <w:rsid w:val="00F44117"/>
    <w:rsid w:val="00F44FC3"/>
    <w:rsid w:val="00F46107"/>
    <w:rsid w:val="00F468C5"/>
    <w:rsid w:val="00F51EFE"/>
    <w:rsid w:val="00F52F39"/>
    <w:rsid w:val="00F6184F"/>
    <w:rsid w:val="00F8310E"/>
    <w:rsid w:val="00F834F6"/>
    <w:rsid w:val="00F914DD"/>
    <w:rsid w:val="00FA2358"/>
    <w:rsid w:val="00FA64C3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27F5712B-0131-4F99-8615-E4C6CE86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5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nnexNotitle0">
    <w:name w:val="Annex_No &amp; title"/>
    <w:basedOn w:val="Normal"/>
    <w:next w:val="Normalaftertitle"/>
    <w:rsid w:val="00F4411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F44117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44117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F44117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F44117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F44117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F4411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s://www.itu.int/md/R15-SG07-C-0059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7-C/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7-C-0061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R15-SG07-C-0059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yperlink" Target="https://www.itu.int/md/R15-SG07-C-0061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g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8C85B-AC13-4250-9972-A75C4463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15</TotalTime>
  <Pages>3</Pages>
  <Words>567</Words>
  <Characters>3875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4434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Song, Xiaojing</dc:creator>
  <cp:lastModifiedBy>Song, Xiaojing</cp:lastModifiedBy>
  <cp:revision>7</cp:revision>
  <cp:lastPrinted>2017-07-11T09:13:00Z</cp:lastPrinted>
  <dcterms:created xsi:type="dcterms:W3CDTF">2017-07-11T09:08:00Z</dcterms:created>
  <dcterms:modified xsi:type="dcterms:W3CDTF">2017-07-17T08:45:00Z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