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0D5ABF" w:rsidP="000D5A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0D5ABF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0D5ABF" w:rsidP="000D5A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824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0D5ABF" w:rsidP="000D5AB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eastAsia="zh-CN" w:bidi="ar-SY"/>
              </w:rPr>
              <w:t>19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يوليو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6C06F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557EE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557EE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557EE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6C06F5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6C06F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6C06F5"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6C06F5">
              <w:rPr>
                <w:rFonts w:hint="cs"/>
                <w:b/>
                <w:bCs/>
                <w:rtl/>
                <w:lang w:bidi="ar-EG"/>
              </w:rPr>
              <w:t>خدمات العلوم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046D5E" w:rsidRDefault="00AF70F6" w:rsidP="00046D5E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046D5E">
              <w:rPr>
                <w:rFonts w:hint="cs"/>
                <w:b/>
                <w:bCs/>
                <w:rtl/>
                <w:lang w:bidi="ar-EG"/>
              </w:rPr>
              <w:t>اقتراح الموافقة على مشروعين لمراجعة توصيتين لقطاع الاتصالات الراديوية</w:t>
            </w:r>
          </w:p>
        </w:tc>
      </w:tr>
    </w:tbl>
    <w:p w:rsidR="00046D5E" w:rsidRPr="00046D5E" w:rsidRDefault="00046D5E" w:rsidP="00102340">
      <w:pPr>
        <w:spacing w:before="720"/>
        <w:rPr>
          <w:rtl/>
          <w:lang w:bidi="ar-EG"/>
        </w:rPr>
      </w:pPr>
      <w:r w:rsidRPr="00046D5E">
        <w:rPr>
          <w:rFonts w:hint="cs"/>
          <w:rtl/>
          <w:lang w:bidi="ar-EG"/>
        </w:rPr>
        <w:t xml:space="preserve">قررت لجنة الدراسات </w:t>
      </w:r>
      <w:r>
        <w:rPr>
          <w:lang w:bidi="ar-EG"/>
        </w:rPr>
        <w:t>7</w:t>
      </w:r>
      <w:r w:rsidRPr="00046D5E">
        <w:rPr>
          <w:rFonts w:hint="cs"/>
          <w:rtl/>
          <w:lang w:bidi="ar-EG"/>
        </w:rPr>
        <w:t xml:space="preserve"> للاتصالات الراديوية في اجتماعها المنعقد </w:t>
      </w:r>
      <w:r>
        <w:rPr>
          <w:rFonts w:hint="cs"/>
          <w:rtl/>
          <w:lang w:bidi="ar-EG"/>
        </w:rPr>
        <w:t>في</w:t>
      </w:r>
      <w:r w:rsidRPr="00046D5E">
        <w:rPr>
          <w:rFonts w:hint="cs"/>
          <w:rtl/>
          <w:lang w:bidi="ar-EG"/>
        </w:rPr>
        <w:t xml:space="preserve"> </w:t>
      </w:r>
      <w:r>
        <w:rPr>
          <w:lang w:bidi="ar-EG"/>
        </w:rPr>
        <w:t>4</w:t>
      </w:r>
      <w:r w:rsidRPr="00046D5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12</w:t>
      </w:r>
      <w:r w:rsidRPr="00046D5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أبريل</w:t>
      </w:r>
      <w:r w:rsidRPr="00046D5E">
        <w:rPr>
          <w:rFonts w:hint="cs"/>
          <w:rtl/>
          <w:lang w:bidi="ar-EG"/>
        </w:rPr>
        <w:t xml:space="preserve"> </w:t>
      </w:r>
      <w:r w:rsidRPr="00046D5E">
        <w:rPr>
          <w:lang w:bidi="ar-EG"/>
        </w:rPr>
        <w:t>201</w:t>
      </w:r>
      <w:r>
        <w:rPr>
          <w:lang w:bidi="ar-EG"/>
        </w:rPr>
        <w:t>7</w:t>
      </w:r>
      <w:r w:rsidRPr="00046D5E">
        <w:rPr>
          <w:rFonts w:hint="cs"/>
          <w:rtl/>
          <w:lang w:bidi="ar-EG"/>
        </w:rPr>
        <w:t>، أن تلتمس اعتماد مشروعين لمراجعة توصيتين</w:t>
      </w:r>
      <w:r w:rsidR="007B48C4">
        <w:rPr>
          <w:rFonts w:hint="cs"/>
          <w:rtl/>
          <w:lang w:bidi="ar-EG"/>
        </w:rPr>
        <w:t xml:space="preserve"> لقطاع الاتصالات الراديوية</w:t>
      </w:r>
      <w:r w:rsidRPr="00046D5E">
        <w:rPr>
          <w:rFonts w:hint="cs"/>
          <w:rtl/>
          <w:lang w:bidi="ar-EG"/>
        </w:rPr>
        <w:t xml:space="preserve"> عن طريق المراسلة، وفقاً للفقرة </w:t>
      </w:r>
      <w:r w:rsidRPr="00046D5E">
        <w:rPr>
          <w:lang w:bidi="ar-EG"/>
        </w:rPr>
        <w:t>3.2.2.6.A2</w:t>
      </w:r>
      <w:r w:rsidRPr="00046D5E">
        <w:rPr>
          <w:rFonts w:hint="cs"/>
          <w:rtl/>
          <w:lang w:bidi="ar-SY"/>
        </w:rPr>
        <w:t xml:space="preserve"> من</w:t>
      </w:r>
      <w:r w:rsidRPr="00046D5E">
        <w:rPr>
          <w:rFonts w:hint="cs"/>
          <w:rtl/>
          <w:lang w:bidi="ar-EG"/>
        </w:rPr>
        <w:t xml:space="preserve"> القرار </w:t>
      </w:r>
      <w:r w:rsidRPr="00046D5E">
        <w:rPr>
          <w:lang w:val="en-GB" w:bidi="ar-EG"/>
        </w:rPr>
        <w:t>ITU</w:t>
      </w:r>
      <w:r w:rsidRPr="00046D5E">
        <w:rPr>
          <w:lang w:val="en-GB" w:bidi="ar-EG"/>
        </w:rPr>
        <w:noBreakHyphen/>
        <w:t>R 1</w:t>
      </w:r>
      <w:r w:rsidRPr="00046D5E">
        <w:rPr>
          <w:lang w:val="en-GB" w:bidi="ar-EG"/>
        </w:rPr>
        <w:noBreakHyphen/>
        <w:t>7</w:t>
      </w:r>
      <w:r w:rsidRPr="00046D5E">
        <w:rPr>
          <w:rFonts w:hint="cs"/>
          <w:rtl/>
        </w:rPr>
        <w:t>.</w:t>
      </w:r>
      <w:r w:rsidRPr="00046D5E">
        <w:rPr>
          <w:rFonts w:hint="cs"/>
          <w:rtl/>
          <w:lang w:bidi="ar-EG"/>
        </w:rPr>
        <w:t xml:space="preserve"> </w:t>
      </w:r>
      <w:r w:rsidRPr="00046D5E">
        <w:rPr>
          <w:rFonts w:hint="cs"/>
          <w:rtl/>
          <w:lang w:bidi="ar-SY"/>
        </w:rPr>
        <w:t>ومن ثم اعتمدت لجنة الدراسات</w:t>
      </w:r>
      <w:r w:rsidR="00E001F4">
        <w:rPr>
          <w:rFonts w:hint="eastAsia"/>
          <w:rtl/>
          <w:lang w:bidi="ar-SY"/>
        </w:rPr>
        <w:t> </w:t>
      </w:r>
      <w:r w:rsidR="0044492A">
        <w:rPr>
          <w:lang w:bidi="ar-EG"/>
        </w:rPr>
        <w:t>7</w:t>
      </w:r>
      <w:r w:rsidRPr="00046D5E">
        <w:rPr>
          <w:rFonts w:hint="cs"/>
          <w:rtl/>
          <w:lang w:bidi="ar-SY"/>
        </w:rPr>
        <w:t xml:space="preserve"> التوصي</w:t>
      </w:r>
      <w:r w:rsidR="0044492A">
        <w:rPr>
          <w:rFonts w:hint="cs"/>
          <w:rtl/>
          <w:lang w:bidi="ar-SY"/>
        </w:rPr>
        <w:t>تين</w:t>
      </w:r>
      <w:r w:rsidRPr="00046D5E">
        <w:rPr>
          <w:rFonts w:hint="cs"/>
          <w:rtl/>
          <w:lang w:bidi="ar-SY"/>
        </w:rPr>
        <w:t xml:space="preserve"> ال</w:t>
      </w:r>
      <w:r w:rsidR="0044492A">
        <w:rPr>
          <w:rFonts w:hint="cs"/>
          <w:rtl/>
          <w:lang w:bidi="ar-SY"/>
        </w:rPr>
        <w:t>مذكورتين</w:t>
      </w:r>
      <w:r w:rsidRPr="00046D5E">
        <w:rPr>
          <w:rFonts w:hint="cs"/>
          <w:rtl/>
          <w:lang w:bidi="ar-SY"/>
        </w:rPr>
        <w:t>، ويتعين تطبيق إجراء الموافقة المنصوص عليه في الفقرة</w:t>
      </w:r>
      <w:r w:rsidRPr="00046D5E">
        <w:rPr>
          <w:rFonts w:hint="eastAsia"/>
          <w:rtl/>
          <w:lang w:bidi="ar-SY"/>
        </w:rPr>
        <w:t> </w:t>
      </w:r>
      <w:r w:rsidRPr="00046D5E">
        <w:rPr>
          <w:lang w:bidi="ar-EG"/>
        </w:rPr>
        <w:t>3.2.6.A2</w:t>
      </w:r>
      <w:r w:rsidRPr="00046D5E">
        <w:rPr>
          <w:rFonts w:hint="cs"/>
          <w:rtl/>
          <w:lang w:bidi="ar-SY"/>
        </w:rPr>
        <w:t xml:space="preserve"> من القرار</w:t>
      </w:r>
      <w:r w:rsidRPr="00046D5E">
        <w:rPr>
          <w:rFonts w:hint="eastAsia"/>
          <w:rtl/>
          <w:lang w:bidi="ar-SY"/>
        </w:rPr>
        <w:t> </w:t>
      </w:r>
      <w:r w:rsidRPr="00046D5E">
        <w:rPr>
          <w:lang w:bidi="ar-EG"/>
        </w:rPr>
        <w:t>ITU</w:t>
      </w:r>
      <w:r w:rsidRPr="00046D5E">
        <w:rPr>
          <w:lang w:bidi="ar-EG"/>
        </w:rPr>
        <w:noBreakHyphen/>
        <w:t>R 1</w:t>
      </w:r>
      <w:r w:rsidRPr="00046D5E">
        <w:rPr>
          <w:lang w:bidi="ar-EG"/>
        </w:rPr>
        <w:noBreakHyphen/>
        <w:t>7</w:t>
      </w:r>
      <w:r w:rsidRPr="00046D5E">
        <w:rPr>
          <w:rFonts w:hint="cs"/>
          <w:rtl/>
          <w:lang w:bidi="ar-SY"/>
        </w:rPr>
        <w:t>.</w:t>
      </w:r>
      <w:r w:rsidRPr="00046D5E">
        <w:rPr>
          <w:rFonts w:hint="cs"/>
          <w:rtl/>
          <w:lang w:bidi="ar-EG"/>
        </w:rPr>
        <w:t xml:space="preserve"> </w:t>
      </w:r>
      <w:r w:rsidR="00E048F3">
        <w:rPr>
          <w:rFonts w:hint="cs"/>
          <w:rtl/>
          <w:lang w:bidi="ar-EG"/>
        </w:rPr>
        <w:t>ويرد</w:t>
      </w:r>
      <w:r w:rsidR="00102340">
        <w:rPr>
          <w:rFonts w:hint="eastAsia"/>
          <w:rtl/>
          <w:lang w:bidi="ar-EG"/>
        </w:rPr>
        <w:t> </w:t>
      </w:r>
      <w:r w:rsidR="00E048F3">
        <w:rPr>
          <w:rFonts w:hint="cs"/>
          <w:rtl/>
          <w:lang w:bidi="ar-EG"/>
        </w:rPr>
        <w:t>عنوانا</w:t>
      </w:r>
      <w:r w:rsidR="00102340">
        <w:rPr>
          <w:rFonts w:hint="eastAsia"/>
          <w:rtl/>
          <w:lang w:bidi="ar-EG"/>
        </w:rPr>
        <w:t> </w:t>
      </w:r>
      <w:r w:rsidR="00E048F3">
        <w:rPr>
          <w:rFonts w:hint="cs"/>
          <w:rtl/>
          <w:lang w:bidi="ar-EG"/>
        </w:rPr>
        <w:t xml:space="preserve">وملخصا التوصيتين </w:t>
      </w:r>
      <w:r w:rsidRPr="00046D5E">
        <w:rPr>
          <w:rFonts w:hint="cs"/>
          <w:rtl/>
          <w:lang w:bidi="ar-EG"/>
        </w:rPr>
        <w:t>في الملحق </w:t>
      </w:r>
      <w:r w:rsidR="00E048F3">
        <w:rPr>
          <w:rFonts w:hint="cs"/>
          <w:rtl/>
          <w:lang w:bidi="ar-EG"/>
        </w:rPr>
        <w:t>بهذه الرسالة</w:t>
      </w:r>
      <w:r w:rsidRPr="00046D5E">
        <w:rPr>
          <w:rFonts w:hint="cs"/>
          <w:rtl/>
          <w:lang w:bidi="ar-EG"/>
        </w:rPr>
        <w:t>. ويرجى من أي دولة عضو تعترض على الموافقة على مشروع توصية أن تخبر المدير ورئيس لجنة الدراسات بأسباب اعتراضها.</w:t>
      </w:r>
    </w:p>
    <w:p w:rsidR="00046D5E" w:rsidRPr="00046D5E" w:rsidRDefault="00046D5E" w:rsidP="006645F2">
      <w:pPr>
        <w:rPr>
          <w:rtl/>
          <w:lang w:bidi="ar-SY"/>
        </w:rPr>
      </w:pPr>
      <w:r w:rsidRPr="00046D5E">
        <w:rPr>
          <w:rFonts w:hint="cs"/>
          <w:rtl/>
          <w:lang w:bidi="ar-EG"/>
        </w:rPr>
        <w:t xml:space="preserve">وكما ورد في الرسالة الإدارية المعممة </w:t>
      </w:r>
      <w:r w:rsidRPr="00046D5E">
        <w:rPr>
          <w:lang w:bidi="ar-EG"/>
        </w:rPr>
        <w:t>CACE/</w:t>
      </w:r>
      <w:r w:rsidR="00707CAC">
        <w:rPr>
          <w:lang w:bidi="ar-EG"/>
        </w:rPr>
        <w:t>810</w:t>
      </w:r>
      <w:r w:rsidRPr="00046D5E">
        <w:rPr>
          <w:rFonts w:hint="cs"/>
          <w:rtl/>
          <w:lang w:bidi="ar-SY"/>
        </w:rPr>
        <w:t xml:space="preserve"> المؤرخة </w:t>
      </w:r>
      <w:r w:rsidR="00707CAC">
        <w:rPr>
          <w:lang w:bidi="ar-SY"/>
        </w:rPr>
        <w:t>10</w:t>
      </w:r>
      <w:r w:rsidRPr="00046D5E">
        <w:rPr>
          <w:rFonts w:hint="cs"/>
          <w:rtl/>
          <w:lang w:bidi="ar-SY"/>
        </w:rPr>
        <w:t xml:space="preserve"> </w:t>
      </w:r>
      <w:r w:rsidR="00707CAC">
        <w:rPr>
          <w:rFonts w:hint="cs"/>
          <w:rtl/>
          <w:lang w:bidi="ar-SY"/>
        </w:rPr>
        <w:t>مايو</w:t>
      </w:r>
      <w:r w:rsidRPr="00046D5E">
        <w:rPr>
          <w:rFonts w:hint="cs"/>
          <w:rtl/>
          <w:lang w:bidi="ar-SY"/>
        </w:rPr>
        <w:t xml:space="preserve"> </w:t>
      </w:r>
      <w:r w:rsidRPr="00046D5E">
        <w:rPr>
          <w:lang w:bidi="ar-EG"/>
        </w:rPr>
        <w:t>201</w:t>
      </w:r>
      <w:r w:rsidR="00707CAC">
        <w:rPr>
          <w:lang w:bidi="ar-EG"/>
        </w:rPr>
        <w:t>7</w:t>
      </w:r>
      <w:r w:rsidRPr="00046D5E">
        <w:rPr>
          <w:rFonts w:hint="cs"/>
          <w:rtl/>
          <w:lang w:bidi="ar-SY"/>
        </w:rPr>
        <w:t xml:space="preserve">، انتهت فترة التشاور بشأن اعتماد </w:t>
      </w:r>
      <w:r w:rsidR="006645F2">
        <w:rPr>
          <w:rFonts w:hint="cs"/>
          <w:rtl/>
          <w:lang w:bidi="ar-SY"/>
        </w:rPr>
        <w:t>هاتين التوصيتين</w:t>
      </w:r>
      <w:r w:rsidRPr="00046D5E">
        <w:rPr>
          <w:rFonts w:hint="cs"/>
          <w:rtl/>
          <w:lang w:bidi="ar-SY"/>
        </w:rPr>
        <w:t xml:space="preserve"> في</w:t>
      </w:r>
      <w:r w:rsidRPr="00046D5E">
        <w:rPr>
          <w:rFonts w:hint="eastAsia"/>
          <w:rtl/>
          <w:lang w:bidi="ar-SY"/>
        </w:rPr>
        <w:t> </w:t>
      </w:r>
      <w:r w:rsidR="006645F2">
        <w:rPr>
          <w:lang w:bidi="ar-SY"/>
        </w:rPr>
        <w:t>10</w:t>
      </w:r>
      <w:r w:rsidRPr="00046D5E">
        <w:rPr>
          <w:rFonts w:hint="eastAsia"/>
          <w:rtl/>
          <w:lang w:bidi="ar-SY"/>
        </w:rPr>
        <w:t> </w:t>
      </w:r>
      <w:r w:rsidR="006645F2">
        <w:rPr>
          <w:rFonts w:hint="cs"/>
          <w:rtl/>
          <w:lang w:bidi="ar-SY"/>
        </w:rPr>
        <w:t>يوليو</w:t>
      </w:r>
      <w:r w:rsidRPr="00046D5E">
        <w:rPr>
          <w:rFonts w:hint="cs"/>
          <w:rtl/>
          <w:lang w:bidi="ar-SY"/>
        </w:rPr>
        <w:t xml:space="preserve"> </w:t>
      </w:r>
      <w:r w:rsidRPr="00046D5E">
        <w:rPr>
          <w:lang w:bidi="ar-EG"/>
        </w:rPr>
        <w:t>201</w:t>
      </w:r>
      <w:r w:rsidR="006645F2">
        <w:rPr>
          <w:lang w:bidi="ar-EG"/>
        </w:rPr>
        <w:t>7</w:t>
      </w:r>
      <w:r w:rsidRPr="00046D5E">
        <w:rPr>
          <w:rFonts w:hint="cs"/>
          <w:rtl/>
          <w:lang w:bidi="ar-SY"/>
        </w:rPr>
        <w:t>.</w:t>
      </w:r>
    </w:p>
    <w:p w:rsidR="00046D5E" w:rsidRPr="00046D5E" w:rsidRDefault="00046D5E" w:rsidP="003B48A0">
      <w:pPr>
        <w:rPr>
          <w:rtl/>
          <w:lang w:bidi="ar-EG"/>
        </w:rPr>
      </w:pPr>
      <w:r w:rsidRPr="00046D5E">
        <w:rPr>
          <w:rFonts w:hint="cs"/>
          <w:rtl/>
          <w:lang w:bidi="ar-EG"/>
        </w:rPr>
        <w:lastRenderedPageBreak/>
        <w:t>وبالنظر إلى أحكام الفقرة </w:t>
      </w:r>
      <w:r w:rsidRPr="00046D5E">
        <w:rPr>
          <w:lang w:bidi="ar-EG"/>
        </w:rPr>
        <w:t>3.2.6.A2</w:t>
      </w:r>
      <w:r w:rsidRPr="00046D5E">
        <w:rPr>
          <w:rFonts w:hint="cs"/>
          <w:rtl/>
          <w:lang w:bidi="ar-EG"/>
        </w:rPr>
        <w:t xml:space="preserve"> من القرار </w:t>
      </w:r>
      <w:r w:rsidRPr="00046D5E">
        <w:rPr>
          <w:lang w:val="en-GB" w:bidi="ar-EG"/>
        </w:rPr>
        <w:t>ITU</w:t>
      </w:r>
      <w:r w:rsidRPr="00046D5E">
        <w:rPr>
          <w:lang w:val="en-GB" w:bidi="ar-EG"/>
        </w:rPr>
        <w:noBreakHyphen/>
        <w:t>R 1</w:t>
      </w:r>
      <w:r w:rsidRPr="00046D5E">
        <w:rPr>
          <w:lang w:val="en-GB" w:bidi="ar-EG"/>
        </w:rPr>
        <w:noBreakHyphen/>
        <w:t>7</w:t>
      </w:r>
      <w:r w:rsidRPr="00046D5E">
        <w:rPr>
          <w:rFonts w:hint="cs"/>
          <w:rtl/>
          <w:lang w:bidi="ar-EG"/>
        </w:rPr>
        <w:t>، يرجى من الدول الأعضاء إبلاغ الأمانة </w:t>
      </w:r>
      <w:r w:rsidRPr="00046D5E">
        <w:rPr>
          <w:lang w:bidi="ar-EG"/>
        </w:rPr>
        <w:t>(</w:t>
      </w:r>
      <w:hyperlink r:id="rId10" w:history="1">
        <w:r w:rsidR="00E001F4" w:rsidRPr="00E001F4">
          <w:rPr>
            <w:rStyle w:val="Hyperlink"/>
            <w:rFonts w:ascii="Calibri" w:hAnsi="Calibri"/>
            <w:lang w:bidi="ar-EG"/>
          </w:rPr>
          <w:t>brsgd@itu.int</w:t>
        </w:r>
      </w:hyperlink>
      <w:r w:rsidRPr="00046D5E">
        <w:rPr>
          <w:lang w:bidi="ar-EG"/>
        </w:rPr>
        <w:t>)</w:t>
      </w:r>
      <w:r w:rsidRPr="00046D5E">
        <w:rPr>
          <w:rFonts w:hint="cs"/>
          <w:rtl/>
          <w:lang w:bidi="ar-EG"/>
        </w:rPr>
        <w:t xml:space="preserve"> في</w:t>
      </w:r>
      <w:r w:rsidRPr="00046D5E">
        <w:rPr>
          <w:rFonts w:hint="eastAsia"/>
          <w:rtl/>
          <w:lang w:bidi="ar-EG"/>
        </w:rPr>
        <w:t> </w:t>
      </w:r>
      <w:r w:rsidRPr="00046D5E">
        <w:rPr>
          <w:rFonts w:hint="cs"/>
          <w:rtl/>
          <w:lang w:bidi="ar-EG"/>
        </w:rPr>
        <w:t>موعد أقصاه</w:t>
      </w:r>
      <w:r w:rsidR="003B48A0">
        <w:rPr>
          <w:rFonts w:hint="eastAsia"/>
          <w:rtl/>
          <w:lang w:bidi="ar-EG"/>
        </w:rPr>
        <w:t> </w:t>
      </w:r>
      <w:r w:rsidR="00735F81">
        <w:rPr>
          <w:u w:val="single"/>
          <w:lang w:bidi="ar-EG"/>
        </w:rPr>
        <w:t>19</w:t>
      </w:r>
      <w:r w:rsidR="003B48A0">
        <w:rPr>
          <w:rFonts w:hint="eastAsia"/>
          <w:u w:val="single"/>
          <w:rtl/>
          <w:lang w:bidi="ar-EG"/>
        </w:rPr>
        <w:t> </w:t>
      </w:r>
      <w:r w:rsidR="00735F81">
        <w:rPr>
          <w:rFonts w:hint="cs"/>
          <w:u w:val="single"/>
          <w:rtl/>
          <w:lang w:bidi="ar-EG"/>
        </w:rPr>
        <w:t>سبتمبر</w:t>
      </w:r>
      <w:r w:rsidRPr="00046D5E">
        <w:rPr>
          <w:rFonts w:hint="eastAsia"/>
          <w:u w:val="single"/>
          <w:rtl/>
          <w:lang w:bidi="ar-EG"/>
        </w:rPr>
        <w:t> </w:t>
      </w:r>
      <w:r w:rsidRPr="00046D5E">
        <w:rPr>
          <w:u w:val="single"/>
          <w:lang w:bidi="ar-EG"/>
        </w:rPr>
        <w:t>201</w:t>
      </w:r>
      <w:r w:rsidR="00735F81">
        <w:rPr>
          <w:u w:val="single"/>
          <w:lang w:bidi="ar-EG"/>
        </w:rPr>
        <w:t>7</w:t>
      </w:r>
      <w:r w:rsidRPr="00046D5E">
        <w:rPr>
          <w:rFonts w:hint="cs"/>
          <w:rtl/>
          <w:lang w:bidi="ar-EG"/>
        </w:rPr>
        <w:t xml:space="preserve"> بما إذا كانت توافق أم لا توافق على المقترحات المذكورة أعلاه.</w:t>
      </w:r>
    </w:p>
    <w:p w:rsidR="00046D5E" w:rsidRPr="00046D5E" w:rsidRDefault="00046D5E" w:rsidP="00413CD4">
      <w:pPr>
        <w:rPr>
          <w:rtl/>
          <w:lang w:bidi="ar-EG"/>
        </w:rPr>
      </w:pPr>
      <w:r w:rsidRPr="00046D5E">
        <w:rPr>
          <w:rFonts w:hint="cs"/>
          <w:rtl/>
          <w:lang w:bidi="ar-EG"/>
        </w:rPr>
        <w:t>وبعد الموعد النهائي المحدد أعلاه، ستعلن نتائج هذا التشاور في رسالة إدارية معممة ثم تُنشر التوصي</w:t>
      </w:r>
      <w:r w:rsidR="00F15185">
        <w:rPr>
          <w:rFonts w:hint="cs"/>
          <w:rtl/>
          <w:lang w:bidi="ar-EG"/>
        </w:rPr>
        <w:t>ت</w:t>
      </w:r>
      <w:r w:rsidRPr="00046D5E">
        <w:rPr>
          <w:rFonts w:hint="cs"/>
          <w:rtl/>
          <w:lang w:bidi="ar-EG"/>
        </w:rPr>
        <w:t>ا</w:t>
      </w:r>
      <w:r w:rsidR="00F15185">
        <w:rPr>
          <w:rFonts w:hint="cs"/>
          <w:rtl/>
          <w:lang w:bidi="ar-EG"/>
        </w:rPr>
        <w:t>ن</w:t>
      </w:r>
      <w:r w:rsidRPr="00046D5E">
        <w:rPr>
          <w:rFonts w:hint="cs"/>
          <w:rtl/>
          <w:lang w:bidi="ar-EG"/>
        </w:rPr>
        <w:t xml:space="preserve"> الموافَق عليه</w:t>
      </w:r>
      <w:r w:rsidR="00334978">
        <w:rPr>
          <w:rFonts w:hint="cs"/>
          <w:rtl/>
          <w:lang w:bidi="ar-EG"/>
        </w:rPr>
        <w:t>م</w:t>
      </w:r>
      <w:r w:rsidRPr="00046D5E">
        <w:rPr>
          <w:rFonts w:hint="cs"/>
          <w:rtl/>
          <w:lang w:bidi="ar-EG"/>
        </w:rPr>
        <w:t>ا في</w:t>
      </w:r>
      <w:r w:rsidRPr="00046D5E">
        <w:rPr>
          <w:rFonts w:hint="eastAsia"/>
          <w:rtl/>
          <w:lang w:bidi="ar-EG"/>
        </w:rPr>
        <w:t> </w:t>
      </w:r>
      <w:r w:rsidRPr="00046D5E">
        <w:rPr>
          <w:rFonts w:hint="cs"/>
          <w:rtl/>
          <w:lang w:bidi="ar-EG"/>
        </w:rPr>
        <w:t>أقرب وقت ممكن (انظر </w:t>
      </w:r>
      <w:hyperlink r:id="rId11" w:history="1">
        <w:r w:rsidR="00413CD4" w:rsidRPr="00413CD4">
          <w:rPr>
            <w:rStyle w:val="Hyperlink"/>
            <w:rFonts w:ascii="Calibri" w:hAnsi="Calibri"/>
            <w:lang w:bidi="ar-EG"/>
          </w:rPr>
          <w:t>http://www.itu.int/pub/R-REC</w:t>
        </w:r>
      </w:hyperlink>
      <w:r w:rsidRPr="00046D5E">
        <w:rPr>
          <w:rFonts w:hint="cs"/>
          <w:rtl/>
          <w:lang w:bidi="ar-EG"/>
        </w:rPr>
        <w:t>).</w:t>
      </w:r>
    </w:p>
    <w:p w:rsidR="00AF70F6" w:rsidRPr="00B95672" w:rsidRDefault="00046D5E" w:rsidP="00E85031">
      <w:pPr>
        <w:keepNext/>
        <w:keepLines/>
        <w:widowControl w:val="0"/>
        <w:rPr>
          <w:spacing w:val="4"/>
          <w:rtl/>
        </w:rPr>
      </w:pPr>
      <w:r w:rsidRPr="00B95672">
        <w:rPr>
          <w:spacing w:val="4"/>
          <w:rtl/>
          <w:lang w:bidi="ar-EG"/>
        </w:rPr>
        <w:t xml:space="preserve">ويرجى من أي منظمة عضو في الاتحاد تعلم بوجود براءة اختراع لديها أو لدى غيرها تغطي كلياً أو جزئياً عناصر </w:t>
      </w:r>
      <w:r w:rsidR="00F520A4" w:rsidRPr="00B95672">
        <w:rPr>
          <w:rFonts w:hint="cs"/>
          <w:spacing w:val="4"/>
          <w:rtl/>
          <w:lang w:bidi="ar-EG"/>
        </w:rPr>
        <w:t>مشروعي التوصيتين المذكورتين</w:t>
      </w:r>
      <w:r w:rsidRPr="00B95672">
        <w:rPr>
          <w:spacing w:val="4"/>
          <w:rtl/>
          <w:lang w:bidi="ar-EG"/>
        </w:rPr>
        <w:t xml:space="preserve"> في هذه الرسالة أن تبلغ الأمانة بهذه المعلومات بأسرع ما يمكن. ويمكن الاطلاع على السياسة المشتركة للبراءات </w:t>
      </w:r>
      <w:r w:rsidRPr="00B95672">
        <w:rPr>
          <w:spacing w:val="4"/>
          <w:lang w:bidi="ar-EG"/>
        </w:rPr>
        <w:t>"ITU</w:t>
      </w:r>
      <w:r w:rsidRPr="00B95672">
        <w:rPr>
          <w:spacing w:val="4"/>
          <w:lang w:bidi="ar-EG"/>
        </w:rPr>
        <w:noBreakHyphen/>
        <w:t>T/ITU</w:t>
      </w:r>
      <w:r w:rsidRPr="00B95672">
        <w:rPr>
          <w:spacing w:val="4"/>
          <w:lang w:bidi="ar-EG"/>
        </w:rPr>
        <w:noBreakHyphen/>
        <w:t>R/ISO/IEC"</w:t>
      </w:r>
      <w:r w:rsidRPr="00B95672">
        <w:rPr>
          <w:spacing w:val="4"/>
          <w:rtl/>
          <w:lang w:bidi="ar-EG"/>
        </w:rPr>
        <w:t xml:space="preserve"> في الموقع الإلكتروني</w:t>
      </w:r>
      <w:r w:rsidRPr="00B95672">
        <w:rPr>
          <w:rFonts w:hint="cs"/>
          <w:spacing w:val="4"/>
          <w:rtl/>
          <w:lang w:bidi="ar-EG"/>
        </w:rPr>
        <w:t xml:space="preserve">: </w:t>
      </w:r>
      <w:hyperlink r:id="rId12" w:history="1">
        <w:r w:rsidR="00E85031" w:rsidRPr="00B95672">
          <w:rPr>
            <w:rStyle w:val="Hyperlink"/>
            <w:rFonts w:ascii="Calibri" w:hAnsi="Calibri"/>
            <w:spacing w:val="4"/>
            <w:lang w:bidi="ar-EG"/>
          </w:rPr>
          <w:t>http://www.itu.int/en/ITU-T/ipr/Pages/policy.aspx</w:t>
        </w:r>
      </w:hyperlink>
      <w:r w:rsidRPr="00B95672">
        <w:rPr>
          <w:spacing w:val="4"/>
          <w:rtl/>
          <w:lang w:bidi="ar-EG"/>
        </w:rPr>
        <w:t>.</w:t>
      </w:r>
    </w:p>
    <w:p w:rsidR="00AF70F6" w:rsidRDefault="00AF70F6" w:rsidP="00D35180">
      <w:pPr>
        <w:keepNext/>
        <w:keepLines/>
        <w:widowControl w:val="0"/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7E516B" w:rsidRPr="00EC2577" w:rsidRDefault="00AF70F6" w:rsidP="006161F8">
      <w:pPr>
        <w:spacing w:before="192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Pr="00AF70F6">
        <w:rPr>
          <w:rtl/>
          <w:lang w:bidi="ar-EG"/>
        </w:rPr>
        <w:t>:</w:t>
      </w:r>
      <w:r w:rsidR="007E516B" w:rsidRPr="00977802">
        <w:rPr>
          <w:rFonts w:hint="cs"/>
          <w:b/>
          <w:bCs/>
          <w:rtl/>
          <w:lang w:bidi="ar-EG"/>
        </w:rPr>
        <w:tab/>
      </w:r>
      <w:r w:rsidR="007E516B" w:rsidRPr="00EC2577">
        <w:rPr>
          <w:rFonts w:hint="cs"/>
          <w:rtl/>
          <w:lang w:bidi="ar-EG"/>
        </w:rPr>
        <w:t>-</w:t>
      </w:r>
      <w:r w:rsidR="007E516B" w:rsidRPr="00EC2577">
        <w:rPr>
          <w:rFonts w:hint="cs"/>
          <w:rtl/>
          <w:lang w:bidi="ar-EG"/>
        </w:rPr>
        <w:tab/>
      </w:r>
      <w:r w:rsidR="007E516B" w:rsidRPr="007E516B">
        <w:rPr>
          <w:rFonts w:hint="cs"/>
          <w:rtl/>
          <w:lang w:bidi="ar-EG"/>
        </w:rPr>
        <w:t>عنوانا مشروعي التوصيتين وملخصاهما</w:t>
      </w:r>
    </w:p>
    <w:p w:rsidR="007E516B" w:rsidRDefault="007E516B" w:rsidP="003C26EB">
      <w:pPr>
        <w:jc w:val="left"/>
        <w:rPr>
          <w:rtl/>
          <w:lang w:bidi="ar-EG"/>
        </w:rPr>
      </w:pPr>
      <w:r>
        <w:rPr>
          <w:rtl/>
          <w:lang w:bidi="ar-EG"/>
        </w:rPr>
        <w:tab/>
      </w:r>
      <w:r w:rsidRPr="00EC2577">
        <w:rPr>
          <w:rFonts w:hint="cs"/>
          <w:rtl/>
          <w:lang w:bidi="ar-EG"/>
        </w:rPr>
        <w:t>-</w:t>
      </w:r>
      <w:r w:rsidRPr="00EC2577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الوثيقتان </w:t>
      </w:r>
      <w:hyperlink r:id="rId13" w:history="1">
        <w:r w:rsidRPr="007E516B">
          <w:rPr>
            <w:rStyle w:val="Hyperlink"/>
            <w:rFonts w:ascii="Calibri" w:hAnsi="Calibri"/>
            <w:lang w:val="en-GB" w:bidi="ar-EG"/>
          </w:rPr>
          <w:t>7/59</w:t>
        </w:r>
      </w:hyperlink>
      <w:r>
        <w:rPr>
          <w:rFonts w:hint="cs"/>
          <w:rtl/>
          <w:lang w:bidi="ar-EG"/>
        </w:rPr>
        <w:t xml:space="preserve"> و</w:t>
      </w:r>
      <w:hyperlink r:id="rId14" w:history="1">
        <w:r w:rsidRPr="007E516B">
          <w:rPr>
            <w:rStyle w:val="Hyperlink"/>
            <w:rFonts w:ascii="Calibri" w:hAnsi="Calibri"/>
            <w:lang w:val="en-GB" w:bidi="ar-EG"/>
          </w:rPr>
          <w:t>7/61</w:t>
        </w:r>
      </w:hyperlink>
    </w:p>
    <w:p w:rsidR="007E516B" w:rsidRDefault="007E516B" w:rsidP="009A63D1">
      <w:pPr>
        <w:spacing w:before="480"/>
        <w:rPr>
          <w:rtl/>
          <w:lang w:bidi="ar-EG"/>
        </w:rPr>
      </w:pPr>
      <w:r w:rsidRPr="00EC2577">
        <w:rPr>
          <w:rFonts w:hint="cs"/>
          <w:rtl/>
        </w:rPr>
        <w:lastRenderedPageBreak/>
        <w:t>وتتاح نسخ إلكترونية من هذه الوثائق في</w:t>
      </w:r>
      <w:r>
        <w:rPr>
          <w:rFonts w:hint="cs"/>
          <w:rtl/>
        </w:rPr>
        <w:t xml:space="preserve"> الموقع: </w:t>
      </w:r>
      <w:hyperlink r:id="rId15" w:history="1">
        <w:r w:rsidR="009A63D1" w:rsidRPr="009A63D1">
          <w:rPr>
            <w:rStyle w:val="Hyperlink"/>
            <w:rFonts w:ascii="Calibri" w:hAnsi="Calibri"/>
          </w:rPr>
          <w:t>https://www.itu.int/md/R15-SG07-C/en</w:t>
        </w:r>
      </w:hyperlink>
    </w:p>
    <w:p w:rsidR="00AF70F6" w:rsidRPr="00772194" w:rsidRDefault="00AF70F6" w:rsidP="00556F48">
      <w:pPr>
        <w:tabs>
          <w:tab w:val="left" w:pos="283"/>
        </w:tabs>
        <w:spacing w:before="3000"/>
        <w:jc w:val="left"/>
        <w:rPr>
          <w:sz w:val="18"/>
          <w:szCs w:val="24"/>
          <w:rtl/>
          <w:lang w:bidi="ar-EG"/>
        </w:rPr>
      </w:pPr>
      <w:r w:rsidRPr="00772194">
        <w:rPr>
          <w:b/>
          <w:bCs/>
          <w:sz w:val="18"/>
          <w:szCs w:val="24"/>
          <w:rtl/>
          <w:lang w:bidi="ar-EG"/>
        </w:rPr>
        <w:t>التوزيع</w:t>
      </w:r>
      <w:r w:rsidRPr="00772194">
        <w:rPr>
          <w:sz w:val="18"/>
          <w:szCs w:val="24"/>
          <w:rtl/>
          <w:lang w:bidi="ar-EG"/>
        </w:rPr>
        <w:t>:</w:t>
      </w:r>
    </w:p>
    <w:p w:rsidR="00AF70F6" w:rsidRPr="00772194" w:rsidRDefault="00AF70F6" w:rsidP="006D7597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772194">
        <w:rPr>
          <w:sz w:val="18"/>
          <w:szCs w:val="24"/>
          <w:rtl/>
          <w:lang w:bidi="ar-EG"/>
        </w:rPr>
        <w:t>-</w:t>
      </w:r>
      <w:r w:rsidRPr="00772194">
        <w:rPr>
          <w:sz w:val="18"/>
          <w:szCs w:val="24"/>
          <w:rtl/>
          <w:lang w:bidi="ar-EG"/>
        </w:rPr>
        <w:tab/>
        <w:t>إدارات الدول الأعضاء</w:t>
      </w:r>
      <w:r w:rsidRPr="00772194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772194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772194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7E5D27" w:rsidRPr="00772194">
        <w:rPr>
          <w:sz w:val="18"/>
          <w:szCs w:val="24"/>
          <w:lang w:val="fr-CH" w:bidi="ar-EG"/>
        </w:rPr>
        <w:t>7</w:t>
      </w:r>
      <w:r w:rsidRPr="00772194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AF70F6" w:rsidRPr="00772194" w:rsidRDefault="00AF70F6" w:rsidP="006D759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72194">
        <w:rPr>
          <w:sz w:val="18"/>
          <w:szCs w:val="24"/>
          <w:rtl/>
          <w:lang w:bidi="ar-EG"/>
        </w:rPr>
        <w:t>-</w:t>
      </w:r>
      <w:r w:rsidRPr="00772194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7E5D27" w:rsidRPr="00772194">
        <w:rPr>
          <w:sz w:val="18"/>
          <w:szCs w:val="24"/>
          <w:lang w:bidi="ar-EG"/>
        </w:rPr>
        <w:t>7</w:t>
      </w:r>
      <w:r w:rsidRPr="00772194">
        <w:rPr>
          <w:sz w:val="18"/>
          <w:szCs w:val="24"/>
          <w:rtl/>
          <w:lang w:bidi="ar-EG"/>
        </w:rPr>
        <w:t xml:space="preserve"> للاتصالات الراديوية</w:t>
      </w:r>
    </w:p>
    <w:p w:rsidR="00AF70F6" w:rsidRPr="00772194" w:rsidRDefault="00AF70F6" w:rsidP="006D759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72194">
        <w:rPr>
          <w:rFonts w:hint="cs"/>
          <w:sz w:val="18"/>
          <w:szCs w:val="24"/>
          <w:rtl/>
          <w:lang w:bidi="ar-EG"/>
        </w:rPr>
        <w:t>-</w:t>
      </w:r>
      <w:r w:rsidRPr="00772194">
        <w:rPr>
          <w:rFonts w:hint="cs"/>
          <w:sz w:val="18"/>
          <w:szCs w:val="24"/>
          <w:rtl/>
          <w:lang w:bidi="ar-EG"/>
        </w:rPr>
        <w:tab/>
      </w:r>
      <w:r w:rsidRPr="00772194">
        <w:rPr>
          <w:rFonts w:hint="cs"/>
          <w:sz w:val="18"/>
          <w:szCs w:val="24"/>
          <w:rtl/>
        </w:rPr>
        <w:t>الهيئات الأكاديمية المنضمة إلى الاتحاد</w:t>
      </w:r>
    </w:p>
    <w:p w:rsidR="00AF70F6" w:rsidRPr="00772194" w:rsidRDefault="00AF70F6" w:rsidP="006D759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72194">
        <w:rPr>
          <w:sz w:val="18"/>
          <w:szCs w:val="24"/>
          <w:rtl/>
          <w:lang w:bidi="ar-EG"/>
        </w:rPr>
        <w:t>-</w:t>
      </w:r>
      <w:r w:rsidRPr="00772194">
        <w:rPr>
          <w:sz w:val="18"/>
          <w:szCs w:val="24"/>
          <w:rtl/>
          <w:lang w:bidi="ar-EG"/>
        </w:rPr>
        <w:tab/>
        <w:t>رؤساء لجان دراسات الاتصالات الراديوية ونوابهم</w:t>
      </w:r>
    </w:p>
    <w:p w:rsidR="00AF70F6" w:rsidRPr="00772194" w:rsidRDefault="00AF70F6" w:rsidP="006D759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72194">
        <w:rPr>
          <w:sz w:val="18"/>
          <w:szCs w:val="24"/>
          <w:rtl/>
          <w:lang w:bidi="ar-EG"/>
        </w:rPr>
        <w:t>-</w:t>
      </w:r>
      <w:r w:rsidRPr="00772194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AF70F6" w:rsidRPr="00772194" w:rsidRDefault="00AF70F6" w:rsidP="006D759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72194">
        <w:rPr>
          <w:sz w:val="18"/>
          <w:szCs w:val="24"/>
          <w:rtl/>
          <w:lang w:bidi="ar-EG"/>
        </w:rPr>
        <w:t>-</w:t>
      </w:r>
      <w:r w:rsidRPr="00772194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Pr="00772194" w:rsidRDefault="00AF70F6" w:rsidP="006D7597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772194">
        <w:rPr>
          <w:sz w:val="18"/>
          <w:szCs w:val="24"/>
          <w:rtl/>
          <w:lang w:bidi="ar-EG"/>
        </w:rPr>
        <w:t>-</w:t>
      </w:r>
      <w:r w:rsidRPr="00772194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556F48" w:rsidP="00556F48">
      <w:pPr>
        <w:pStyle w:val="Annex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400F77" w:rsidP="00914432">
      <w:pPr>
        <w:pStyle w:val="Annextitle"/>
        <w:rPr>
          <w:rFonts w:eastAsiaTheme="minorEastAsia"/>
          <w:rtl/>
          <w:lang w:eastAsia="zh-CN" w:bidi="ar-SY"/>
        </w:rPr>
      </w:pPr>
      <w:r w:rsidRPr="00400F77">
        <w:rPr>
          <w:rFonts w:eastAsiaTheme="minorEastAsia" w:hint="cs"/>
          <w:rtl/>
          <w:lang w:eastAsia="zh-CN"/>
        </w:rPr>
        <w:t>عنوانا مشروعي التوصيتين اللتين اعتمدتهما</w:t>
      </w:r>
      <w:r w:rsidR="00914432">
        <w:rPr>
          <w:rFonts w:eastAsiaTheme="minorEastAsia"/>
          <w:rtl/>
          <w:lang w:eastAsia="zh-CN"/>
        </w:rPr>
        <w:br/>
      </w:r>
      <w:r w:rsidRPr="00400F77">
        <w:rPr>
          <w:rFonts w:eastAsiaTheme="minorEastAsia" w:hint="cs"/>
          <w:rtl/>
          <w:lang w:eastAsia="zh-CN"/>
        </w:rPr>
        <w:t>لجنة الدراسات</w:t>
      </w:r>
      <w:r w:rsidR="00914432">
        <w:rPr>
          <w:rFonts w:eastAsiaTheme="minorEastAsia" w:hint="eastAsia"/>
          <w:rtl/>
          <w:lang w:eastAsia="zh-CN"/>
        </w:rPr>
        <w:t> </w:t>
      </w:r>
      <w:r w:rsidRPr="00400F77">
        <w:rPr>
          <w:rFonts w:eastAsiaTheme="minorEastAsia"/>
          <w:lang w:eastAsia="zh-CN" w:bidi="ar-SY"/>
        </w:rPr>
        <w:t>7</w:t>
      </w:r>
      <w:r w:rsidR="00914432">
        <w:rPr>
          <w:rFonts w:eastAsiaTheme="minorEastAsia" w:hint="cs"/>
          <w:rtl/>
          <w:lang w:eastAsia="zh-CN" w:bidi="ar-EG"/>
        </w:rPr>
        <w:t xml:space="preserve"> </w:t>
      </w:r>
      <w:r w:rsidRPr="00400F77">
        <w:rPr>
          <w:rFonts w:eastAsiaTheme="minorEastAsia" w:hint="cs"/>
          <w:rtl/>
          <w:lang w:eastAsia="zh-CN" w:bidi="ar-EG"/>
        </w:rPr>
        <w:t>للاتصالات الراديوية وملخصاهما</w:t>
      </w:r>
    </w:p>
    <w:p w:rsidR="00AF70F6" w:rsidRPr="00AF70F6" w:rsidRDefault="00400F77" w:rsidP="005E7CC6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400F77">
        <w:rPr>
          <w:rFonts w:eastAsiaTheme="minorEastAsia" w:hint="cs"/>
          <w:u w:val="single"/>
          <w:rtl/>
          <w:lang w:eastAsia="zh-CN" w:bidi="ar-EG"/>
        </w:rPr>
        <w:t xml:space="preserve">مشروع مراجعة التوصية </w:t>
      </w:r>
      <w:r w:rsidRPr="00400F77">
        <w:rPr>
          <w:rFonts w:eastAsiaTheme="minorEastAsia"/>
          <w:u w:val="single"/>
          <w:lang w:eastAsia="zh-CN"/>
        </w:rPr>
        <w:t>ITU-R</w:t>
      </w:r>
      <w:r w:rsidR="005E7CC6">
        <w:rPr>
          <w:rFonts w:eastAsiaTheme="minorEastAsia"/>
          <w:u w:val="single"/>
          <w:lang w:eastAsia="zh-CN"/>
        </w:rPr>
        <w:t> </w:t>
      </w:r>
      <w:r w:rsidRPr="00400F77">
        <w:rPr>
          <w:rFonts w:eastAsiaTheme="minorEastAsia"/>
          <w:u w:val="single"/>
          <w:lang w:eastAsia="zh-CN"/>
        </w:rPr>
        <w:t>SA.1161-1</w:t>
      </w:r>
      <w:r w:rsidR="00AF70F6" w:rsidRPr="00AF70F6">
        <w:rPr>
          <w:rFonts w:eastAsiaTheme="minorEastAsia"/>
          <w:rtl/>
          <w:lang w:eastAsia="zh-CN" w:bidi="ar-EG"/>
        </w:rPr>
        <w:tab/>
      </w:r>
      <w:r w:rsidR="00AF70F6"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6" w:history="1">
        <w:r w:rsidRPr="00400F77">
          <w:rPr>
            <w:rStyle w:val="Hyperlink"/>
            <w:rFonts w:ascii="Calibri" w:eastAsiaTheme="minorEastAsia" w:hAnsi="Calibri"/>
            <w:lang w:eastAsia="zh-CN" w:bidi="ar-EG"/>
          </w:rPr>
          <w:t>7/59</w:t>
        </w:r>
      </w:hyperlink>
    </w:p>
    <w:p w:rsidR="00AF70F6" w:rsidRPr="00AF70F6" w:rsidRDefault="00400F77" w:rsidP="000B3FD5">
      <w:pPr>
        <w:pStyle w:val="Rectitle"/>
        <w:rPr>
          <w:rtl/>
        </w:rPr>
      </w:pPr>
      <w:r>
        <w:rPr>
          <w:rFonts w:hint="cs"/>
          <w:rtl/>
        </w:rPr>
        <w:t xml:space="preserve">معايير التقاسم </w:t>
      </w:r>
      <w:r w:rsidR="00914432">
        <w:rPr>
          <w:rFonts w:hint="cs"/>
          <w:rtl/>
        </w:rPr>
        <w:t>و</w:t>
      </w:r>
      <w:r>
        <w:rPr>
          <w:rFonts w:hint="cs"/>
          <w:rtl/>
        </w:rPr>
        <w:t>التنسيق لأنظمة نشر البيانات وقراءتها المباشرة في خدمتي</w:t>
      </w:r>
      <w:r w:rsidR="005E7CC6">
        <w:br/>
      </w:r>
      <w:r>
        <w:rPr>
          <w:rFonts w:hint="cs"/>
          <w:rtl/>
        </w:rPr>
        <w:t>استكشاف الأرض الساتلية وال</w:t>
      </w:r>
      <w:r w:rsidR="00E9761C">
        <w:rPr>
          <w:rFonts w:hint="cs"/>
          <w:rtl/>
        </w:rPr>
        <w:t>أ</w:t>
      </w:r>
      <w:r>
        <w:rPr>
          <w:rFonts w:hint="cs"/>
          <w:rtl/>
        </w:rPr>
        <w:t>رصاد الجوية الساتلية اللتين تستخدمان</w:t>
      </w:r>
      <w:r w:rsidR="005E7CC6">
        <w:rPr>
          <w:rtl/>
        </w:rPr>
        <w:br/>
      </w:r>
      <w:r>
        <w:rPr>
          <w:rFonts w:hint="cs"/>
          <w:rtl/>
        </w:rPr>
        <w:t xml:space="preserve">سواتل في المدار </w:t>
      </w:r>
      <w:r w:rsidR="005E7CC6">
        <w:rPr>
          <w:rFonts w:hint="cs"/>
          <w:rtl/>
        </w:rPr>
        <w:t>المستقر</w:t>
      </w:r>
      <w:r>
        <w:rPr>
          <w:rFonts w:hint="cs"/>
          <w:rtl/>
        </w:rPr>
        <w:t xml:space="preserve"> بالنسبة إلى الأرض</w:t>
      </w:r>
    </w:p>
    <w:p w:rsidR="00AF70F6" w:rsidRPr="0067727F" w:rsidRDefault="00400F77" w:rsidP="0087083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5E13C6">
        <w:rPr>
          <w:rFonts w:eastAsiaTheme="minorEastAsia" w:hint="cs"/>
          <w:rtl/>
          <w:lang w:eastAsia="zh-CN" w:bidi="ar-EG"/>
        </w:rPr>
        <w:t xml:space="preserve">تبسط هذه المراجعة للتوصية </w:t>
      </w:r>
      <w:r w:rsidRPr="005E13C6">
        <w:t>ITU-R</w:t>
      </w:r>
      <w:r w:rsidR="003C6794">
        <w:t> </w:t>
      </w:r>
      <w:r w:rsidRPr="005E13C6">
        <w:t>SA.1161</w:t>
      </w:r>
      <w:r w:rsidRPr="005E13C6">
        <w:rPr>
          <w:rFonts w:hint="cs"/>
          <w:rtl/>
        </w:rPr>
        <w:t xml:space="preserve"> الأحكام الحالية بعرض معايير تقاسم واحدة </w:t>
      </w:r>
      <w:r w:rsidR="00E24565" w:rsidRPr="005E13C6">
        <w:rPr>
          <w:rFonts w:hint="cs"/>
          <w:rtl/>
        </w:rPr>
        <w:t>لكل نطاق تردد، وفقاً للحكم ذي الصلة بالتوصية</w:t>
      </w:r>
      <w:r w:rsidR="00870837">
        <w:rPr>
          <w:rFonts w:hint="eastAsia"/>
          <w:rtl/>
        </w:rPr>
        <w:t> </w:t>
      </w:r>
      <w:r w:rsidR="00E24565" w:rsidRPr="005E13C6">
        <w:t>ITU-R</w:t>
      </w:r>
      <w:r w:rsidR="0067727F">
        <w:t> </w:t>
      </w:r>
      <w:r w:rsidR="00E24565" w:rsidRPr="005E13C6">
        <w:t>SA.1160</w:t>
      </w:r>
      <w:r w:rsidR="0067727F">
        <w:rPr>
          <w:rFonts w:hint="cs"/>
          <w:rtl/>
          <w:lang w:bidi="ar-EG"/>
        </w:rPr>
        <w:t>.</w:t>
      </w:r>
    </w:p>
    <w:p w:rsidR="00E24565" w:rsidRPr="00AF70F6" w:rsidRDefault="00E24565" w:rsidP="003C6794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400F77">
        <w:rPr>
          <w:rFonts w:eastAsiaTheme="minorEastAsia" w:hint="cs"/>
          <w:u w:val="single"/>
          <w:rtl/>
          <w:lang w:eastAsia="zh-CN" w:bidi="ar-EG"/>
        </w:rPr>
        <w:t xml:space="preserve">مشروع مراجعة التوصية </w:t>
      </w:r>
      <w:r w:rsidRPr="00E24565">
        <w:rPr>
          <w:rFonts w:eastAsiaTheme="minorEastAsia"/>
          <w:u w:val="single"/>
          <w:lang w:eastAsia="zh-CN"/>
        </w:rPr>
        <w:t>ITU-R</w:t>
      </w:r>
      <w:r w:rsidR="003C6794">
        <w:rPr>
          <w:rFonts w:eastAsiaTheme="minorEastAsia"/>
          <w:u w:val="single"/>
          <w:lang w:eastAsia="zh-CN"/>
        </w:rPr>
        <w:t> </w:t>
      </w:r>
      <w:r w:rsidRPr="00E24565">
        <w:rPr>
          <w:rFonts w:eastAsiaTheme="minorEastAsia"/>
          <w:u w:val="single"/>
          <w:lang w:eastAsia="zh-CN"/>
        </w:rPr>
        <w:t>RS.1260-1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7" w:history="1">
        <w:r w:rsidRPr="00E24565">
          <w:rPr>
            <w:rStyle w:val="Hyperlink"/>
            <w:rFonts w:ascii="Calibri" w:eastAsiaTheme="minorEastAsia" w:hAnsi="Calibri"/>
            <w:lang w:eastAsia="zh-CN" w:bidi="ar-EG"/>
          </w:rPr>
          <w:t>7/61</w:t>
        </w:r>
      </w:hyperlink>
    </w:p>
    <w:p w:rsidR="00E24565" w:rsidRPr="00AF70F6" w:rsidRDefault="00E24565" w:rsidP="00410B3F">
      <w:pPr>
        <w:pStyle w:val="Rectitle"/>
      </w:pPr>
      <w:r>
        <w:rPr>
          <w:rFonts w:hint="cs"/>
          <w:rtl/>
        </w:rPr>
        <w:lastRenderedPageBreak/>
        <w:t>جدوى التقاسم بين أجهزة الاستشعار النشيطة المحمولة في الفضاء</w:t>
      </w:r>
      <w:r w:rsidR="00914432">
        <w:rPr>
          <w:rtl/>
        </w:rPr>
        <w:br/>
      </w:r>
      <w:r>
        <w:rPr>
          <w:rFonts w:hint="cs"/>
          <w:rtl/>
        </w:rPr>
        <w:t xml:space="preserve">والخدمات الأخرى في </w:t>
      </w:r>
      <w:r w:rsidR="00410B3F">
        <w:rPr>
          <w:rFonts w:hint="cs"/>
          <w:rtl/>
        </w:rPr>
        <w:t>ال</w:t>
      </w:r>
      <w:r>
        <w:rPr>
          <w:rFonts w:hint="cs"/>
          <w:rtl/>
        </w:rPr>
        <w:t xml:space="preserve">مدى </w:t>
      </w:r>
      <w:r>
        <w:t>MHz 470</w:t>
      </w:r>
      <w:r>
        <w:noBreakHyphen/>
        <w:t>420</w:t>
      </w:r>
    </w:p>
    <w:p w:rsidR="00E24565" w:rsidRDefault="00E24565" w:rsidP="008205E2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روجعت هذه التوصية لمراعاة أن أحد رادارات تتبع الأجسام الفضائية المدرجة في الجدول</w:t>
      </w:r>
      <w:r w:rsidR="008205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2</w:t>
      </w:r>
      <w:r>
        <w:rPr>
          <w:rFonts w:eastAsiaTheme="minorEastAsia" w:hint="cs"/>
          <w:rtl/>
          <w:lang w:eastAsia="zh-CN" w:bidi="ar-EG"/>
        </w:rPr>
        <w:t xml:space="preserve"> بالملحق</w:t>
      </w:r>
      <w:r w:rsidR="008205E2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1</w:t>
      </w:r>
      <w:r>
        <w:rPr>
          <w:rFonts w:eastAsiaTheme="minorEastAsia" w:hint="cs"/>
          <w:rtl/>
          <w:lang w:eastAsia="zh-CN" w:bidi="ar-EG"/>
        </w:rPr>
        <w:t xml:space="preserve"> لم يعد مفعلاً. وتم أيضاً تحديث التغييرات ذات الصلة على خريطة منطقة </w:t>
      </w:r>
      <w:r w:rsidR="00FA4BF0">
        <w:rPr>
          <w:rFonts w:eastAsiaTheme="minorEastAsia" w:hint="cs"/>
          <w:rtl/>
          <w:lang w:eastAsia="zh-CN" w:bidi="ar-EG"/>
        </w:rPr>
        <w:t>الحظر</w:t>
      </w:r>
      <w:r>
        <w:rPr>
          <w:rFonts w:eastAsiaTheme="minorEastAsia" w:hint="cs"/>
          <w:rtl/>
          <w:lang w:eastAsia="zh-CN" w:bidi="ar-EG"/>
        </w:rPr>
        <w:t xml:space="preserve"> في الشكل </w:t>
      </w:r>
      <w:r>
        <w:rPr>
          <w:rFonts w:eastAsiaTheme="minorEastAsia"/>
          <w:lang w:eastAsia="zh-CN" w:bidi="ar-EG"/>
        </w:rPr>
        <w:t>1</w:t>
      </w:r>
      <w:r>
        <w:rPr>
          <w:rFonts w:eastAsiaTheme="minorEastAsia" w:hint="cs"/>
          <w:rtl/>
          <w:lang w:eastAsia="zh-CN" w:bidi="ar-EG"/>
        </w:rPr>
        <w:t xml:space="preserve"> بالملحق </w:t>
      </w:r>
      <w:r>
        <w:rPr>
          <w:rFonts w:eastAsiaTheme="minorEastAsia"/>
          <w:lang w:eastAsia="zh-CN" w:bidi="ar-EG"/>
        </w:rPr>
        <w:t>1</w:t>
      </w:r>
      <w:r>
        <w:rPr>
          <w:rFonts w:eastAsiaTheme="minorEastAsia" w:hint="cs"/>
          <w:rtl/>
          <w:lang w:eastAsia="zh-CN" w:bidi="ar-EG"/>
        </w:rPr>
        <w:t>. وحذفت علاوة</w:t>
      </w:r>
      <w:r w:rsidR="00FD4A63">
        <w:rPr>
          <w:rFonts w:eastAsiaTheme="minorEastAsia" w:hint="cs"/>
          <w:rtl/>
          <w:lang w:eastAsia="zh-CN" w:bidi="ar-EG"/>
        </w:rPr>
        <w:t>ً</w:t>
      </w:r>
      <w:r>
        <w:rPr>
          <w:rFonts w:eastAsiaTheme="minorEastAsia" w:hint="cs"/>
          <w:rtl/>
          <w:lang w:eastAsia="zh-CN" w:bidi="ar-EG"/>
        </w:rPr>
        <w:t xml:space="preserve"> على ذلك الفقرة التي تشير إلى قرار المؤتمر</w:t>
      </w:r>
      <w:r w:rsidR="00A4406D">
        <w:rPr>
          <w:rFonts w:eastAsiaTheme="minorEastAsia" w:hint="eastAsia"/>
          <w:rtl/>
          <w:lang w:eastAsia="zh-CN" w:bidi="ar-EG"/>
        </w:rPr>
        <w:t> </w:t>
      </w:r>
      <w:r w:rsidRPr="00E24565">
        <w:rPr>
          <w:rFonts w:eastAsiaTheme="minorEastAsia"/>
          <w:lang w:eastAsia="zh-CN" w:bidi="ar-EG"/>
        </w:rPr>
        <w:t>WRC</w:t>
      </w:r>
      <w:r w:rsidRPr="00E24565">
        <w:rPr>
          <w:rFonts w:eastAsiaTheme="minorEastAsia"/>
          <w:lang w:eastAsia="zh-CN" w:bidi="ar-EG"/>
        </w:rPr>
        <w:noBreakHyphen/>
        <w:t>2000</w:t>
      </w:r>
      <w:r>
        <w:rPr>
          <w:rFonts w:eastAsiaTheme="minorEastAsia" w:hint="cs"/>
          <w:rtl/>
          <w:lang w:eastAsia="zh-CN" w:bidi="ar-EG"/>
        </w:rPr>
        <w:t xml:space="preserve"> من جزء، </w:t>
      </w:r>
      <w:r w:rsidRPr="00914432">
        <w:rPr>
          <w:rFonts w:eastAsiaTheme="minorEastAsia" w:hint="cs"/>
          <w:i/>
          <w:iCs/>
          <w:rtl/>
          <w:lang w:eastAsia="zh-CN" w:bidi="ar-EG"/>
        </w:rPr>
        <w:t xml:space="preserve">إذ </w:t>
      </w:r>
      <w:r w:rsidR="00F32B9C">
        <w:rPr>
          <w:rFonts w:eastAsiaTheme="minorEastAsia" w:hint="cs"/>
          <w:i/>
          <w:iCs/>
          <w:rtl/>
          <w:lang w:eastAsia="zh-CN" w:bidi="ar-EG"/>
        </w:rPr>
        <w:t>يضع</w:t>
      </w:r>
      <w:r w:rsidRPr="00914432">
        <w:rPr>
          <w:rFonts w:eastAsiaTheme="minorEastAsia" w:hint="cs"/>
          <w:i/>
          <w:iCs/>
          <w:rtl/>
          <w:lang w:eastAsia="zh-CN" w:bidi="ar-EG"/>
        </w:rPr>
        <w:t xml:space="preserve"> في </w:t>
      </w:r>
      <w:r w:rsidR="00F32B9C">
        <w:rPr>
          <w:rFonts w:eastAsiaTheme="minorEastAsia" w:hint="cs"/>
          <w:i/>
          <w:iCs/>
          <w:rtl/>
          <w:lang w:eastAsia="zh-CN" w:bidi="ar-EG"/>
        </w:rPr>
        <w:t>اعتباره</w:t>
      </w:r>
      <w:r>
        <w:rPr>
          <w:rFonts w:eastAsiaTheme="minorEastAsia" w:hint="cs"/>
          <w:rtl/>
          <w:lang w:eastAsia="zh-CN" w:bidi="ar-EG"/>
        </w:rPr>
        <w:t>، نظراً لإلغاء هذا القرار. وح</w:t>
      </w:r>
      <w:r w:rsidR="0093034A">
        <w:rPr>
          <w:rFonts w:eastAsiaTheme="minorEastAsia" w:hint="cs"/>
          <w:rtl/>
          <w:lang w:eastAsia="zh-CN" w:bidi="ar-EG"/>
        </w:rPr>
        <w:t>ُ</w:t>
      </w:r>
      <w:r>
        <w:rPr>
          <w:rFonts w:eastAsiaTheme="minorEastAsia" w:hint="cs"/>
          <w:rtl/>
          <w:lang w:eastAsia="zh-CN" w:bidi="ar-EG"/>
        </w:rPr>
        <w:t>ذفت أيضاً إحالة متقادمة إلى مؤتمر للأمم المتحدة في</w:t>
      </w:r>
      <w:r w:rsidR="003C6794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/>
          <w:lang w:eastAsia="zh-CN" w:bidi="ar-EG"/>
        </w:rPr>
        <w:t>1992</w:t>
      </w:r>
      <w:r>
        <w:rPr>
          <w:rFonts w:eastAsiaTheme="minorEastAsia" w:hint="cs"/>
          <w:rtl/>
          <w:lang w:eastAsia="zh-CN" w:bidi="ar-EG"/>
        </w:rPr>
        <w:t>.</w:t>
      </w:r>
    </w:p>
    <w:p w:rsidR="00AF70F6" w:rsidRDefault="00AF70F6" w:rsidP="00AF70F6">
      <w:pPr>
        <w:spacing w:before="600"/>
        <w:jc w:val="center"/>
        <w:rPr>
          <w:rtl/>
          <w:lang w:bidi="ar-EG"/>
        </w:rPr>
      </w:pPr>
      <w:bookmarkStart w:id="0" w:name="_GoBack"/>
      <w:bookmarkEnd w:id="0"/>
      <w:r>
        <w:rPr>
          <w:rtl/>
          <w:lang w:bidi="ar-EG"/>
        </w:rPr>
        <w:t>___________</w:t>
      </w:r>
    </w:p>
    <w:sectPr w:rsidR="00AF70F6" w:rsidSect="008B5B5D">
      <w:headerReference w:type="default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E7" w:rsidRDefault="004A7AE7" w:rsidP="00E07379">
      <w:pPr>
        <w:spacing w:before="0" w:line="240" w:lineRule="auto"/>
      </w:pPr>
      <w:r>
        <w:separator/>
      </w:r>
    </w:p>
  </w:endnote>
  <w:endnote w:type="continuationSeparator" w:id="0">
    <w:p w:rsidR="004A7AE7" w:rsidRDefault="004A7AE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0D5ABF" w:rsidRDefault="002D4DD1" w:rsidP="00E00FE2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E7" w:rsidRDefault="004A7AE7" w:rsidP="00E07379">
      <w:pPr>
        <w:spacing w:before="0" w:line="240" w:lineRule="auto"/>
      </w:pPr>
      <w:r>
        <w:separator/>
      </w:r>
    </w:p>
  </w:footnote>
  <w:footnote w:type="continuationSeparator" w:id="0">
    <w:p w:rsidR="004A7AE7" w:rsidRDefault="004A7AE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06C83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7"/>
    <w:rsid w:val="000124CC"/>
    <w:rsid w:val="00041F8B"/>
    <w:rsid w:val="00046444"/>
    <w:rsid w:val="00046D5E"/>
    <w:rsid w:val="0006023B"/>
    <w:rsid w:val="0008638B"/>
    <w:rsid w:val="00090574"/>
    <w:rsid w:val="00092FC2"/>
    <w:rsid w:val="000A1677"/>
    <w:rsid w:val="000B3FD5"/>
    <w:rsid w:val="000B407F"/>
    <w:rsid w:val="000C13C2"/>
    <w:rsid w:val="000D5ABF"/>
    <w:rsid w:val="000F0B1C"/>
    <w:rsid w:val="000F1D42"/>
    <w:rsid w:val="000F4D07"/>
    <w:rsid w:val="00102340"/>
    <w:rsid w:val="00102A03"/>
    <w:rsid w:val="001040A3"/>
    <w:rsid w:val="001573BE"/>
    <w:rsid w:val="00173915"/>
    <w:rsid w:val="00206C8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1F0F"/>
    <w:rsid w:val="003231B9"/>
    <w:rsid w:val="003275AC"/>
    <w:rsid w:val="00333D29"/>
    <w:rsid w:val="00334978"/>
    <w:rsid w:val="003409F4"/>
    <w:rsid w:val="00347820"/>
    <w:rsid w:val="00357185"/>
    <w:rsid w:val="003B48A0"/>
    <w:rsid w:val="003C26EB"/>
    <w:rsid w:val="003C475F"/>
    <w:rsid w:val="003C6794"/>
    <w:rsid w:val="003C724B"/>
    <w:rsid w:val="003E4132"/>
    <w:rsid w:val="003F678F"/>
    <w:rsid w:val="00400F77"/>
    <w:rsid w:val="00410B3F"/>
    <w:rsid w:val="00413CD4"/>
    <w:rsid w:val="0042686F"/>
    <w:rsid w:val="004367CE"/>
    <w:rsid w:val="00441AA1"/>
    <w:rsid w:val="00443869"/>
    <w:rsid w:val="0044492A"/>
    <w:rsid w:val="004712C6"/>
    <w:rsid w:val="00497703"/>
    <w:rsid w:val="004A7AE7"/>
    <w:rsid w:val="004F0F06"/>
    <w:rsid w:val="00501E0E"/>
    <w:rsid w:val="005204D7"/>
    <w:rsid w:val="00530420"/>
    <w:rsid w:val="00541680"/>
    <w:rsid w:val="00552BC5"/>
    <w:rsid w:val="0055516A"/>
    <w:rsid w:val="00556F48"/>
    <w:rsid w:val="0056374C"/>
    <w:rsid w:val="0056614F"/>
    <w:rsid w:val="0057656F"/>
    <w:rsid w:val="00576731"/>
    <w:rsid w:val="0059285F"/>
    <w:rsid w:val="005A24B1"/>
    <w:rsid w:val="005B7B8A"/>
    <w:rsid w:val="005C32D5"/>
    <w:rsid w:val="005D6476"/>
    <w:rsid w:val="005D6C0D"/>
    <w:rsid w:val="005E13C6"/>
    <w:rsid w:val="005E5283"/>
    <w:rsid w:val="005E58F5"/>
    <w:rsid w:val="005E7CC6"/>
    <w:rsid w:val="00606660"/>
    <w:rsid w:val="006157A3"/>
    <w:rsid w:val="006161F8"/>
    <w:rsid w:val="00620E60"/>
    <w:rsid w:val="0063315A"/>
    <w:rsid w:val="0065591D"/>
    <w:rsid w:val="00662C5A"/>
    <w:rsid w:val="006645F2"/>
    <w:rsid w:val="00670AF5"/>
    <w:rsid w:val="0067727F"/>
    <w:rsid w:val="006C06F5"/>
    <w:rsid w:val="006C1556"/>
    <w:rsid w:val="006D7597"/>
    <w:rsid w:val="006F267F"/>
    <w:rsid w:val="006F63F7"/>
    <w:rsid w:val="006F6F03"/>
    <w:rsid w:val="00706D7A"/>
    <w:rsid w:val="00707CAC"/>
    <w:rsid w:val="00726AEC"/>
    <w:rsid w:val="00735F81"/>
    <w:rsid w:val="007530CA"/>
    <w:rsid w:val="0076693C"/>
    <w:rsid w:val="00772194"/>
    <w:rsid w:val="00783A16"/>
    <w:rsid w:val="0079553D"/>
    <w:rsid w:val="007B01CC"/>
    <w:rsid w:val="007B48C4"/>
    <w:rsid w:val="007E516B"/>
    <w:rsid w:val="007E5D27"/>
    <w:rsid w:val="007E7C6C"/>
    <w:rsid w:val="007F6238"/>
    <w:rsid w:val="007F646C"/>
    <w:rsid w:val="00801FCD"/>
    <w:rsid w:val="00803D7E"/>
    <w:rsid w:val="00803F08"/>
    <w:rsid w:val="008203A1"/>
    <w:rsid w:val="008205E2"/>
    <w:rsid w:val="008235CD"/>
    <w:rsid w:val="00823A07"/>
    <w:rsid w:val="008260B2"/>
    <w:rsid w:val="00835FEC"/>
    <w:rsid w:val="008513CB"/>
    <w:rsid w:val="00870837"/>
    <w:rsid w:val="00874D9C"/>
    <w:rsid w:val="008A1810"/>
    <w:rsid w:val="008B0945"/>
    <w:rsid w:val="008B5B5D"/>
    <w:rsid w:val="00914432"/>
    <w:rsid w:val="00917694"/>
    <w:rsid w:val="00923199"/>
    <w:rsid w:val="009263CD"/>
    <w:rsid w:val="0093034A"/>
    <w:rsid w:val="00930E6D"/>
    <w:rsid w:val="00933E83"/>
    <w:rsid w:val="00951297"/>
    <w:rsid w:val="00972CA2"/>
    <w:rsid w:val="009734C8"/>
    <w:rsid w:val="00982B28"/>
    <w:rsid w:val="00984EA5"/>
    <w:rsid w:val="00992593"/>
    <w:rsid w:val="009A63D1"/>
    <w:rsid w:val="009C17E1"/>
    <w:rsid w:val="009C35ED"/>
    <w:rsid w:val="009F1C12"/>
    <w:rsid w:val="00A124CB"/>
    <w:rsid w:val="00A2167A"/>
    <w:rsid w:val="00A25A43"/>
    <w:rsid w:val="00A3295B"/>
    <w:rsid w:val="00A42AE5"/>
    <w:rsid w:val="00A4406D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5672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0F6F"/>
    <w:rsid w:val="00D0494C"/>
    <w:rsid w:val="00D14BEB"/>
    <w:rsid w:val="00D1684F"/>
    <w:rsid w:val="00D21C89"/>
    <w:rsid w:val="00D35180"/>
    <w:rsid w:val="00D45542"/>
    <w:rsid w:val="00D727F6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1F4"/>
    <w:rsid w:val="00E009A1"/>
    <w:rsid w:val="00E00D15"/>
    <w:rsid w:val="00E00FE2"/>
    <w:rsid w:val="00E048F3"/>
    <w:rsid w:val="00E071BE"/>
    <w:rsid w:val="00E07379"/>
    <w:rsid w:val="00E14494"/>
    <w:rsid w:val="00E17033"/>
    <w:rsid w:val="00E22744"/>
    <w:rsid w:val="00E24565"/>
    <w:rsid w:val="00E32189"/>
    <w:rsid w:val="00E45211"/>
    <w:rsid w:val="00E7380C"/>
    <w:rsid w:val="00E74BE7"/>
    <w:rsid w:val="00E85031"/>
    <w:rsid w:val="00E86CC9"/>
    <w:rsid w:val="00E96624"/>
    <w:rsid w:val="00E9761C"/>
    <w:rsid w:val="00F126F1"/>
    <w:rsid w:val="00F15185"/>
    <w:rsid w:val="00F2106A"/>
    <w:rsid w:val="00F32B9C"/>
    <w:rsid w:val="00F36D8B"/>
    <w:rsid w:val="00F401D0"/>
    <w:rsid w:val="00F45F2B"/>
    <w:rsid w:val="00F520A4"/>
    <w:rsid w:val="00F557EE"/>
    <w:rsid w:val="00F57AE4"/>
    <w:rsid w:val="00F67150"/>
    <w:rsid w:val="00F84366"/>
    <w:rsid w:val="00F85089"/>
    <w:rsid w:val="00F85564"/>
    <w:rsid w:val="00F86CFA"/>
    <w:rsid w:val="00FA4BF0"/>
    <w:rsid w:val="00FD4A63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8D28D14-8C22-43FA-BD66-2CD2363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D5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0B3FD5"/>
    <w:pPr>
      <w:spacing w:before="240"/>
    </w:pPr>
    <w:rPr>
      <w:rFonts w:eastAsiaTheme="minorEastAsia"/>
      <w:lang w:eastAsia="zh-CN" w:bidi="ar-SY"/>
    </w:r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7-C-0059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hyperlink" Target="https://www.itu.int/md/R15-SG07-C-006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SG07-C-0059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R15-SG07-C/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sgd@itu.in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7-C-006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E8167F-E5B5-46A6-B184-E0E4F87C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Song, Xiaojing</cp:lastModifiedBy>
  <cp:revision>3</cp:revision>
  <cp:lastPrinted>2017-07-13T12:56:00Z</cp:lastPrinted>
  <dcterms:created xsi:type="dcterms:W3CDTF">2017-07-17T08:22:00Z</dcterms:created>
  <dcterms:modified xsi:type="dcterms:W3CDTF">2017-07-17T08:23:00Z</dcterms:modified>
  <cp:category>Conference document</cp:category>
</cp:coreProperties>
</file>