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1F1E41">
            <w:pPr>
              <w:spacing w:before="0"/>
              <w:jc w:val="left"/>
              <w:rPr>
                <w:b/>
                <w:bCs/>
                <w:sz w:val="28"/>
                <w:szCs w:val="28"/>
                <w:lang w:val="fr-FR"/>
              </w:rPr>
            </w:pPr>
            <w:r w:rsidRPr="00CE22BA">
              <w:rPr>
                <w:b/>
                <w:bCs/>
                <w:lang w:val="fr-FR"/>
              </w:rPr>
              <w:t>CACE/</w:t>
            </w:r>
            <w:r w:rsidR="00917C10">
              <w:rPr>
                <w:b/>
                <w:bCs/>
                <w:lang w:val="fr-FR"/>
              </w:rPr>
              <w:t>8</w:t>
            </w:r>
            <w:r w:rsidR="001F1E41">
              <w:rPr>
                <w:b/>
                <w:bCs/>
                <w:lang w:val="fr-FR"/>
              </w:rPr>
              <w:t>23</w:t>
            </w:r>
          </w:p>
        </w:tc>
        <w:tc>
          <w:tcPr>
            <w:tcW w:w="2835" w:type="dxa"/>
            <w:shd w:val="clear" w:color="auto" w:fill="auto"/>
          </w:tcPr>
          <w:p w:rsidR="00E53DCE" w:rsidRPr="00CE22BA" w:rsidRDefault="003736F8" w:rsidP="00CE22BA">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fullDate="2017-07-14T00:00:00Z">
                  <w:dateFormat w:val="d MMMM yyyy"/>
                  <w:lid w:val="fr-FR"/>
                  <w:storeMappedDataAs w:val="date"/>
                  <w:calendar w:val="gregorian"/>
                </w:date>
              </w:sdtPr>
              <w:sdtEndPr/>
              <w:sdtContent>
                <w:r w:rsidR="00E40C70">
                  <w:rPr>
                    <w:rFonts w:cs="Arial"/>
                    <w:szCs w:val="24"/>
                    <w:lang w:val="fr-FR"/>
                  </w:rPr>
                  <w:t>14 juillet 2017</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BE517C" w:rsidTr="004228FA">
        <w:trPr>
          <w:jc w:val="center"/>
        </w:trPr>
        <w:tc>
          <w:tcPr>
            <w:tcW w:w="9889" w:type="dxa"/>
            <w:gridSpan w:val="3"/>
            <w:shd w:val="clear" w:color="auto" w:fill="auto"/>
          </w:tcPr>
          <w:p w:rsidR="00E53DCE" w:rsidRPr="00CE22BA" w:rsidRDefault="00EE1A57" w:rsidP="00E40C70">
            <w:pPr>
              <w:spacing w:before="0"/>
              <w:jc w:val="left"/>
              <w:rPr>
                <w:b/>
                <w:bCs/>
                <w:szCs w:val="24"/>
                <w:lang w:val="fr-FR"/>
              </w:rPr>
            </w:pPr>
            <w:r w:rsidRPr="00CE22BA">
              <w:rPr>
                <w:b/>
                <w:bCs/>
                <w:szCs w:val="24"/>
                <w:lang w:val="fr-FR"/>
              </w:rPr>
              <w:t>Aux Administrations des Etats Membres de l'UIT</w:t>
            </w:r>
            <w:r w:rsidR="00A40690" w:rsidRPr="00CE22BA">
              <w:rPr>
                <w:b/>
                <w:bCs/>
                <w:szCs w:val="24"/>
                <w:lang w:val="fr-FR"/>
              </w:rPr>
              <w:t>, aux Membres du Secteur des radiocommunications, aux Associés de l'UIT-R participant aux tra</w:t>
            </w:r>
            <w:r w:rsidR="00917C10">
              <w:rPr>
                <w:b/>
                <w:bCs/>
                <w:szCs w:val="24"/>
                <w:lang w:val="fr-FR"/>
              </w:rPr>
              <w:t>vaux de la Commission d'études 7</w:t>
            </w:r>
            <w:r w:rsidR="00A40690" w:rsidRPr="00CE22BA">
              <w:rPr>
                <w:b/>
                <w:bCs/>
                <w:szCs w:val="24"/>
                <w:lang w:val="fr-FR"/>
              </w:rPr>
              <w:t xml:space="preserve"> des radiocommunications et aux établissements universitaires participant aux travaux de l'UIT</w:t>
            </w:r>
          </w:p>
        </w:tc>
      </w:tr>
      <w:tr w:rsidR="00E53DCE" w:rsidRPr="00BE517C"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BE517C"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BE517C"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917C10">
            <w:pPr>
              <w:tabs>
                <w:tab w:val="clear" w:pos="1588"/>
                <w:tab w:val="left" w:pos="1560"/>
              </w:tabs>
              <w:spacing w:before="0"/>
              <w:rPr>
                <w:b/>
                <w:bCs/>
                <w:lang w:val="fr-FR"/>
              </w:rPr>
            </w:pPr>
            <w:r w:rsidRPr="00CE22BA">
              <w:rPr>
                <w:b/>
                <w:bCs/>
                <w:lang w:val="fr-FR"/>
              </w:rPr>
              <w:t xml:space="preserve">Commission d'études </w:t>
            </w:r>
            <w:r w:rsidR="00917C10">
              <w:rPr>
                <w:b/>
                <w:bCs/>
                <w:lang w:val="fr-FR"/>
              </w:rPr>
              <w:t>7</w:t>
            </w:r>
            <w:r w:rsidRPr="00CE22BA">
              <w:rPr>
                <w:b/>
                <w:bCs/>
                <w:lang w:val="fr-FR"/>
              </w:rPr>
              <w:t xml:space="preserve"> des radiocommunications (</w:t>
            </w:r>
            <w:r w:rsidR="00DC7006" w:rsidRPr="00926198">
              <w:rPr>
                <w:b/>
                <w:bCs/>
                <w:szCs w:val="24"/>
                <w:lang w:val="fr-CH"/>
              </w:rPr>
              <w:t>Services scientifiques</w:t>
            </w:r>
            <w:r w:rsidRPr="00CE22BA">
              <w:rPr>
                <w:b/>
                <w:bCs/>
                <w:lang w:val="fr-FR"/>
              </w:rPr>
              <w:t>)</w:t>
            </w:r>
          </w:p>
          <w:p w:rsidR="001B2948" w:rsidRPr="00CE22BA" w:rsidRDefault="00A40690" w:rsidP="00F562D3">
            <w:pPr>
              <w:tabs>
                <w:tab w:val="clear" w:pos="794"/>
                <w:tab w:val="clear" w:pos="1588"/>
                <w:tab w:val="left" w:pos="351"/>
                <w:tab w:val="left" w:pos="1560"/>
              </w:tabs>
              <w:spacing w:before="80"/>
              <w:ind w:left="352" w:hanging="352"/>
              <w:jc w:val="left"/>
              <w:rPr>
                <w:b/>
                <w:bCs/>
                <w:lang w:val="fr-FR"/>
              </w:rPr>
            </w:pPr>
            <w:r w:rsidRPr="00CE22BA">
              <w:rPr>
                <w:b/>
                <w:bCs/>
                <w:lang w:val="fr-FR"/>
              </w:rPr>
              <w:t>–</w:t>
            </w:r>
            <w:r w:rsidRPr="00CE22BA">
              <w:rPr>
                <w:b/>
                <w:bCs/>
                <w:lang w:val="fr-FR"/>
              </w:rPr>
              <w:tab/>
            </w:r>
            <w:r w:rsidR="00E40C70" w:rsidRPr="00B53305">
              <w:rPr>
                <w:b/>
                <w:bCs/>
                <w:szCs w:val="24"/>
                <w:lang w:val="fr-CH"/>
              </w:rPr>
              <w:t>Approbation d</w:t>
            </w:r>
            <w:r w:rsidR="00E40C70" w:rsidRPr="00E40C70">
              <w:rPr>
                <w:b/>
                <w:bCs/>
                <w:szCs w:val="24"/>
                <w:lang w:val="fr-CH"/>
              </w:rPr>
              <w:t>'un</w:t>
            </w:r>
            <w:r w:rsidR="00E40C70">
              <w:rPr>
                <w:b/>
                <w:bCs/>
                <w:szCs w:val="24"/>
                <w:lang w:val="fr-CH"/>
              </w:rPr>
              <w:t>e</w:t>
            </w:r>
            <w:r w:rsidR="00E40C70" w:rsidRPr="00B53305">
              <w:rPr>
                <w:b/>
                <w:bCs/>
                <w:szCs w:val="24"/>
                <w:lang w:val="fr-CH"/>
              </w:rPr>
              <w:t xml:space="preserve"> nouvelle Question UIT-R et de </w:t>
            </w:r>
            <w:r w:rsidR="00E40C70">
              <w:rPr>
                <w:b/>
                <w:bCs/>
                <w:szCs w:val="24"/>
                <w:lang w:val="fr-CH"/>
              </w:rPr>
              <w:t>3</w:t>
            </w:r>
            <w:r w:rsidR="00E40C70" w:rsidRPr="00B53305">
              <w:rPr>
                <w:b/>
                <w:bCs/>
                <w:szCs w:val="24"/>
                <w:lang w:val="fr-CH"/>
              </w:rPr>
              <w:t xml:space="preserve"> </w:t>
            </w:r>
            <w:r w:rsidR="00E40C70">
              <w:rPr>
                <w:b/>
                <w:bCs/>
                <w:szCs w:val="24"/>
                <w:lang w:val="fr-CH"/>
              </w:rPr>
              <w:t>Questions UIT</w:t>
            </w:r>
            <w:r w:rsidR="00E40C70">
              <w:rPr>
                <w:b/>
                <w:bCs/>
                <w:szCs w:val="24"/>
                <w:lang w:val="fr-CH"/>
              </w:rPr>
              <w:noBreakHyphen/>
            </w:r>
            <w:r w:rsidR="00E40C70" w:rsidRPr="00B53305">
              <w:rPr>
                <w:b/>
                <w:bCs/>
                <w:szCs w:val="24"/>
                <w:lang w:val="fr-CH"/>
              </w:rPr>
              <w:t>R révisées</w:t>
            </w:r>
          </w:p>
          <w:p w:rsidR="00A40690" w:rsidRPr="00CE22BA" w:rsidRDefault="001B2948" w:rsidP="00E40C70">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r>
            <w:r w:rsidR="00E40C70" w:rsidRPr="00B53305">
              <w:rPr>
                <w:b/>
                <w:bCs/>
                <w:szCs w:val="24"/>
                <w:lang w:val="fr-CH"/>
              </w:rPr>
              <w:t>Suppression d</w:t>
            </w:r>
            <w:r w:rsidR="00E40C70" w:rsidRPr="00E40C70">
              <w:rPr>
                <w:b/>
                <w:bCs/>
                <w:szCs w:val="24"/>
                <w:lang w:val="fr-CH"/>
              </w:rPr>
              <w:t>'un</w:t>
            </w:r>
            <w:r w:rsidR="00E40C70">
              <w:rPr>
                <w:b/>
                <w:bCs/>
                <w:szCs w:val="24"/>
                <w:lang w:val="fr-CH"/>
              </w:rPr>
              <w:t>e</w:t>
            </w:r>
            <w:r w:rsidR="00E40C70">
              <w:rPr>
                <w:lang w:val="fr-FR"/>
              </w:rPr>
              <w:t xml:space="preserve"> </w:t>
            </w:r>
            <w:r w:rsidR="00E40C70" w:rsidRPr="00B53305">
              <w:rPr>
                <w:b/>
                <w:bCs/>
                <w:szCs w:val="24"/>
                <w:lang w:val="fr-CH"/>
              </w:rPr>
              <w:t>Question</w:t>
            </w:r>
            <w:r w:rsidR="00E40C70">
              <w:rPr>
                <w:b/>
                <w:bCs/>
                <w:szCs w:val="24"/>
                <w:lang w:val="fr-CH"/>
              </w:rPr>
              <w:t xml:space="preserve"> </w:t>
            </w:r>
            <w:r w:rsidR="00E40C70" w:rsidRPr="00B53305">
              <w:rPr>
                <w:b/>
                <w:bCs/>
                <w:szCs w:val="24"/>
                <w:lang w:val="fr-CH"/>
              </w:rPr>
              <w:t>UIT-R</w:t>
            </w:r>
          </w:p>
        </w:tc>
      </w:tr>
      <w:tr w:rsidR="00E53DCE" w:rsidRPr="00BE517C"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BE517C"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BE517C"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bl>
    <w:p w:rsidR="00E40C70" w:rsidRDefault="00E40C70" w:rsidP="00E40C70">
      <w:pPr>
        <w:spacing w:before="240" w:line="240" w:lineRule="auto"/>
        <w:rPr>
          <w:szCs w:val="24"/>
          <w:lang w:val="fr-CH"/>
        </w:rPr>
      </w:pPr>
      <w:r w:rsidRPr="0024663A">
        <w:rPr>
          <w:szCs w:val="24"/>
          <w:lang w:val="fr-CH"/>
        </w:rPr>
        <w:t>Dans la Circulaire administrative CACE/</w:t>
      </w:r>
      <w:r>
        <w:rPr>
          <w:szCs w:val="24"/>
          <w:lang w:val="fr-CH"/>
        </w:rPr>
        <w:t>807</w:t>
      </w:r>
      <w:r w:rsidRPr="0024663A">
        <w:rPr>
          <w:szCs w:val="24"/>
          <w:lang w:val="fr-CH"/>
        </w:rPr>
        <w:t xml:space="preserve"> en date du </w:t>
      </w:r>
      <w:r>
        <w:rPr>
          <w:szCs w:val="24"/>
          <w:lang w:val="fr-CH"/>
        </w:rPr>
        <w:t xml:space="preserve">5 mai </w:t>
      </w:r>
      <w:r w:rsidRPr="0024663A">
        <w:rPr>
          <w:szCs w:val="24"/>
          <w:lang w:val="fr-CH"/>
        </w:rPr>
        <w:t>201</w:t>
      </w:r>
      <w:r>
        <w:rPr>
          <w:szCs w:val="24"/>
          <w:lang w:val="fr-CH"/>
        </w:rPr>
        <w:t>7</w:t>
      </w:r>
      <w:r w:rsidRPr="0024663A">
        <w:rPr>
          <w:szCs w:val="24"/>
          <w:lang w:val="fr-CH"/>
        </w:rPr>
        <w:t xml:space="preserve">, </w:t>
      </w:r>
      <w:r>
        <w:rPr>
          <w:szCs w:val="24"/>
          <w:lang w:val="fr-CH"/>
        </w:rPr>
        <w:t>un</w:t>
      </w:r>
      <w:r w:rsidRPr="0024663A">
        <w:rPr>
          <w:szCs w:val="24"/>
          <w:lang w:val="fr-CH"/>
        </w:rPr>
        <w:t xml:space="preserve"> projet de nouvelle Question UIT-</w:t>
      </w:r>
      <w:r>
        <w:rPr>
          <w:szCs w:val="24"/>
          <w:lang w:val="fr-CH"/>
        </w:rPr>
        <w:t>R</w:t>
      </w:r>
      <w:r w:rsidRPr="0024663A">
        <w:rPr>
          <w:szCs w:val="24"/>
          <w:lang w:val="fr-CH"/>
        </w:rPr>
        <w:t xml:space="preserve"> et </w:t>
      </w:r>
      <w:r>
        <w:rPr>
          <w:szCs w:val="24"/>
          <w:lang w:val="fr-CH"/>
        </w:rPr>
        <w:t>3</w:t>
      </w:r>
      <w:r w:rsidRPr="0024663A">
        <w:rPr>
          <w:szCs w:val="24"/>
          <w:lang w:val="fr-CH"/>
        </w:rPr>
        <w:t xml:space="preserve"> projets de Question UIT-R révisée ont été soumis pour approbation par correspondance conformément à la Résolution UIT-R 1-7 (§</w:t>
      </w:r>
      <w:r>
        <w:rPr>
          <w:szCs w:val="24"/>
          <w:lang w:val="fr-CH"/>
        </w:rPr>
        <w:t xml:space="preserve"> </w:t>
      </w:r>
      <w:r w:rsidRPr="0024663A">
        <w:rPr>
          <w:szCs w:val="24"/>
          <w:lang w:val="fr-CH"/>
        </w:rPr>
        <w:t>A2.5.2.3). En outre, la Commission d</w:t>
      </w:r>
      <w:r>
        <w:rPr>
          <w:szCs w:val="24"/>
          <w:lang w:val="fr-CH"/>
        </w:rPr>
        <w:t>'</w:t>
      </w:r>
      <w:r w:rsidRPr="0024663A">
        <w:rPr>
          <w:szCs w:val="24"/>
          <w:lang w:val="fr-CH"/>
        </w:rPr>
        <w:t>étu</w:t>
      </w:r>
      <w:r>
        <w:rPr>
          <w:szCs w:val="24"/>
          <w:lang w:val="fr-CH"/>
        </w:rPr>
        <w:t xml:space="preserve">des a proposé la suppression d'une </w:t>
      </w:r>
      <w:r w:rsidRPr="0024663A">
        <w:rPr>
          <w:szCs w:val="24"/>
          <w:lang w:val="fr-CH"/>
        </w:rPr>
        <w:t>Question UIT-</w:t>
      </w:r>
      <w:r>
        <w:rPr>
          <w:szCs w:val="24"/>
          <w:lang w:val="fr-CH"/>
        </w:rPr>
        <w:t>R.</w:t>
      </w:r>
    </w:p>
    <w:p w:rsidR="00E40C70" w:rsidRDefault="00E40C70" w:rsidP="00E40C70">
      <w:pPr>
        <w:spacing w:before="120" w:line="240" w:lineRule="auto"/>
        <w:rPr>
          <w:szCs w:val="24"/>
          <w:lang w:val="fr-CH"/>
        </w:rPr>
      </w:pPr>
      <w:r>
        <w:rPr>
          <w:szCs w:val="24"/>
          <w:lang w:val="fr-CH"/>
        </w:rPr>
        <w:t>Les conditions régissant cette procédure ont été satisfaites le 5 juillet 2017.</w:t>
      </w:r>
    </w:p>
    <w:p w:rsidR="001B2948" w:rsidRPr="008C7E7C" w:rsidRDefault="00E40C70" w:rsidP="00BE517C">
      <w:pPr>
        <w:rPr>
          <w:lang w:val="fr-FR"/>
        </w:rPr>
      </w:pPr>
      <w:r>
        <w:rPr>
          <w:szCs w:val="24"/>
          <w:lang w:val="fr-CH"/>
        </w:rPr>
        <w:t>Le</w:t>
      </w:r>
      <w:r w:rsidR="00D433F1">
        <w:rPr>
          <w:szCs w:val="24"/>
          <w:lang w:val="fr-CH"/>
        </w:rPr>
        <w:t>s</w:t>
      </w:r>
      <w:r>
        <w:rPr>
          <w:szCs w:val="24"/>
          <w:lang w:val="fr-CH"/>
        </w:rPr>
        <w:t xml:space="preserve"> texte</w:t>
      </w:r>
      <w:r w:rsidR="00D433F1">
        <w:rPr>
          <w:szCs w:val="24"/>
          <w:lang w:val="fr-CH"/>
        </w:rPr>
        <w:t>s</w:t>
      </w:r>
      <w:r>
        <w:rPr>
          <w:szCs w:val="24"/>
          <w:lang w:val="fr-CH"/>
        </w:rPr>
        <w:t xml:space="preserve"> des Questions approuvées </w:t>
      </w:r>
      <w:r w:rsidR="00D433F1">
        <w:rPr>
          <w:szCs w:val="24"/>
          <w:lang w:val="fr-CH"/>
        </w:rPr>
        <w:t>sont</w:t>
      </w:r>
      <w:r>
        <w:rPr>
          <w:szCs w:val="24"/>
          <w:lang w:val="fr-CH"/>
        </w:rPr>
        <w:t xml:space="preserve"> join</w:t>
      </w:r>
      <w:r w:rsidR="00097A63">
        <w:rPr>
          <w:szCs w:val="24"/>
          <w:lang w:val="fr-CH"/>
        </w:rPr>
        <w:t>t</w:t>
      </w:r>
      <w:r w:rsidR="00F562D3">
        <w:rPr>
          <w:szCs w:val="24"/>
          <w:lang w:val="fr-CH"/>
        </w:rPr>
        <w:t>s</w:t>
      </w:r>
      <w:r>
        <w:rPr>
          <w:szCs w:val="24"/>
          <w:lang w:val="fr-CH"/>
        </w:rPr>
        <w:t xml:space="preserve"> pour référence dans l</w:t>
      </w:r>
      <w:r w:rsidR="00C06950">
        <w:rPr>
          <w:szCs w:val="24"/>
          <w:lang w:val="fr-CH"/>
        </w:rPr>
        <w:t xml:space="preserve">es </w:t>
      </w:r>
      <w:r>
        <w:rPr>
          <w:szCs w:val="24"/>
          <w:lang w:val="fr-CH"/>
        </w:rPr>
        <w:t>Annexe</w:t>
      </w:r>
      <w:r w:rsidR="00C06950">
        <w:rPr>
          <w:szCs w:val="24"/>
          <w:lang w:val="fr-CH"/>
        </w:rPr>
        <w:t>s</w:t>
      </w:r>
      <w:r>
        <w:rPr>
          <w:szCs w:val="24"/>
          <w:lang w:val="fr-CH"/>
        </w:rPr>
        <w:t xml:space="preserve"> 1 à 4 </w:t>
      </w:r>
      <w:r w:rsidR="00D433F1">
        <w:rPr>
          <w:szCs w:val="24"/>
          <w:lang w:val="fr-CH"/>
        </w:rPr>
        <w:t xml:space="preserve">de la présente lettre </w:t>
      </w:r>
      <w:r>
        <w:rPr>
          <w:szCs w:val="24"/>
          <w:lang w:val="fr-CH"/>
        </w:rPr>
        <w:t>et ser</w:t>
      </w:r>
      <w:r w:rsidR="00D433F1">
        <w:rPr>
          <w:szCs w:val="24"/>
          <w:lang w:val="fr-CH"/>
        </w:rPr>
        <w:t>ont</w:t>
      </w:r>
      <w:r>
        <w:rPr>
          <w:szCs w:val="24"/>
          <w:lang w:val="fr-CH"/>
        </w:rPr>
        <w:t xml:space="preserve"> publié</w:t>
      </w:r>
      <w:r w:rsidR="00D433F1">
        <w:rPr>
          <w:szCs w:val="24"/>
          <w:lang w:val="fr-CH"/>
        </w:rPr>
        <w:t>s</w:t>
      </w:r>
      <w:r w:rsidR="00097A63">
        <w:rPr>
          <w:szCs w:val="24"/>
          <w:lang w:val="fr-CH"/>
        </w:rPr>
        <w:t xml:space="preserve"> par l'UIT. </w:t>
      </w:r>
      <w:r>
        <w:rPr>
          <w:szCs w:val="24"/>
          <w:lang w:val="fr-CH"/>
        </w:rPr>
        <w:t>La Question UIT-R suppr</w:t>
      </w:r>
      <w:r w:rsidR="00097A63">
        <w:rPr>
          <w:szCs w:val="24"/>
          <w:lang w:val="fr-CH"/>
        </w:rPr>
        <w:t>imée est indiquée dans</w:t>
      </w:r>
      <w:r w:rsidR="00BE517C">
        <w:rPr>
          <w:szCs w:val="24"/>
          <w:lang w:val="fr-CH"/>
        </w:rPr>
        <w:t xml:space="preserve"> </w:t>
      </w:r>
      <w:r w:rsidR="00BE517C">
        <w:rPr>
          <w:szCs w:val="24"/>
          <w:lang w:val="fr-CH"/>
        </w:rPr>
        <w:br/>
      </w:r>
      <w:bookmarkStart w:id="0" w:name="_GoBack"/>
      <w:bookmarkEnd w:id="0"/>
      <w:r w:rsidR="00097A63">
        <w:rPr>
          <w:szCs w:val="24"/>
          <w:lang w:val="fr-CH"/>
        </w:rPr>
        <w:t xml:space="preserve">l'Annexe </w:t>
      </w:r>
      <w:r>
        <w:rPr>
          <w:szCs w:val="24"/>
          <w:lang w:val="fr-CH"/>
        </w:rPr>
        <w:t>5.</w:t>
      </w:r>
    </w:p>
    <w:p w:rsidR="002569F7" w:rsidRPr="00CE22BA" w:rsidRDefault="008C7E7C" w:rsidP="008C7E7C">
      <w:pPr>
        <w:spacing w:before="1418" w:line="240" w:lineRule="auto"/>
        <w:jc w:val="left"/>
        <w:rPr>
          <w:szCs w:val="24"/>
          <w:lang w:val="fr-FR"/>
        </w:rPr>
      </w:pPr>
      <w:r>
        <w:rPr>
          <w:szCs w:val="24"/>
          <w:lang w:val="fr-FR"/>
        </w:rPr>
        <w:lastRenderedPageBreak/>
        <w:t>François Rancy</w:t>
      </w:r>
      <w:r>
        <w:rPr>
          <w:szCs w:val="24"/>
          <w:lang w:val="fr-FR"/>
        </w:rPr>
        <w:br/>
        <w:t>Directeur</w:t>
      </w:r>
    </w:p>
    <w:p w:rsidR="00E40C70" w:rsidRDefault="008C7E7C" w:rsidP="00E40C70">
      <w:pPr>
        <w:spacing w:before="360"/>
        <w:rPr>
          <w:lang w:val="fr-FR"/>
        </w:rPr>
      </w:pPr>
      <w:r>
        <w:rPr>
          <w:b/>
          <w:bCs/>
          <w:lang w:val="fr-FR"/>
        </w:rPr>
        <w:t>Annexe</w:t>
      </w:r>
      <w:r w:rsidR="001F5828">
        <w:rPr>
          <w:b/>
          <w:bCs/>
          <w:lang w:val="fr-FR"/>
        </w:rPr>
        <w:t>s</w:t>
      </w:r>
      <w:r>
        <w:rPr>
          <w:b/>
          <w:bCs/>
          <w:lang w:val="fr-FR"/>
        </w:rPr>
        <w:t>:</w:t>
      </w:r>
      <w:r>
        <w:rPr>
          <w:b/>
          <w:bCs/>
          <w:lang w:val="fr-FR"/>
        </w:rPr>
        <w:tab/>
      </w:r>
      <w:r w:rsidRPr="008C7E7C">
        <w:rPr>
          <w:lang w:val="fr-FR"/>
        </w:rPr>
        <w:t>5</w:t>
      </w:r>
    </w:p>
    <w:p w:rsidR="00A40690" w:rsidRPr="00D32285" w:rsidRDefault="00A40690" w:rsidP="00E40C70">
      <w:pPr>
        <w:spacing w:before="360"/>
        <w:rPr>
          <w:b/>
          <w:bCs/>
          <w:sz w:val="18"/>
          <w:szCs w:val="18"/>
          <w:lang w:val="fr-FR"/>
        </w:rPr>
      </w:pPr>
      <w:r w:rsidRPr="00D32285">
        <w:rPr>
          <w:b/>
          <w:bCs/>
          <w:sz w:val="18"/>
          <w:szCs w:val="18"/>
          <w:lang w:val="fr-FR"/>
        </w:rPr>
        <w:t>Distribution:</w:t>
      </w:r>
    </w:p>
    <w:p w:rsidR="00A40690" w:rsidRPr="00CE22BA" w:rsidRDefault="00A40690" w:rsidP="008C7E7C">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Etats Membres de l'UIT et Membres du Secteur des radiocommunications </w:t>
      </w:r>
      <w:r w:rsidRPr="00CE22BA">
        <w:rPr>
          <w:bCs/>
          <w:sz w:val="18"/>
          <w:szCs w:val="18"/>
          <w:lang w:val="fr-FR"/>
        </w:rPr>
        <w:t xml:space="preserve">participant aux travaux de la Commission d'études </w:t>
      </w:r>
      <w:r w:rsidR="008C7E7C">
        <w:rPr>
          <w:bCs/>
          <w:sz w:val="18"/>
          <w:szCs w:val="18"/>
          <w:lang w:val="fr-FR"/>
        </w:rPr>
        <w:t>7</w:t>
      </w:r>
      <w:r w:rsidRPr="00CE22BA">
        <w:rPr>
          <w:bCs/>
          <w:sz w:val="18"/>
          <w:szCs w:val="18"/>
          <w:lang w:val="fr-FR"/>
        </w:rPr>
        <w:t xml:space="preserve">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Associés de l'UIT-R participant aux tra</w:t>
      </w:r>
      <w:r w:rsidR="008C7E7C">
        <w:rPr>
          <w:sz w:val="18"/>
          <w:szCs w:val="18"/>
          <w:lang w:val="fr-FR"/>
        </w:rPr>
        <w:t>vaux de la Commission d'études 7</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Etablissements universitaires p</w:t>
      </w:r>
      <w:r w:rsidR="008C7E7C">
        <w:rPr>
          <w:sz w:val="18"/>
          <w:szCs w:val="18"/>
          <w:lang w:val="fr-FR"/>
        </w:rPr>
        <w:t>articipant aux travaux de l'UIT</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9101B0">
      <w:pPr>
        <w:tabs>
          <w:tab w:val="left" w:pos="284"/>
        </w:tabs>
        <w:spacing w:before="0" w:line="240" w:lineRule="auto"/>
        <w:ind w:left="284" w:hanging="284"/>
        <w:jc w:val="left"/>
        <w:rPr>
          <w:sz w:val="18"/>
          <w:szCs w:val="18"/>
          <w:lang w:val="fr-FR"/>
        </w:rPr>
      </w:pPr>
      <w:r w:rsidRPr="00CE22BA">
        <w:rPr>
          <w:sz w:val="18"/>
          <w:szCs w:val="18"/>
          <w:lang w:val="fr-FR"/>
        </w:rPr>
        <w:t>–</w:t>
      </w:r>
      <w:r w:rsidRPr="00CE22BA">
        <w:rPr>
          <w:sz w:val="18"/>
          <w:szCs w:val="18"/>
          <w:lang w:val="fr-FR"/>
        </w:rPr>
        <w:tab/>
        <w:t>Secrétaire général de l'UIT, Directeur du Bureau de la normalisation des télécommunications, Directeur du Bureau de développement des télécommunications</w:t>
      </w:r>
    </w:p>
    <w:p w:rsidR="002C06A6" w:rsidRPr="00BE1674" w:rsidRDefault="002C06A6" w:rsidP="002C06A6">
      <w:pPr>
        <w:pStyle w:val="AnnexNotitle0"/>
        <w:spacing w:before="120"/>
        <w:rPr>
          <w:rFonts w:asciiTheme="minorHAnsi" w:hAnsiTheme="minorHAnsi" w:cstheme="minorHAnsi"/>
          <w:lang w:val="fr-CH"/>
        </w:rPr>
      </w:pPr>
      <w:r w:rsidRPr="00BE1674">
        <w:rPr>
          <w:rFonts w:asciiTheme="minorHAnsi" w:hAnsiTheme="minorHAnsi" w:cstheme="minorHAnsi"/>
          <w:lang w:val="fr-CH"/>
        </w:rPr>
        <w:t>Annexe 1</w:t>
      </w:r>
    </w:p>
    <w:p w:rsidR="002C06A6" w:rsidRPr="00BE1674" w:rsidRDefault="002C06A6" w:rsidP="007435E3">
      <w:pPr>
        <w:pStyle w:val="QuestionNoBR"/>
        <w:spacing w:before="360"/>
        <w:rPr>
          <w:lang w:val="fr-CH" w:eastAsia="ja-JP"/>
        </w:rPr>
      </w:pPr>
      <w:r w:rsidRPr="00BE1674">
        <w:rPr>
          <w:lang w:val="fr-CH"/>
        </w:rPr>
        <w:t xml:space="preserve">QUESTION UIT-R </w:t>
      </w:r>
      <w:r w:rsidR="007435E3" w:rsidRPr="00D433F1">
        <w:rPr>
          <w:lang w:val="fr-FR"/>
        </w:rPr>
        <w:t>257</w:t>
      </w:r>
      <w:r w:rsidR="00390440" w:rsidRPr="00D433F1">
        <w:rPr>
          <w:lang w:val="fr-FR"/>
        </w:rPr>
        <w:t>/7</w:t>
      </w:r>
    </w:p>
    <w:p w:rsidR="002C06A6" w:rsidRPr="00BE1674" w:rsidRDefault="002C06A6" w:rsidP="00F561EE">
      <w:pPr>
        <w:pStyle w:val="Questiontitle"/>
        <w:spacing w:before="240"/>
        <w:rPr>
          <w:rFonts w:asciiTheme="majorBidi" w:hAnsiTheme="majorBidi" w:cstheme="majorBidi"/>
          <w:lang w:val="fr-CH"/>
        </w:rPr>
      </w:pPr>
      <w:r w:rsidRPr="00BE1674">
        <w:rPr>
          <w:rFonts w:asciiTheme="majorBidi" w:hAnsiTheme="majorBidi" w:cstheme="majorBidi"/>
          <w:lang w:val="fr-CH"/>
        </w:rPr>
        <w:t>Caractéristiques techniques et opérationnelles des applications de radioastronomie au-dessus de 275 GHz</w:t>
      </w:r>
    </w:p>
    <w:p w:rsidR="00CA4828" w:rsidRDefault="00C06950" w:rsidP="00D433F1">
      <w:pPr>
        <w:pStyle w:val="Normalaftertitle"/>
        <w:jc w:val="right"/>
        <w:rPr>
          <w:rFonts w:asciiTheme="majorBidi" w:hAnsiTheme="majorBidi" w:cstheme="majorBidi"/>
          <w:lang w:val="fr-CH"/>
        </w:rPr>
      </w:pPr>
      <w:r>
        <w:rPr>
          <w:rFonts w:asciiTheme="majorBidi" w:hAnsiTheme="majorBidi" w:cstheme="majorBidi"/>
          <w:lang w:val="fr-CH"/>
        </w:rPr>
        <w:t>(</w:t>
      </w:r>
      <w:r w:rsidR="00D433F1">
        <w:rPr>
          <w:rFonts w:asciiTheme="majorBidi" w:hAnsiTheme="majorBidi" w:cstheme="majorBidi"/>
          <w:lang w:val="fr-CH"/>
        </w:rPr>
        <w:t>2017</w:t>
      </w:r>
      <w:r>
        <w:rPr>
          <w:rFonts w:asciiTheme="majorBidi" w:hAnsiTheme="majorBidi" w:cstheme="majorBidi"/>
          <w:lang w:val="fr-CH"/>
        </w:rPr>
        <w:t>)</w:t>
      </w:r>
    </w:p>
    <w:p w:rsidR="002C06A6" w:rsidRPr="00BE1674" w:rsidRDefault="002C06A6" w:rsidP="002C06A6">
      <w:pPr>
        <w:pStyle w:val="Normalaftertitle"/>
        <w:rPr>
          <w:rFonts w:asciiTheme="majorBidi" w:hAnsiTheme="majorBidi" w:cstheme="majorBidi"/>
          <w:lang w:val="fr-CH"/>
        </w:rPr>
      </w:pPr>
      <w:r w:rsidRPr="00BE1674">
        <w:rPr>
          <w:rFonts w:asciiTheme="majorBidi" w:hAnsiTheme="majorBidi" w:cstheme="majorBidi"/>
          <w:lang w:val="fr-CH"/>
        </w:rPr>
        <w:t>L</w:t>
      </w:r>
      <w:r>
        <w:rPr>
          <w:rFonts w:asciiTheme="majorBidi" w:hAnsiTheme="majorBidi" w:cstheme="majorBidi"/>
          <w:lang w:val="fr-CH"/>
        </w:rPr>
        <w:t>'Assemblée de</w:t>
      </w:r>
      <w:r w:rsidRPr="00BE1674">
        <w:rPr>
          <w:rFonts w:asciiTheme="majorBidi" w:hAnsiTheme="majorBidi" w:cstheme="majorBidi"/>
          <w:lang w:val="fr-CH"/>
        </w:rPr>
        <w:t>s</w:t>
      </w:r>
      <w:r>
        <w:rPr>
          <w:rFonts w:asciiTheme="majorBidi" w:hAnsiTheme="majorBidi" w:cstheme="majorBidi"/>
          <w:lang w:val="fr-CH"/>
        </w:rPr>
        <w:t xml:space="preserve"> </w:t>
      </w:r>
      <w:r w:rsidRPr="00BE1674">
        <w:rPr>
          <w:rFonts w:asciiTheme="majorBidi" w:hAnsiTheme="majorBidi" w:cstheme="majorBidi"/>
          <w:lang w:val="fr-CH"/>
        </w:rPr>
        <w:t>radiocommunications de l'UIT,</w:t>
      </w:r>
    </w:p>
    <w:p w:rsidR="002C06A6" w:rsidRPr="00BE1674" w:rsidRDefault="002C06A6" w:rsidP="001B27F0">
      <w:pPr>
        <w:pStyle w:val="Call"/>
        <w:tabs>
          <w:tab w:val="clear" w:pos="794"/>
          <w:tab w:val="clear" w:pos="1191"/>
          <w:tab w:val="left" w:pos="1134"/>
        </w:tabs>
        <w:spacing w:before="200"/>
        <w:ind w:left="0"/>
        <w:jc w:val="both"/>
        <w:rPr>
          <w:rFonts w:asciiTheme="majorBidi" w:hAnsiTheme="majorBidi" w:cstheme="majorBidi"/>
          <w:lang w:val="fr-CH"/>
        </w:rPr>
      </w:pPr>
      <w:r w:rsidRPr="00BE1674">
        <w:rPr>
          <w:rFonts w:asciiTheme="majorBidi" w:hAnsiTheme="majorBidi" w:cstheme="majorBidi"/>
          <w:lang w:val="fr-CH"/>
        </w:rPr>
        <w:lastRenderedPageBreak/>
        <w:tab/>
        <w:t>considérant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a)</w:t>
      </w:r>
      <w:r w:rsidRPr="00BE1674">
        <w:rPr>
          <w:rFonts w:asciiTheme="majorBidi" w:hAnsiTheme="majorBidi" w:cstheme="majorBidi"/>
          <w:lang w:val="fr-CH"/>
        </w:rPr>
        <w:tab/>
        <w:t>que de nombreux phénomènes cosmiques ne sont observables qu'à des fréquences supérieures à 275 GHz en raison des lois physiques qui les régissent;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b)</w:t>
      </w:r>
      <w:r w:rsidRPr="00BE1674">
        <w:rPr>
          <w:rFonts w:asciiTheme="majorBidi" w:hAnsiTheme="majorBidi" w:cstheme="majorBidi"/>
          <w:lang w:val="fr-CH"/>
        </w:rPr>
        <w:tab/>
        <w:t>que la possibilité d'exploiter le service de radioastronomie à des fréquences supérieures à 275 GHz s'est améliorée au point que des observations sont régulièrement effectuées depuis divers emplacements sur Terre, depuis des plates-formes aéroportées et dans le cadre de missions spatiales;</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c)</w:t>
      </w:r>
      <w:r w:rsidRPr="00BE1674">
        <w:rPr>
          <w:rFonts w:asciiTheme="majorBidi" w:hAnsiTheme="majorBidi" w:cstheme="majorBidi"/>
          <w:lang w:val="fr-CH"/>
        </w:rPr>
        <w:tab/>
        <w:t>que des applications de services actifs au-dessus de 275 GHz sont en cours de développement;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d)</w:t>
      </w:r>
      <w:r w:rsidRPr="00BE1674">
        <w:rPr>
          <w:rFonts w:asciiTheme="majorBidi" w:hAnsiTheme="majorBidi" w:cstheme="majorBidi"/>
          <w:lang w:val="fr-CH"/>
        </w:rPr>
        <w:tab/>
        <w:t>qu'il convient de garantir la compatibilité de l'utilisation du spectre au-dessus de 275 GHz;</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e)</w:t>
      </w:r>
      <w:r w:rsidRPr="00BE1674">
        <w:rPr>
          <w:rFonts w:asciiTheme="majorBidi" w:hAnsiTheme="majorBidi" w:cstheme="majorBidi"/>
          <w:lang w:val="fr-CH"/>
        </w:rPr>
        <w:tab/>
        <w:t>que la compatibilité est facilitée lorsque les caractéristiques opérationnelles et techniques des systèmes sont clairement comprises,</w:t>
      </w:r>
    </w:p>
    <w:p w:rsidR="002C06A6" w:rsidRPr="00BE1674" w:rsidRDefault="002C06A6" w:rsidP="001B27F0">
      <w:pPr>
        <w:pStyle w:val="Call"/>
        <w:tabs>
          <w:tab w:val="clear" w:pos="794"/>
          <w:tab w:val="clear" w:pos="1191"/>
          <w:tab w:val="left" w:pos="1134"/>
        </w:tabs>
        <w:spacing w:before="200"/>
        <w:ind w:left="0"/>
        <w:jc w:val="both"/>
        <w:rPr>
          <w:rFonts w:asciiTheme="majorBidi" w:hAnsiTheme="majorBidi" w:cstheme="majorBidi"/>
          <w:lang w:val="fr-CH"/>
        </w:rPr>
      </w:pPr>
      <w:r w:rsidRPr="00BE1674">
        <w:rPr>
          <w:rFonts w:asciiTheme="majorBidi" w:hAnsiTheme="majorBidi" w:cstheme="majorBidi"/>
          <w:lang w:val="fr-CH"/>
        </w:rPr>
        <w:tab/>
        <w:t>reconnaissant</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a)</w:t>
      </w:r>
      <w:r w:rsidRPr="00BE1674">
        <w:rPr>
          <w:rFonts w:asciiTheme="majorBidi" w:hAnsiTheme="majorBidi" w:cstheme="majorBidi"/>
          <w:lang w:val="fr-CH"/>
        </w:rPr>
        <w:tab/>
        <w:t>qu'il n'existe actuellement aucune attribution de fréquences au-dessus de 275 GHz;</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i/>
          <w:iCs/>
          <w:lang w:val="fr-CH"/>
        </w:rPr>
        <w:t>b)</w:t>
      </w:r>
      <w:r w:rsidRPr="00BE1674">
        <w:rPr>
          <w:rFonts w:asciiTheme="majorBidi" w:hAnsiTheme="majorBidi" w:cstheme="majorBidi"/>
          <w:lang w:val="fr-CH"/>
        </w:rPr>
        <w:tab/>
        <w:t xml:space="preserve">que, conformément au numéro </w:t>
      </w:r>
      <w:r w:rsidRPr="00BE1674">
        <w:rPr>
          <w:rFonts w:asciiTheme="majorBidi" w:hAnsiTheme="majorBidi" w:cstheme="majorBidi"/>
          <w:b/>
          <w:bCs/>
          <w:lang w:val="fr-CH"/>
        </w:rPr>
        <w:t>5.565</w:t>
      </w:r>
      <w:r w:rsidRPr="00BE1674">
        <w:rPr>
          <w:rFonts w:asciiTheme="majorBidi" w:hAnsiTheme="majorBidi" w:cstheme="majorBidi"/>
          <w:lang w:val="fr-CH"/>
        </w:rPr>
        <w:t xml:space="preserve"> du RR, certain</w:t>
      </w:r>
      <w:r w:rsidR="003734D1">
        <w:rPr>
          <w:rFonts w:asciiTheme="majorBidi" w:hAnsiTheme="majorBidi" w:cstheme="majorBidi"/>
          <w:lang w:val="fr-CH"/>
        </w:rPr>
        <w:t xml:space="preserve">es bandes de la gamme </w:t>
      </w:r>
      <w:r w:rsidR="003734D1">
        <w:rPr>
          <w:rFonts w:asciiTheme="majorBidi" w:hAnsiTheme="majorBidi" w:cstheme="majorBidi"/>
          <w:lang w:val="fr-CH"/>
        </w:rPr>
        <w:br/>
        <w:t>275</w:t>
      </w:r>
      <w:r w:rsidR="003734D1">
        <w:rPr>
          <w:rFonts w:asciiTheme="majorBidi" w:hAnsiTheme="majorBidi" w:cstheme="majorBidi"/>
          <w:lang w:val="fr-CH"/>
        </w:rPr>
        <w:noBreakHyphen/>
        <w:t>1 000 </w:t>
      </w:r>
      <w:r w:rsidRPr="00BE1674">
        <w:rPr>
          <w:rFonts w:asciiTheme="majorBidi" w:hAnsiTheme="majorBidi" w:cstheme="majorBidi"/>
          <w:lang w:val="fr-CH"/>
        </w:rPr>
        <w:t xml:space="preserve">GHz sont identifiées pour être utilisées par les administrations pour des applications de services passifs, en particulier </w:t>
      </w:r>
      <w:r>
        <w:rPr>
          <w:rFonts w:asciiTheme="majorBidi" w:hAnsiTheme="majorBidi" w:cstheme="majorBidi"/>
          <w:lang w:val="fr-CH"/>
        </w:rPr>
        <w:t>du service</w:t>
      </w:r>
      <w:r w:rsidRPr="00BE1674">
        <w:rPr>
          <w:rFonts w:asciiTheme="majorBidi" w:hAnsiTheme="majorBidi" w:cstheme="majorBidi"/>
          <w:lang w:val="fr-CH"/>
        </w:rPr>
        <w:t xml:space="preserve"> de radioastronomie,</w:t>
      </w:r>
    </w:p>
    <w:p w:rsidR="002C06A6" w:rsidRPr="00BE1674" w:rsidRDefault="002C06A6" w:rsidP="00F562D3">
      <w:pPr>
        <w:pStyle w:val="Call"/>
        <w:tabs>
          <w:tab w:val="clear" w:pos="794"/>
          <w:tab w:val="clear" w:pos="1191"/>
          <w:tab w:val="left" w:pos="1134"/>
        </w:tabs>
        <w:ind w:left="0"/>
        <w:jc w:val="both"/>
        <w:rPr>
          <w:rFonts w:asciiTheme="majorBidi" w:hAnsiTheme="majorBidi" w:cstheme="majorBidi"/>
          <w:i w:val="0"/>
          <w:iCs/>
          <w:lang w:val="fr-CH"/>
        </w:rPr>
      </w:pPr>
      <w:r w:rsidRPr="00BE1674">
        <w:rPr>
          <w:rFonts w:asciiTheme="majorBidi" w:hAnsiTheme="majorBidi" w:cstheme="majorBidi"/>
          <w:lang w:val="fr-CH"/>
        </w:rPr>
        <w:lastRenderedPageBreak/>
        <w:tab/>
        <w:t xml:space="preserve">décide </w:t>
      </w:r>
      <w:r w:rsidRPr="00BE1674">
        <w:rPr>
          <w:rFonts w:asciiTheme="majorBidi" w:hAnsiTheme="majorBidi" w:cstheme="majorBidi"/>
          <w:i w:val="0"/>
          <w:iCs/>
          <w:lang w:val="fr-CH"/>
        </w:rPr>
        <w:t>de mettre à l'étude l</w:t>
      </w:r>
      <w:r w:rsidR="00F562D3">
        <w:rPr>
          <w:rFonts w:asciiTheme="majorBidi" w:hAnsiTheme="majorBidi" w:cstheme="majorBidi"/>
          <w:i w:val="0"/>
          <w:iCs/>
          <w:lang w:val="fr-CH"/>
        </w:rPr>
        <w:t>es</w:t>
      </w:r>
      <w:r w:rsidRPr="00BE1674">
        <w:rPr>
          <w:rFonts w:asciiTheme="majorBidi" w:hAnsiTheme="majorBidi" w:cstheme="majorBidi"/>
          <w:i w:val="0"/>
          <w:iCs/>
          <w:lang w:val="fr-CH"/>
        </w:rPr>
        <w:t xml:space="preserve"> Question</w:t>
      </w:r>
      <w:r w:rsidR="00F562D3">
        <w:rPr>
          <w:rFonts w:asciiTheme="majorBidi" w:hAnsiTheme="majorBidi" w:cstheme="majorBidi"/>
          <w:i w:val="0"/>
          <w:iCs/>
          <w:lang w:val="fr-CH"/>
        </w:rPr>
        <w:t>s</w:t>
      </w:r>
      <w:r w:rsidRPr="00BE1674">
        <w:rPr>
          <w:rFonts w:asciiTheme="majorBidi" w:hAnsiTheme="majorBidi" w:cstheme="majorBidi"/>
          <w:i w:val="0"/>
          <w:iCs/>
          <w:lang w:val="fr-CH"/>
        </w:rPr>
        <w:t xml:space="preserve"> suivante</w:t>
      </w:r>
      <w:r w:rsidR="00F562D3">
        <w:rPr>
          <w:rFonts w:asciiTheme="majorBidi" w:hAnsiTheme="majorBidi" w:cstheme="majorBidi"/>
          <w:i w:val="0"/>
          <w:iCs/>
          <w:lang w:val="fr-CH"/>
        </w:rPr>
        <w:t>s</w:t>
      </w:r>
      <w:r w:rsidRPr="00BE1674">
        <w:rPr>
          <w:rFonts w:asciiTheme="majorBidi" w:hAnsiTheme="majorBidi" w:cstheme="majorBidi"/>
          <w:i w:val="0"/>
          <w:iCs/>
          <w:lang w:val="fr-CH"/>
        </w:rPr>
        <w:t xml:space="preserve"> </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1</w:t>
      </w:r>
      <w:r w:rsidRPr="00BE1674">
        <w:rPr>
          <w:rFonts w:asciiTheme="majorBidi" w:hAnsiTheme="majorBidi" w:cstheme="majorBidi"/>
          <w:lang w:val="fr-CH"/>
        </w:rPr>
        <w:tab/>
        <w:t>Quelles sont les caractéristiques techniques et opérationnelles des systèmes du service de radioastronomie fonctionnant à des fréquences supérieures à 275 GHz?</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2</w:t>
      </w:r>
      <w:r w:rsidRPr="00BE1674">
        <w:rPr>
          <w:rFonts w:asciiTheme="majorBidi" w:hAnsiTheme="majorBidi" w:cstheme="majorBidi"/>
          <w:lang w:val="fr-CH"/>
        </w:rPr>
        <w:tab/>
        <w:t xml:space="preserve">Quelles sont, parmi ces caractéristiques techniques et opérationnelles, celles qui revêtent une importance particulière pour garantir la compatibilité </w:t>
      </w:r>
      <w:r>
        <w:rPr>
          <w:rFonts w:asciiTheme="majorBidi" w:hAnsiTheme="majorBidi" w:cstheme="majorBidi"/>
          <w:lang w:val="fr-CH"/>
        </w:rPr>
        <w:t>de l'</w:t>
      </w:r>
      <w:r w:rsidRPr="00BE1674">
        <w:rPr>
          <w:rFonts w:asciiTheme="majorBidi" w:hAnsiTheme="majorBidi" w:cstheme="majorBidi"/>
          <w:lang w:val="fr-CH"/>
        </w:rPr>
        <w:t>utilisation du spectre au-dessus de 275 GHz?</w:t>
      </w:r>
    </w:p>
    <w:p w:rsidR="002C06A6" w:rsidRPr="00BE1674" w:rsidRDefault="002C06A6" w:rsidP="001B27F0">
      <w:pPr>
        <w:pStyle w:val="Call"/>
        <w:tabs>
          <w:tab w:val="clear" w:pos="794"/>
          <w:tab w:val="clear" w:pos="1191"/>
          <w:tab w:val="left" w:pos="1134"/>
        </w:tabs>
        <w:spacing w:before="200"/>
        <w:ind w:left="0"/>
        <w:jc w:val="both"/>
        <w:rPr>
          <w:rFonts w:asciiTheme="majorBidi" w:hAnsiTheme="majorBidi" w:cstheme="majorBidi"/>
          <w:lang w:val="fr-CH"/>
        </w:rPr>
      </w:pPr>
      <w:r w:rsidRPr="00BE1674">
        <w:rPr>
          <w:rFonts w:asciiTheme="majorBidi" w:hAnsiTheme="majorBidi" w:cstheme="majorBidi"/>
          <w:lang w:val="fr-CH"/>
        </w:rPr>
        <w:tab/>
        <w:t>décide en outre</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bCs/>
          <w:lang w:val="fr-CH"/>
        </w:rPr>
        <w:t>1</w:t>
      </w:r>
      <w:r w:rsidRPr="00BE1674">
        <w:rPr>
          <w:rFonts w:asciiTheme="majorBidi" w:hAnsiTheme="majorBidi" w:cstheme="majorBidi"/>
          <w:lang w:val="fr-CH"/>
        </w:rPr>
        <w:tab/>
        <w:t>que les résultats des études devront être portés à l'attention des autres Commissions d'études;</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2</w:t>
      </w:r>
      <w:r w:rsidRPr="00BE1674">
        <w:rPr>
          <w:rFonts w:asciiTheme="majorBidi" w:hAnsiTheme="majorBidi" w:cstheme="majorBidi"/>
          <w:lang w:val="fr-CH"/>
        </w:rPr>
        <w:tab/>
        <w:t>que les résultats des études devront être inclus dans des Recommandations</w:t>
      </w:r>
      <w:r>
        <w:rPr>
          <w:rFonts w:asciiTheme="majorBidi" w:hAnsiTheme="majorBidi" w:cstheme="majorBidi"/>
          <w:lang w:val="fr-CH"/>
        </w:rPr>
        <w:t xml:space="preserve"> et/ou des Rapports de</w:t>
      </w:r>
      <w:r w:rsidRPr="00BE1674">
        <w:rPr>
          <w:rFonts w:asciiTheme="majorBidi" w:hAnsiTheme="majorBidi" w:cstheme="majorBidi"/>
          <w:lang w:val="fr-CH"/>
        </w:rPr>
        <w:t xml:space="preserve"> </w:t>
      </w:r>
      <w:r>
        <w:rPr>
          <w:rFonts w:asciiTheme="majorBidi" w:hAnsiTheme="majorBidi" w:cstheme="majorBidi"/>
          <w:lang w:val="fr-CH"/>
        </w:rPr>
        <w:t>l'</w:t>
      </w:r>
      <w:r w:rsidRPr="00BE1674">
        <w:rPr>
          <w:rFonts w:asciiTheme="majorBidi" w:hAnsiTheme="majorBidi" w:cstheme="majorBidi"/>
          <w:lang w:val="fr-CH"/>
        </w:rPr>
        <w:t>UIT-R, selon qu'il conviendra;</w:t>
      </w:r>
    </w:p>
    <w:p w:rsidR="002C06A6" w:rsidRPr="00BE1674" w:rsidRDefault="002C06A6" w:rsidP="003734D1">
      <w:pPr>
        <w:tabs>
          <w:tab w:val="clear" w:pos="794"/>
          <w:tab w:val="clear" w:pos="1191"/>
          <w:tab w:val="left" w:pos="1134"/>
        </w:tabs>
        <w:rPr>
          <w:rFonts w:asciiTheme="majorBidi" w:hAnsiTheme="majorBidi" w:cstheme="majorBidi"/>
          <w:lang w:val="fr-CH"/>
        </w:rPr>
      </w:pPr>
      <w:r w:rsidRPr="00BE1674">
        <w:rPr>
          <w:rFonts w:asciiTheme="majorBidi" w:hAnsiTheme="majorBidi" w:cstheme="majorBidi"/>
          <w:lang w:val="fr-CH"/>
        </w:rPr>
        <w:t>3</w:t>
      </w:r>
      <w:r w:rsidRPr="00BE1674">
        <w:rPr>
          <w:rFonts w:asciiTheme="majorBidi" w:hAnsiTheme="majorBidi" w:cstheme="majorBidi"/>
          <w:lang w:val="fr-CH"/>
        </w:rPr>
        <w:tab/>
        <w:t>que ces études devront être achevées d'ici à 2023.</w:t>
      </w:r>
    </w:p>
    <w:p w:rsidR="002C06A6" w:rsidRPr="00BE1674" w:rsidRDefault="002C06A6" w:rsidP="003734D1">
      <w:pPr>
        <w:pStyle w:val="Normalaftertitle"/>
        <w:spacing w:before="240" w:after="1200"/>
        <w:rPr>
          <w:rFonts w:asciiTheme="majorBidi" w:hAnsiTheme="majorBidi" w:cstheme="majorBidi"/>
          <w:lang w:val="fr-CH"/>
        </w:rPr>
      </w:pPr>
      <w:r w:rsidRPr="00BE1674">
        <w:rPr>
          <w:rFonts w:asciiTheme="majorBidi" w:hAnsiTheme="majorBidi" w:cstheme="majorBidi"/>
          <w:lang w:val="fr-CH"/>
        </w:rPr>
        <w:t>Catégorie: S2</w:t>
      </w:r>
    </w:p>
    <w:p w:rsidR="00A368F1" w:rsidRPr="00374C51" w:rsidRDefault="00A368F1" w:rsidP="00A368F1">
      <w:pPr>
        <w:pStyle w:val="AnnexNotitle0"/>
        <w:rPr>
          <w:rFonts w:asciiTheme="minorHAnsi" w:hAnsiTheme="minorHAnsi" w:cstheme="majorBidi"/>
          <w:lang w:val="fr-FR"/>
        </w:rPr>
      </w:pPr>
      <w:r w:rsidRPr="00374C51">
        <w:rPr>
          <w:rFonts w:asciiTheme="minorHAnsi" w:hAnsiTheme="minorHAnsi" w:cstheme="majorBidi"/>
          <w:lang w:val="fr-FR"/>
        </w:rPr>
        <w:lastRenderedPageBreak/>
        <w:t>Annexe 2</w:t>
      </w:r>
    </w:p>
    <w:p w:rsidR="00A368F1" w:rsidRPr="00374C51" w:rsidRDefault="00A368F1" w:rsidP="00A368F1">
      <w:pPr>
        <w:pStyle w:val="QuestionNoBR"/>
        <w:rPr>
          <w:rFonts w:asciiTheme="majorBidi" w:hAnsiTheme="majorBidi" w:cstheme="majorBidi"/>
          <w:vertAlign w:val="superscript"/>
          <w:lang w:val="fr-FR"/>
        </w:rPr>
      </w:pPr>
      <w:r w:rsidRPr="00374C51">
        <w:rPr>
          <w:rFonts w:asciiTheme="majorBidi" w:hAnsiTheme="majorBidi" w:cstheme="majorBidi"/>
          <w:lang w:val="fr-FR"/>
        </w:rPr>
        <w:t>question UIT-r 226-2/7</w:t>
      </w:r>
    </w:p>
    <w:p w:rsidR="00A368F1" w:rsidRPr="00374C51" w:rsidRDefault="00A368F1" w:rsidP="00A368F1">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heme="majorBidi" w:hAnsiTheme="majorBidi" w:cstheme="majorBidi"/>
          <w:b/>
          <w:sz w:val="28"/>
          <w:szCs w:val="20"/>
          <w:lang w:val="fr-FR"/>
        </w:rPr>
      </w:pPr>
      <w:bookmarkStart w:id="1" w:name="dtitle2" w:colFirst="0" w:colLast="0"/>
      <w:r w:rsidRPr="00374C51">
        <w:rPr>
          <w:rFonts w:asciiTheme="majorBidi" w:hAnsiTheme="majorBidi" w:cstheme="majorBidi"/>
          <w:b/>
          <w:sz w:val="28"/>
          <w:szCs w:val="20"/>
          <w:lang w:val="fr-FR"/>
        </w:rPr>
        <w:t xml:space="preserve">Partage des fréquences entre le service de radioastronomie </w:t>
      </w:r>
      <w:r w:rsidRPr="00374C51">
        <w:rPr>
          <w:rFonts w:asciiTheme="majorBidi" w:hAnsiTheme="majorBidi" w:cstheme="majorBidi"/>
          <w:b/>
          <w:sz w:val="28"/>
          <w:szCs w:val="20"/>
          <w:lang w:val="fr-FR"/>
        </w:rPr>
        <w:br/>
        <w:t>et d'autres services dans les bandes comprises entre 67 et 275 GHz</w:t>
      </w:r>
    </w:p>
    <w:p w:rsidR="00A368F1" w:rsidRPr="00374C51" w:rsidRDefault="00A368F1" w:rsidP="00A368F1">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heme="majorBidi" w:hAnsiTheme="majorBidi" w:cstheme="majorBidi"/>
          <w:sz w:val="22"/>
          <w:szCs w:val="20"/>
          <w:lang w:val="fr-FR"/>
        </w:rPr>
      </w:pPr>
      <w:r w:rsidRPr="00374C51">
        <w:rPr>
          <w:rFonts w:asciiTheme="majorBidi" w:hAnsiTheme="majorBidi" w:cstheme="majorBidi"/>
          <w:sz w:val="22"/>
          <w:szCs w:val="20"/>
          <w:lang w:val="fr-FR"/>
        </w:rPr>
        <w:t>(1997-2012-2017)</w:t>
      </w:r>
    </w:p>
    <w:p w:rsidR="00A368F1" w:rsidRPr="00374C51" w:rsidRDefault="00A368F1" w:rsidP="00A368F1">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val="fr-FR"/>
        </w:rPr>
      </w:pPr>
      <w:r w:rsidRPr="00374C51">
        <w:rPr>
          <w:rFonts w:asciiTheme="majorBidi" w:hAnsiTheme="majorBidi" w:cstheme="majorBidi"/>
          <w:szCs w:val="20"/>
          <w:lang w:val="fr-FR"/>
        </w:rPr>
        <w:t>L'Assemblée des radiocommunications de l'UIT,</w:t>
      </w:r>
    </w:p>
    <w:p w:rsidR="00A368F1" w:rsidRPr="00374C51" w:rsidRDefault="00A368F1" w:rsidP="00A368F1">
      <w:pPr>
        <w:pStyle w:val="Call"/>
        <w:spacing w:line="240" w:lineRule="auto"/>
        <w:rPr>
          <w:rFonts w:asciiTheme="majorBidi" w:hAnsiTheme="majorBidi" w:cstheme="majorBidi"/>
          <w:lang w:val="fr-FR"/>
        </w:rPr>
      </w:pPr>
      <w:r w:rsidRPr="00374C51">
        <w:rPr>
          <w:rFonts w:asciiTheme="majorBidi" w:hAnsiTheme="majorBidi" w:cstheme="majorBidi"/>
          <w:lang w:val="fr-FR"/>
        </w:rPr>
        <w:t>considérant</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i/>
          <w:iCs/>
          <w:lang w:val="fr-FR"/>
        </w:rPr>
        <w:t>a</w:t>
      </w:r>
      <w:r w:rsidRPr="00374C51">
        <w:rPr>
          <w:rFonts w:asciiTheme="majorBidi" w:hAnsiTheme="majorBidi" w:cstheme="majorBidi"/>
          <w:lang w:val="fr-FR"/>
        </w:rPr>
        <w:t>)</w:t>
      </w:r>
      <w:r w:rsidRPr="00374C51">
        <w:rPr>
          <w:rFonts w:asciiTheme="majorBidi" w:hAnsiTheme="majorBidi" w:cstheme="majorBidi"/>
          <w:lang w:val="fr-FR"/>
        </w:rPr>
        <w:tab/>
        <w:t>qu'un grand nombre de raies spectrales atomiques et moléculaires sont observées à des fréquences de la bande des ondes millimétriques comprises entre 67 GHz et 275 GHz, 67 GHz étant la fréquence la plus basse pour laquelle l'opacité tellurique permet d'effectuer des observations de radioastronomie au sol au-dessus de 60 GHz, et 275 GHz étant la fréquence la plus élevée pour laquelle il existe actuellement des attributions de fréquences;</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i/>
          <w:iCs/>
          <w:lang w:val="fr-FR"/>
        </w:rPr>
        <w:t>b)</w:t>
      </w:r>
      <w:r w:rsidRPr="00374C51">
        <w:rPr>
          <w:rFonts w:asciiTheme="majorBidi" w:hAnsiTheme="majorBidi" w:cstheme="majorBidi"/>
          <w:lang w:val="fr-FR"/>
        </w:rPr>
        <w:tab/>
        <w:t>que ces raies spectrales, ainsi que les observations du continuum, permettent d'obtenir des renseignements sur la formation des étoiles, notamment la formation des planètes dans d'autres systèmes solaires, l'existence de molécules prébiologiques et de vie extraterrestre, la physique et la chimie du milieu interstellaire, l'histoire de l'univers et d'autres phénomènes astrophysiques très intéressants;</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i/>
          <w:iCs/>
          <w:lang w:val="fr-FR"/>
        </w:rPr>
        <w:lastRenderedPageBreak/>
        <w:t>c)</w:t>
      </w:r>
      <w:r w:rsidRPr="00374C51">
        <w:rPr>
          <w:rFonts w:asciiTheme="majorBidi" w:hAnsiTheme="majorBidi" w:cstheme="majorBidi"/>
          <w:lang w:val="fr-FR"/>
        </w:rPr>
        <w:tab/>
        <w:t>qu'il est possible que certaines raies spectrales très importantes pour la radioastronomie ne soient pas comprises dans les bandes attribuées au service de radioastronomie;</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i/>
          <w:iCs/>
          <w:lang w:val="fr-FR"/>
        </w:rPr>
        <w:t>d)</w:t>
      </w:r>
      <w:r w:rsidRPr="00374C51">
        <w:rPr>
          <w:rFonts w:asciiTheme="majorBidi" w:hAnsiTheme="majorBidi" w:cstheme="majorBidi"/>
          <w:lang w:val="fr-FR"/>
        </w:rPr>
        <w:tab/>
        <w:t>que le partage entre les observatoires de radioastronomie et les émetteurs au sol est facilité dans la bande des ondes millimétriques par la topographie et par l'affaiblissement dû aux gaz atmosphériques;</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i/>
          <w:iCs/>
          <w:lang w:val="fr-FR"/>
        </w:rPr>
        <w:t>e)</w:t>
      </w:r>
      <w:r w:rsidRPr="00374C51">
        <w:rPr>
          <w:rFonts w:asciiTheme="majorBidi" w:hAnsiTheme="majorBidi" w:cstheme="majorBidi"/>
          <w:lang w:val="fr-FR"/>
        </w:rPr>
        <w:tab/>
        <w:t>que les grands télescopes en ondes millimétriques représentent d'importants investissements de collaboration scientifique;</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i/>
          <w:iCs/>
          <w:lang w:val="fr-FR"/>
        </w:rPr>
        <w:t>f)</w:t>
      </w:r>
      <w:r w:rsidRPr="00374C51">
        <w:rPr>
          <w:rFonts w:asciiTheme="majorBidi" w:hAnsiTheme="majorBidi" w:cstheme="majorBidi"/>
          <w:lang w:val="fr-FR"/>
        </w:rPr>
        <w:tab/>
        <w:t>que les observatoires en ondes millimétriques sont, lorsque cela est possible, installés sur des sites isolés et à haute altitude, afin de tirer parti au maximum de conditions atmosphériques extrêmement sèches et d'un environnement où le niveau de brouillage est faible;</w:t>
      </w:r>
    </w:p>
    <w:p w:rsidR="00A368F1" w:rsidRPr="00374C51" w:rsidRDefault="00A368F1" w:rsidP="00A368F1">
      <w:pPr>
        <w:spacing w:after="120" w:line="240" w:lineRule="auto"/>
        <w:rPr>
          <w:rFonts w:asciiTheme="majorBidi" w:hAnsiTheme="majorBidi" w:cstheme="majorBidi"/>
          <w:lang w:val="fr-FR"/>
        </w:rPr>
      </w:pPr>
      <w:r w:rsidRPr="00374C51">
        <w:rPr>
          <w:rFonts w:asciiTheme="majorBidi" w:hAnsiTheme="majorBidi" w:cstheme="majorBidi"/>
          <w:i/>
          <w:iCs/>
          <w:lang w:val="fr-FR"/>
        </w:rPr>
        <w:t>g)</w:t>
      </w:r>
      <w:r w:rsidRPr="00374C51">
        <w:rPr>
          <w:rFonts w:asciiTheme="majorBidi" w:hAnsiTheme="majorBidi" w:cstheme="majorBidi"/>
          <w:lang w:val="fr-FR"/>
        </w:rPr>
        <w:tab/>
        <w:t>que le partage géographique entre le service de radioastronomie et d'autres services peut être envisageable moyennant la création de zones de protection par les administrations nationales; et</w:t>
      </w:r>
    </w:p>
    <w:p w:rsidR="00A368F1" w:rsidRPr="00374C51" w:rsidRDefault="00A368F1" w:rsidP="00A368F1">
      <w:pPr>
        <w:spacing w:line="240" w:lineRule="auto"/>
        <w:rPr>
          <w:rFonts w:asciiTheme="majorBidi" w:hAnsiTheme="majorBidi" w:cstheme="majorBidi"/>
          <w:szCs w:val="20"/>
          <w:lang w:val="fr-FR"/>
        </w:rPr>
      </w:pPr>
      <w:r w:rsidRPr="00374C51">
        <w:rPr>
          <w:rFonts w:asciiTheme="majorBidi" w:hAnsiTheme="majorBidi" w:cstheme="majorBidi"/>
          <w:i/>
          <w:iCs/>
          <w:szCs w:val="20"/>
          <w:lang w:val="fr-FR"/>
        </w:rPr>
        <w:t>h)</w:t>
      </w:r>
      <w:r w:rsidRPr="00374C51">
        <w:rPr>
          <w:rFonts w:asciiTheme="majorBidi" w:hAnsiTheme="majorBidi" w:cstheme="majorBidi"/>
          <w:szCs w:val="20"/>
          <w:lang w:val="fr-FR"/>
        </w:rPr>
        <w:tab/>
      </w:r>
      <w:r w:rsidRPr="00374C51">
        <w:rPr>
          <w:rFonts w:asciiTheme="majorBidi" w:hAnsiTheme="majorBidi" w:cstheme="majorBidi"/>
          <w:lang w:val="fr-FR"/>
        </w:rPr>
        <w:t>que la Question UIT-R 145/7 porte sur les conditions de partage des fréquences entre le service de radioastronomie et les autres services de radiocommunication</w:t>
      </w:r>
      <w:r w:rsidRPr="00374C51">
        <w:rPr>
          <w:rFonts w:asciiTheme="majorBidi" w:hAnsiTheme="majorBidi" w:cstheme="majorBidi"/>
          <w:szCs w:val="20"/>
          <w:lang w:val="fr-FR"/>
        </w:rPr>
        <w:t>,</w:t>
      </w:r>
    </w:p>
    <w:p w:rsidR="00A368F1" w:rsidRPr="00374C51" w:rsidRDefault="00A368F1" w:rsidP="00A368F1">
      <w:pPr>
        <w:pStyle w:val="Call"/>
        <w:spacing w:line="240" w:lineRule="auto"/>
        <w:rPr>
          <w:rFonts w:asciiTheme="majorBidi" w:hAnsiTheme="majorBidi" w:cstheme="majorBidi"/>
          <w:lang w:val="fr-FR"/>
        </w:rPr>
      </w:pPr>
      <w:r w:rsidRPr="00374C51">
        <w:rPr>
          <w:rFonts w:asciiTheme="majorBidi" w:hAnsiTheme="majorBidi" w:cstheme="majorBidi"/>
          <w:lang w:val="fr-FR"/>
        </w:rPr>
        <w:t>considérant en outre</w:t>
      </w:r>
    </w:p>
    <w:p w:rsidR="00A368F1" w:rsidRPr="00374C51" w:rsidRDefault="00A368F1" w:rsidP="00A368F1">
      <w:pPr>
        <w:spacing w:line="240" w:lineRule="auto"/>
        <w:rPr>
          <w:rFonts w:asciiTheme="majorBidi" w:hAnsiTheme="majorBidi" w:cstheme="majorBidi"/>
          <w:lang w:val="fr-FR"/>
        </w:rPr>
      </w:pPr>
      <w:r w:rsidRPr="00374C51">
        <w:rPr>
          <w:rFonts w:asciiTheme="majorBidi" w:hAnsiTheme="majorBidi" w:cstheme="majorBidi"/>
          <w:lang w:val="fr-FR"/>
        </w:rPr>
        <w:t>que des systèmes de services actifs dans la gamme de fréquences 67-275 GHz sont en cours de mise au point,</w:t>
      </w:r>
    </w:p>
    <w:p w:rsidR="00A368F1" w:rsidRPr="00374C51" w:rsidRDefault="00A368F1" w:rsidP="00A368F1">
      <w:pPr>
        <w:pStyle w:val="Call"/>
        <w:spacing w:line="240" w:lineRule="auto"/>
        <w:rPr>
          <w:rFonts w:asciiTheme="majorBidi" w:hAnsiTheme="majorBidi" w:cstheme="majorBidi"/>
          <w:lang w:val="fr-FR"/>
        </w:rPr>
      </w:pPr>
      <w:r w:rsidRPr="00374C51">
        <w:rPr>
          <w:rFonts w:asciiTheme="majorBidi" w:hAnsiTheme="majorBidi" w:cstheme="majorBidi"/>
          <w:lang w:val="fr-FR"/>
        </w:rPr>
        <w:lastRenderedPageBreak/>
        <w:t xml:space="preserve">décide </w:t>
      </w:r>
      <w:r w:rsidRPr="00F562D3">
        <w:rPr>
          <w:rFonts w:asciiTheme="majorBidi" w:hAnsiTheme="majorBidi" w:cstheme="majorBidi"/>
          <w:i w:val="0"/>
          <w:iCs/>
          <w:lang w:val="fr-FR"/>
        </w:rPr>
        <w:t>de mettre à l'étude les Questions suivantes</w:t>
      </w:r>
    </w:p>
    <w:p w:rsidR="00A368F1" w:rsidRPr="00374C51" w:rsidRDefault="00A368F1" w:rsidP="00A368F1">
      <w:pPr>
        <w:spacing w:line="240" w:lineRule="auto"/>
        <w:rPr>
          <w:rFonts w:asciiTheme="majorBidi" w:hAnsiTheme="majorBidi" w:cstheme="majorBidi"/>
          <w:szCs w:val="20"/>
          <w:lang w:val="fr-FR"/>
        </w:rPr>
      </w:pPr>
      <w:r w:rsidRPr="00374C51">
        <w:rPr>
          <w:rFonts w:asciiTheme="majorBidi" w:hAnsiTheme="majorBidi" w:cstheme="majorBidi"/>
          <w:szCs w:val="20"/>
          <w:lang w:val="fr-FR"/>
        </w:rPr>
        <w:t>1</w:t>
      </w:r>
      <w:r w:rsidRPr="00374C51">
        <w:rPr>
          <w:rFonts w:asciiTheme="majorBidi" w:hAnsiTheme="majorBidi" w:cstheme="majorBidi"/>
          <w:szCs w:val="20"/>
          <w:lang w:val="fr-FR"/>
        </w:rPr>
        <w:tab/>
        <w:t>Quelles sont les caractéristiques techniques et opérationnelles des systèmes du service de radioastronomie fonctionnant aux fréquences comprises entre 67 et 275 GHz?</w:t>
      </w:r>
    </w:p>
    <w:p w:rsidR="00A368F1" w:rsidRPr="00374C51" w:rsidRDefault="00A368F1" w:rsidP="00A368F1">
      <w:pPr>
        <w:spacing w:line="240" w:lineRule="auto"/>
        <w:rPr>
          <w:rFonts w:asciiTheme="majorBidi" w:hAnsiTheme="majorBidi" w:cstheme="majorBidi"/>
          <w:szCs w:val="20"/>
          <w:lang w:val="fr-FR"/>
        </w:rPr>
      </w:pPr>
      <w:r w:rsidRPr="00374C51">
        <w:rPr>
          <w:rFonts w:asciiTheme="majorBidi" w:hAnsiTheme="majorBidi" w:cstheme="majorBidi"/>
          <w:szCs w:val="20"/>
          <w:lang w:val="fr-FR"/>
        </w:rPr>
        <w:t>2</w:t>
      </w:r>
      <w:r w:rsidRPr="00374C51">
        <w:rPr>
          <w:rFonts w:asciiTheme="majorBidi" w:hAnsiTheme="majorBidi" w:cstheme="majorBidi"/>
          <w:szCs w:val="20"/>
          <w:lang w:val="fr-FR"/>
        </w:rPr>
        <w:tab/>
        <w:t>Quels sont les services de radiocommunication avec lesquels le service de radioastronomie peut partager des bandes de fréquences entre 67 et 275 GHz?</w:t>
      </w:r>
    </w:p>
    <w:p w:rsidR="00A368F1" w:rsidRPr="00374C51" w:rsidRDefault="00A368F1" w:rsidP="00A368F1">
      <w:pPr>
        <w:pStyle w:val="Call"/>
        <w:spacing w:line="240" w:lineRule="auto"/>
        <w:rPr>
          <w:rFonts w:asciiTheme="majorBidi" w:hAnsiTheme="majorBidi" w:cstheme="majorBidi"/>
          <w:lang w:val="fr-FR"/>
        </w:rPr>
      </w:pPr>
      <w:r w:rsidRPr="00374C51">
        <w:rPr>
          <w:rFonts w:asciiTheme="majorBidi" w:hAnsiTheme="majorBidi" w:cstheme="majorBidi"/>
          <w:lang w:val="fr-FR"/>
        </w:rPr>
        <w:t>décide en outre</w:t>
      </w:r>
    </w:p>
    <w:p w:rsidR="00A368F1" w:rsidRPr="00374C51" w:rsidRDefault="00A368F1" w:rsidP="00A368F1">
      <w:pPr>
        <w:spacing w:after="120" w:line="240" w:lineRule="auto"/>
        <w:rPr>
          <w:rFonts w:asciiTheme="majorBidi" w:hAnsiTheme="majorBidi" w:cstheme="majorBidi"/>
          <w:szCs w:val="20"/>
          <w:lang w:val="fr-FR"/>
        </w:rPr>
      </w:pPr>
      <w:r w:rsidRPr="00374C51">
        <w:rPr>
          <w:rFonts w:asciiTheme="majorBidi" w:hAnsiTheme="majorBidi" w:cstheme="majorBidi"/>
          <w:szCs w:val="20"/>
          <w:lang w:val="fr-FR"/>
        </w:rPr>
        <w:t>1</w:t>
      </w:r>
      <w:r w:rsidRPr="00374C51">
        <w:rPr>
          <w:rFonts w:asciiTheme="majorBidi" w:hAnsiTheme="majorBidi" w:cstheme="majorBidi"/>
          <w:szCs w:val="20"/>
          <w:lang w:val="fr-FR"/>
        </w:rPr>
        <w:tab/>
        <w:t>que les résultats de ces études devront être inclus dans une ou plusieurs Recommandations et/ou dans un ou plusieurs rapports, selon qu'il conviendra;</w:t>
      </w:r>
    </w:p>
    <w:p w:rsidR="00A368F1" w:rsidRPr="00374C51" w:rsidRDefault="00A368F1" w:rsidP="00A368F1">
      <w:pPr>
        <w:spacing w:line="240" w:lineRule="auto"/>
        <w:rPr>
          <w:rFonts w:asciiTheme="majorBidi" w:hAnsiTheme="majorBidi" w:cstheme="majorBidi"/>
          <w:szCs w:val="20"/>
          <w:lang w:val="fr-FR"/>
        </w:rPr>
      </w:pPr>
      <w:r w:rsidRPr="00374C51">
        <w:rPr>
          <w:rFonts w:asciiTheme="majorBidi" w:hAnsiTheme="majorBidi" w:cstheme="majorBidi"/>
          <w:szCs w:val="20"/>
          <w:lang w:val="fr-FR"/>
        </w:rPr>
        <w:t>2</w:t>
      </w:r>
      <w:r w:rsidRPr="00374C51">
        <w:rPr>
          <w:rFonts w:asciiTheme="majorBidi" w:hAnsiTheme="majorBidi" w:cstheme="majorBidi"/>
          <w:szCs w:val="20"/>
          <w:lang w:val="fr-FR"/>
        </w:rPr>
        <w:tab/>
        <w:t>que les résultats des études devront être portés à l'attention des autres commissions d'études;</w:t>
      </w:r>
    </w:p>
    <w:p w:rsidR="00A368F1" w:rsidRPr="00374C51" w:rsidRDefault="00A368F1" w:rsidP="00A368F1">
      <w:pPr>
        <w:spacing w:line="240" w:lineRule="auto"/>
        <w:rPr>
          <w:rFonts w:asciiTheme="majorBidi" w:hAnsiTheme="majorBidi" w:cstheme="majorBidi"/>
          <w:szCs w:val="20"/>
          <w:lang w:val="fr-FR"/>
        </w:rPr>
      </w:pPr>
      <w:r w:rsidRPr="00374C51">
        <w:rPr>
          <w:rFonts w:asciiTheme="majorBidi" w:hAnsiTheme="majorBidi" w:cstheme="majorBidi"/>
          <w:szCs w:val="20"/>
          <w:lang w:val="fr-FR"/>
        </w:rPr>
        <w:t>3</w:t>
      </w:r>
      <w:r w:rsidRPr="00374C51">
        <w:rPr>
          <w:rFonts w:asciiTheme="majorBidi" w:hAnsiTheme="majorBidi" w:cstheme="majorBidi"/>
          <w:szCs w:val="20"/>
          <w:lang w:val="fr-FR"/>
        </w:rPr>
        <w:tab/>
        <w:t>que ces études devront être achevées avant 2023.</w:t>
      </w:r>
    </w:p>
    <w:p w:rsidR="00A368F1" w:rsidRPr="00374C51" w:rsidRDefault="00A368F1" w:rsidP="00A368F1">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b/>
          <w:bCs/>
          <w:szCs w:val="20"/>
          <w:lang w:val="fr-FR"/>
        </w:rPr>
      </w:pPr>
    </w:p>
    <w:p w:rsidR="00A368F1" w:rsidRPr="00374C51" w:rsidRDefault="00A368F1" w:rsidP="00A368F1">
      <w:pPr>
        <w:tabs>
          <w:tab w:val="clear" w:pos="794"/>
          <w:tab w:val="clear" w:pos="1191"/>
          <w:tab w:val="clear" w:pos="1588"/>
          <w:tab w:val="clear" w:pos="1985"/>
          <w:tab w:val="left" w:pos="1134"/>
          <w:tab w:val="left" w:pos="1871"/>
          <w:tab w:val="left" w:pos="2268"/>
        </w:tabs>
        <w:spacing w:before="120" w:line="240" w:lineRule="auto"/>
        <w:jc w:val="left"/>
        <w:rPr>
          <w:rFonts w:asciiTheme="majorBidi" w:hAnsiTheme="majorBidi" w:cstheme="majorBidi"/>
          <w:szCs w:val="20"/>
          <w:lang w:val="fr-FR"/>
        </w:rPr>
      </w:pPr>
      <w:r w:rsidRPr="00374C51">
        <w:rPr>
          <w:rFonts w:asciiTheme="majorBidi" w:hAnsiTheme="majorBidi" w:cstheme="majorBidi"/>
          <w:szCs w:val="20"/>
          <w:lang w:val="fr-FR"/>
        </w:rPr>
        <w:t>Catégorie: S2</w:t>
      </w:r>
    </w:p>
    <w:bookmarkEnd w:id="1"/>
    <w:p w:rsidR="00A368F1" w:rsidRPr="00374C51" w:rsidRDefault="00A368F1" w:rsidP="00A368F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18"/>
          <w:szCs w:val="18"/>
          <w:lang w:val="fr-FR"/>
        </w:rPr>
      </w:pPr>
      <w:r w:rsidRPr="00374C51">
        <w:rPr>
          <w:rFonts w:asciiTheme="majorBidi" w:hAnsiTheme="majorBidi" w:cstheme="majorBidi"/>
          <w:sz w:val="18"/>
          <w:szCs w:val="18"/>
          <w:lang w:val="fr-FR"/>
        </w:rPr>
        <w:br w:type="page"/>
      </w:r>
    </w:p>
    <w:p w:rsidR="00A368F1" w:rsidRPr="00374C51" w:rsidRDefault="00A368F1" w:rsidP="00A368F1">
      <w:pPr>
        <w:pStyle w:val="AnnexNotitle0"/>
        <w:rPr>
          <w:rFonts w:asciiTheme="minorHAnsi" w:hAnsiTheme="minorHAnsi" w:cstheme="majorBidi"/>
          <w:lang w:val="fr-FR"/>
        </w:rPr>
      </w:pPr>
      <w:r w:rsidRPr="00374C51">
        <w:rPr>
          <w:rFonts w:asciiTheme="minorHAnsi" w:hAnsiTheme="minorHAnsi" w:cstheme="majorBidi"/>
          <w:lang w:val="fr-FR"/>
        </w:rPr>
        <w:lastRenderedPageBreak/>
        <w:t>Annexe 3</w:t>
      </w:r>
    </w:p>
    <w:p w:rsidR="00A368F1" w:rsidRPr="00374C51" w:rsidRDefault="00A368F1" w:rsidP="00A368F1">
      <w:pPr>
        <w:spacing w:before="480" w:line="240" w:lineRule="auto"/>
        <w:jc w:val="center"/>
        <w:rPr>
          <w:rFonts w:asciiTheme="majorBidi" w:hAnsiTheme="majorBidi" w:cstheme="majorBidi"/>
          <w:sz w:val="28"/>
          <w:szCs w:val="28"/>
          <w:lang w:val="fr-FR"/>
        </w:rPr>
      </w:pPr>
      <w:r w:rsidRPr="00374C51">
        <w:rPr>
          <w:rFonts w:asciiTheme="majorBidi" w:hAnsiTheme="majorBidi" w:cstheme="majorBidi"/>
          <w:sz w:val="28"/>
          <w:szCs w:val="28"/>
          <w:lang w:val="fr-FR"/>
        </w:rPr>
        <w:t>QUESTION UIT-R 145-3/7</w:t>
      </w:r>
    </w:p>
    <w:p w:rsidR="00A368F1" w:rsidRPr="00374C51" w:rsidRDefault="00A368F1" w:rsidP="00A368F1">
      <w:pPr>
        <w:keepNext/>
        <w:keepLines/>
        <w:spacing w:before="360" w:line="240" w:lineRule="auto"/>
        <w:jc w:val="center"/>
        <w:rPr>
          <w:rFonts w:asciiTheme="majorBidi" w:hAnsiTheme="majorBidi" w:cstheme="majorBidi"/>
          <w:b/>
          <w:sz w:val="28"/>
          <w:szCs w:val="20"/>
          <w:lang w:val="fr-FR"/>
        </w:rPr>
      </w:pPr>
      <w:r w:rsidRPr="00374C51">
        <w:rPr>
          <w:rFonts w:asciiTheme="majorBidi" w:hAnsiTheme="majorBidi" w:cstheme="majorBidi"/>
          <w:b/>
          <w:sz w:val="28"/>
          <w:szCs w:val="20"/>
          <w:lang w:val="fr-FR"/>
        </w:rPr>
        <w:t>Facteurs techniques relatifs à la protection</w:t>
      </w:r>
      <w:r w:rsidRPr="00374C51">
        <w:rPr>
          <w:rFonts w:asciiTheme="majorBidi" w:hAnsiTheme="majorBidi" w:cstheme="majorBidi"/>
          <w:b/>
          <w:sz w:val="28"/>
          <w:szCs w:val="20"/>
          <w:lang w:val="fr-FR"/>
        </w:rPr>
        <w:br/>
        <w:t>des observations de radioastronomie</w:t>
      </w:r>
    </w:p>
    <w:p w:rsidR="00A368F1" w:rsidRPr="00374C51" w:rsidRDefault="00A368F1" w:rsidP="00A368F1">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fr-FR"/>
        </w:rPr>
      </w:pPr>
      <w:r w:rsidRPr="00374C51">
        <w:rPr>
          <w:rFonts w:asciiTheme="majorBidi" w:hAnsiTheme="majorBidi" w:cstheme="majorBidi"/>
          <w:sz w:val="22"/>
          <w:szCs w:val="20"/>
          <w:lang w:val="fr-FR"/>
        </w:rPr>
        <w:t>(1990-1993-2000-2017)</w:t>
      </w:r>
    </w:p>
    <w:p w:rsidR="00A368F1" w:rsidRPr="00374C51" w:rsidRDefault="00A368F1" w:rsidP="00A368F1">
      <w:pPr>
        <w:spacing w:before="280" w:line="240" w:lineRule="auto"/>
        <w:jc w:val="left"/>
        <w:rPr>
          <w:rFonts w:asciiTheme="majorBidi" w:hAnsiTheme="majorBidi" w:cstheme="majorBidi"/>
          <w:szCs w:val="20"/>
          <w:lang w:val="fr-FR"/>
        </w:rPr>
      </w:pPr>
      <w:r w:rsidRPr="00374C51">
        <w:rPr>
          <w:rFonts w:asciiTheme="majorBidi" w:hAnsiTheme="majorBidi" w:cstheme="majorBidi"/>
          <w:szCs w:val="20"/>
          <w:lang w:val="fr-FR"/>
        </w:rPr>
        <w:t>L'Assemblée des radiocommunications de l'UIT,</w:t>
      </w:r>
    </w:p>
    <w:p w:rsidR="00A368F1" w:rsidRPr="00374C51" w:rsidRDefault="00A368F1" w:rsidP="00A368F1">
      <w:pPr>
        <w:pStyle w:val="Call"/>
        <w:spacing w:line="240" w:lineRule="auto"/>
        <w:rPr>
          <w:rFonts w:asciiTheme="majorBidi" w:hAnsiTheme="majorBidi" w:cstheme="majorBidi"/>
          <w:i w:val="0"/>
          <w:szCs w:val="20"/>
          <w:lang w:val="fr-FR"/>
        </w:rPr>
      </w:pPr>
      <w:r w:rsidRPr="00374C51">
        <w:rPr>
          <w:rFonts w:asciiTheme="majorBidi" w:hAnsiTheme="majorBidi" w:cstheme="majorBidi"/>
          <w:lang w:val="fr-FR"/>
        </w:rPr>
        <w:t>considérant</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a)</w:t>
      </w:r>
      <w:r w:rsidRPr="00374C51">
        <w:rPr>
          <w:rFonts w:asciiTheme="majorBidi" w:hAnsiTheme="majorBidi" w:cstheme="majorBidi"/>
          <w:szCs w:val="20"/>
          <w:lang w:val="fr-FR"/>
        </w:rPr>
        <w:tab/>
        <w:t>que la radioastronomie repose sur la réception d'émissions naturelles avec des niveaux de puissance bien inférieurs à ceux que l'on utilise d'ordinaire dans les autres services radioélectriques et qu'elle se trouve donc exposée à subir des brouillages préjudiciables dont les niveaux pourraient être tolérés par de nombreux autres services;</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b)</w:t>
      </w:r>
      <w:r w:rsidRPr="00374C51">
        <w:rPr>
          <w:rFonts w:asciiTheme="majorBidi" w:hAnsiTheme="majorBidi" w:cstheme="majorBidi"/>
          <w:szCs w:val="20"/>
          <w:lang w:val="fr-FR"/>
        </w:rPr>
        <w:tab/>
        <w:t>que, afin de comprendre les phénomènes astronomiques, les radioastronomes doivent faire des observations d'une part sur des fréquences de raies, données et immuables, d'autre part dans une série de bandes situées dans toute l'étendue du spectre;</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c)</w:t>
      </w:r>
      <w:r w:rsidRPr="00374C51">
        <w:rPr>
          <w:rFonts w:asciiTheme="majorBidi" w:hAnsiTheme="majorBidi" w:cstheme="majorBidi"/>
          <w:szCs w:val="20"/>
          <w:lang w:val="fr-FR"/>
        </w:rPr>
        <w:tab/>
        <w:t>que les mesures en vigueur pour protéger le service de radioastronomie sont fondées sur l'hypothèse que les stations de radioastronomie sont situées sur la Terre</w:t>
      </w:r>
      <w:r w:rsidRPr="00374C51">
        <w:rPr>
          <w:rFonts w:asciiTheme="majorBidi" w:hAnsiTheme="majorBidi" w:cstheme="majorBidi"/>
          <w:lang w:val="fr-FR"/>
        </w:rPr>
        <w:t>;</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i/>
          <w:iCs/>
          <w:szCs w:val="20"/>
          <w:lang w:val="fr-FR"/>
        </w:rPr>
        <w:t>d)</w:t>
      </w:r>
      <w:r w:rsidRPr="00374C51">
        <w:rPr>
          <w:rFonts w:asciiTheme="majorBidi" w:hAnsiTheme="majorBidi" w:cstheme="majorBidi"/>
          <w:szCs w:val="20"/>
          <w:lang w:val="fr-FR"/>
        </w:rPr>
        <w:tab/>
        <w:t>que la Question UIT-R 230/7 traite des observations de radioastronomie effectuées depuis l'espace,</w:t>
      </w:r>
    </w:p>
    <w:p w:rsidR="00A368F1" w:rsidRPr="00374C51" w:rsidRDefault="00A368F1" w:rsidP="00A368F1">
      <w:pPr>
        <w:pStyle w:val="Call"/>
        <w:spacing w:line="240" w:lineRule="auto"/>
        <w:rPr>
          <w:rFonts w:asciiTheme="majorBidi" w:hAnsiTheme="majorBidi" w:cstheme="majorBidi"/>
          <w:i w:val="0"/>
          <w:szCs w:val="20"/>
          <w:lang w:val="fr-FR"/>
        </w:rPr>
      </w:pPr>
      <w:r w:rsidRPr="00374C51">
        <w:rPr>
          <w:rFonts w:asciiTheme="majorBidi" w:hAnsiTheme="majorBidi" w:cstheme="majorBidi"/>
          <w:lang w:val="fr-FR"/>
        </w:rPr>
        <w:lastRenderedPageBreak/>
        <w:t xml:space="preserve">décide </w:t>
      </w:r>
      <w:r w:rsidRPr="00F562D3">
        <w:rPr>
          <w:rFonts w:asciiTheme="majorBidi" w:hAnsiTheme="majorBidi" w:cstheme="majorBidi"/>
          <w:i w:val="0"/>
          <w:iCs/>
          <w:lang w:val="fr-FR"/>
        </w:rPr>
        <w:t>de mettre à l'étude les Questions suivantes</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1</w:t>
      </w:r>
      <w:r w:rsidRPr="00374C51">
        <w:rPr>
          <w:rFonts w:asciiTheme="majorBidi" w:hAnsiTheme="majorBidi" w:cstheme="majorBidi"/>
          <w:szCs w:val="20"/>
          <w:lang w:val="fr-FR"/>
        </w:rPr>
        <w:tab/>
        <w:t>Quelles sont les bandes de fréquences préférées pour le service de radioastronomie?</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2</w:t>
      </w:r>
      <w:r w:rsidRPr="00374C51">
        <w:rPr>
          <w:rFonts w:asciiTheme="majorBidi" w:hAnsiTheme="majorBidi" w:cstheme="majorBidi"/>
          <w:szCs w:val="20"/>
          <w:lang w:val="fr-FR"/>
        </w:rPr>
        <w:tab/>
        <w:t>Quelles sont les caractéristiques des méthodes d'observation en radioastronomie?</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3</w:t>
      </w:r>
      <w:r w:rsidRPr="00374C51">
        <w:rPr>
          <w:rFonts w:asciiTheme="majorBidi" w:hAnsiTheme="majorBidi" w:cstheme="majorBidi"/>
          <w:szCs w:val="20"/>
          <w:lang w:val="fr-FR"/>
        </w:rPr>
        <w:tab/>
        <w:t>Quels sont les facteurs dont dépend la possibilité pratique du partage des fréquences entre la radioastronomie et d'autres services radioélectriques?</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bCs/>
          <w:szCs w:val="20"/>
          <w:lang w:val="fr-FR"/>
        </w:rPr>
        <w:t>4</w:t>
      </w:r>
      <w:r w:rsidRPr="00374C51">
        <w:rPr>
          <w:rFonts w:asciiTheme="majorBidi" w:hAnsiTheme="majorBidi" w:cstheme="majorBidi"/>
          <w:szCs w:val="20"/>
          <w:lang w:val="fr-FR"/>
        </w:rPr>
        <w:tab/>
        <w:t>Comment les observations de radioastronomie peuvent-elles être influencées par les rayonnements non essentiels et autres émissions hors bande d'émetteurs radioélectriques fonctionnant dans d'autres bandes de fréquences, ou par d'autres équipements électriques?</w:t>
      </w:r>
    </w:p>
    <w:p w:rsidR="00A368F1" w:rsidRPr="00374C51" w:rsidRDefault="00A368F1" w:rsidP="00A368F1">
      <w:pPr>
        <w:pStyle w:val="Call"/>
        <w:spacing w:line="240" w:lineRule="auto"/>
        <w:rPr>
          <w:rFonts w:asciiTheme="majorBidi" w:hAnsiTheme="majorBidi" w:cstheme="majorBidi"/>
          <w:i w:val="0"/>
          <w:szCs w:val="20"/>
          <w:lang w:val="fr-FR"/>
        </w:rPr>
      </w:pPr>
      <w:r w:rsidRPr="00374C51">
        <w:rPr>
          <w:rFonts w:asciiTheme="majorBidi" w:hAnsiTheme="majorBidi" w:cstheme="majorBidi"/>
          <w:lang w:val="fr-FR"/>
        </w:rPr>
        <w:t>décide en outre</w:t>
      </w:r>
    </w:p>
    <w:p w:rsidR="00A368F1" w:rsidRPr="00374C51" w:rsidRDefault="00A368F1" w:rsidP="00A368F1">
      <w:pPr>
        <w:spacing w:before="120" w:line="240" w:lineRule="auto"/>
        <w:ind w:right="-142"/>
        <w:rPr>
          <w:rFonts w:asciiTheme="majorBidi" w:hAnsiTheme="majorBidi" w:cstheme="majorBidi"/>
          <w:szCs w:val="20"/>
          <w:lang w:val="fr-FR"/>
        </w:rPr>
      </w:pPr>
      <w:r w:rsidRPr="00374C51">
        <w:rPr>
          <w:rFonts w:asciiTheme="majorBidi" w:hAnsiTheme="majorBidi" w:cstheme="majorBidi"/>
          <w:bCs/>
          <w:szCs w:val="20"/>
          <w:lang w:val="fr-FR"/>
        </w:rPr>
        <w:t>1</w:t>
      </w:r>
      <w:r w:rsidRPr="00374C51">
        <w:rPr>
          <w:rFonts w:asciiTheme="majorBidi" w:hAnsiTheme="majorBidi" w:cstheme="majorBidi"/>
          <w:szCs w:val="20"/>
          <w:lang w:val="fr-FR"/>
        </w:rPr>
        <w:tab/>
        <w:t>que les résultats de ces études devront être inclus dans une ou plusieurs Recommandations et/ou dans un ou plusieurs rapports, selon qu'il conviendra;</w:t>
      </w:r>
    </w:p>
    <w:p w:rsidR="00A368F1" w:rsidRPr="00374C51" w:rsidRDefault="00A368F1" w:rsidP="00A368F1">
      <w:pPr>
        <w:spacing w:before="120" w:line="240" w:lineRule="auto"/>
        <w:ind w:right="-142"/>
        <w:rPr>
          <w:rFonts w:asciiTheme="majorBidi" w:hAnsiTheme="majorBidi" w:cstheme="majorBidi"/>
          <w:lang w:val="fr-FR"/>
        </w:rPr>
      </w:pPr>
      <w:r w:rsidRPr="00374C51">
        <w:rPr>
          <w:rFonts w:asciiTheme="majorBidi" w:hAnsiTheme="majorBidi" w:cstheme="majorBidi"/>
          <w:bCs/>
          <w:szCs w:val="20"/>
          <w:lang w:val="fr-FR"/>
        </w:rPr>
        <w:t>2</w:t>
      </w:r>
      <w:r w:rsidRPr="00374C51">
        <w:rPr>
          <w:rFonts w:asciiTheme="majorBidi" w:hAnsiTheme="majorBidi" w:cstheme="majorBidi"/>
          <w:bCs/>
          <w:szCs w:val="20"/>
          <w:lang w:val="fr-FR"/>
        </w:rPr>
        <w:tab/>
        <w:t>que les résultats des études devront être portés à l'attention des autres commissions d'études;</w:t>
      </w:r>
    </w:p>
    <w:p w:rsidR="00A368F1" w:rsidRPr="00374C51" w:rsidRDefault="00A368F1" w:rsidP="00A368F1">
      <w:pPr>
        <w:spacing w:before="120" w:line="240" w:lineRule="auto"/>
        <w:rPr>
          <w:rFonts w:asciiTheme="majorBidi" w:hAnsiTheme="majorBidi" w:cstheme="majorBidi"/>
          <w:szCs w:val="20"/>
          <w:lang w:val="fr-FR"/>
        </w:rPr>
      </w:pPr>
      <w:r w:rsidRPr="00374C51">
        <w:rPr>
          <w:rFonts w:asciiTheme="majorBidi" w:hAnsiTheme="majorBidi" w:cstheme="majorBidi"/>
          <w:szCs w:val="20"/>
          <w:lang w:val="fr-FR"/>
        </w:rPr>
        <w:t>3</w:t>
      </w:r>
      <w:r w:rsidRPr="00374C51">
        <w:rPr>
          <w:rFonts w:asciiTheme="majorBidi" w:hAnsiTheme="majorBidi" w:cstheme="majorBidi"/>
          <w:szCs w:val="20"/>
          <w:lang w:val="fr-FR"/>
        </w:rPr>
        <w:tab/>
        <w:t>que ces études devront être achevées avant 2023.</w:t>
      </w:r>
    </w:p>
    <w:p w:rsidR="00A368F1" w:rsidRPr="00374C51" w:rsidRDefault="00A368F1" w:rsidP="00A368F1">
      <w:pPr>
        <w:pStyle w:val="Normalaftertitle"/>
        <w:tabs>
          <w:tab w:val="clear" w:pos="794"/>
          <w:tab w:val="clear" w:pos="1191"/>
          <w:tab w:val="left" w:pos="1134"/>
        </w:tabs>
        <w:spacing w:line="240" w:lineRule="auto"/>
        <w:rPr>
          <w:rFonts w:asciiTheme="majorBidi" w:hAnsiTheme="majorBidi" w:cstheme="majorBidi"/>
          <w:lang w:val="fr-FR"/>
        </w:rPr>
      </w:pPr>
      <w:r w:rsidRPr="00374C51">
        <w:rPr>
          <w:rFonts w:asciiTheme="majorBidi" w:hAnsiTheme="majorBidi" w:cstheme="majorBidi"/>
          <w:lang w:val="fr-FR"/>
        </w:rPr>
        <w:t>Catégorie: S2</w:t>
      </w:r>
    </w:p>
    <w:p w:rsidR="00A368F1" w:rsidRPr="00374C51" w:rsidRDefault="00A368F1" w:rsidP="00A368F1">
      <w:pPr>
        <w:pStyle w:val="AnnexNotitle0"/>
        <w:rPr>
          <w:rFonts w:asciiTheme="minorHAnsi" w:hAnsiTheme="minorHAnsi" w:cstheme="majorBidi"/>
          <w:lang w:val="fr-FR"/>
        </w:rPr>
      </w:pPr>
      <w:r w:rsidRPr="00374C51">
        <w:rPr>
          <w:rFonts w:asciiTheme="minorHAnsi" w:hAnsiTheme="minorHAnsi" w:cstheme="majorBidi"/>
          <w:lang w:val="fr-FR"/>
        </w:rPr>
        <w:lastRenderedPageBreak/>
        <w:t>Annexe 4</w:t>
      </w:r>
    </w:p>
    <w:p w:rsidR="00A368F1" w:rsidRPr="00374C51" w:rsidRDefault="00A368F1" w:rsidP="00172565">
      <w:pPr>
        <w:pStyle w:val="QuestionNo"/>
        <w:spacing w:before="480" w:line="240" w:lineRule="auto"/>
        <w:jc w:val="center"/>
        <w:rPr>
          <w:rFonts w:asciiTheme="majorBidi" w:hAnsiTheme="majorBidi" w:cstheme="majorBidi"/>
          <w:b w:val="0"/>
          <w:bCs/>
          <w:szCs w:val="28"/>
          <w:lang w:val="fr-FR"/>
        </w:rPr>
      </w:pPr>
      <w:r w:rsidRPr="00374C51">
        <w:rPr>
          <w:rFonts w:asciiTheme="majorBidi" w:hAnsiTheme="majorBidi" w:cstheme="majorBidi"/>
          <w:b w:val="0"/>
          <w:bCs/>
          <w:szCs w:val="28"/>
          <w:lang w:val="fr-FR"/>
        </w:rPr>
        <w:t>QUESTION UIT-R 236-2/7</w:t>
      </w:r>
      <w:r w:rsidR="00172565" w:rsidRPr="00F562D3">
        <w:rPr>
          <w:rStyle w:val="FootnoteReference"/>
          <w:rFonts w:asciiTheme="majorBidi" w:hAnsiTheme="majorBidi" w:cstheme="majorBidi"/>
          <w:b w:val="0"/>
          <w:bCs/>
          <w:szCs w:val="18"/>
          <w:lang w:val="fr-FR"/>
        </w:rPr>
        <w:footnoteReference w:customMarkFollows="1" w:id="1"/>
        <w:t>*</w:t>
      </w:r>
    </w:p>
    <w:p w:rsidR="00A368F1" w:rsidRPr="00374C51" w:rsidRDefault="00A368F1" w:rsidP="00A368F1">
      <w:pPr>
        <w:keepNext/>
        <w:keepLines/>
        <w:spacing w:before="240" w:line="240" w:lineRule="auto"/>
        <w:jc w:val="center"/>
        <w:rPr>
          <w:rFonts w:asciiTheme="majorBidi" w:hAnsiTheme="majorBidi" w:cstheme="majorBidi"/>
          <w:b/>
          <w:sz w:val="28"/>
          <w:lang w:val="fr-FR"/>
        </w:rPr>
      </w:pPr>
      <w:r w:rsidRPr="00374C51">
        <w:rPr>
          <w:rFonts w:asciiTheme="majorBidi" w:hAnsiTheme="majorBidi" w:cstheme="majorBidi"/>
          <w:b/>
          <w:sz w:val="28"/>
          <w:lang w:val="fr-FR"/>
        </w:rPr>
        <w:t>Evolution de l'échelle de temps UTC</w:t>
      </w:r>
    </w:p>
    <w:p w:rsidR="00A368F1" w:rsidRPr="00374C51" w:rsidRDefault="00A368F1" w:rsidP="00A368F1">
      <w:pPr>
        <w:keepNext/>
        <w:keepLines/>
        <w:tabs>
          <w:tab w:val="clear" w:pos="794"/>
          <w:tab w:val="clear" w:pos="1191"/>
          <w:tab w:val="clear" w:pos="1588"/>
          <w:tab w:val="clear" w:pos="1985"/>
        </w:tabs>
        <w:spacing w:before="0" w:line="240" w:lineRule="auto"/>
        <w:jc w:val="right"/>
        <w:rPr>
          <w:rFonts w:asciiTheme="majorBidi" w:hAnsiTheme="majorBidi" w:cstheme="majorBidi"/>
          <w:iCs/>
          <w:sz w:val="22"/>
          <w:lang w:val="fr-FR"/>
        </w:rPr>
      </w:pPr>
      <w:r w:rsidRPr="00374C51">
        <w:rPr>
          <w:rFonts w:asciiTheme="majorBidi" w:hAnsiTheme="majorBidi" w:cstheme="majorBidi"/>
          <w:iCs/>
          <w:sz w:val="22"/>
          <w:lang w:val="fr-FR"/>
        </w:rPr>
        <w:t>(2001-2014-2017)</w:t>
      </w:r>
    </w:p>
    <w:p w:rsidR="00A368F1" w:rsidRPr="00374C51" w:rsidRDefault="00A368F1" w:rsidP="00A368F1">
      <w:pPr>
        <w:tabs>
          <w:tab w:val="clear" w:pos="794"/>
          <w:tab w:val="clear" w:pos="1191"/>
          <w:tab w:val="clear" w:pos="1588"/>
          <w:tab w:val="clear" w:pos="1985"/>
          <w:tab w:val="left" w:pos="1134"/>
          <w:tab w:val="left" w:pos="1871"/>
          <w:tab w:val="left" w:pos="2268"/>
        </w:tabs>
        <w:spacing w:before="240" w:line="240" w:lineRule="auto"/>
        <w:jc w:val="left"/>
        <w:rPr>
          <w:rFonts w:asciiTheme="majorBidi" w:hAnsiTheme="majorBidi" w:cstheme="majorBidi"/>
          <w:szCs w:val="24"/>
          <w:lang w:val="fr-FR"/>
        </w:rPr>
      </w:pPr>
      <w:r w:rsidRPr="00374C51">
        <w:rPr>
          <w:rFonts w:asciiTheme="majorBidi" w:hAnsiTheme="majorBidi" w:cstheme="majorBidi"/>
          <w:szCs w:val="24"/>
          <w:lang w:val="fr-FR"/>
        </w:rPr>
        <w:t>L'Assemblée des radiocommunications de l'UIT,</w:t>
      </w:r>
    </w:p>
    <w:p w:rsidR="00A368F1" w:rsidRPr="00374C51" w:rsidRDefault="00A368F1" w:rsidP="00A368F1">
      <w:pPr>
        <w:pStyle w:val="Call"/>
        <w:spacing w:line="240" w:lineRule="auto"/>
        <w:rPr>
          <w:rFonts w:asciiTheme="majorBidi" w:hAnsiTheme="majorBidi" w:cstheme="majorBidi"/>
          <w:i w:val="0"/>
          <w:szCs w:val="24"/>
          <w:lang w:val="fr-FR"/>
        </w:rPr>
      </w:pPr>
      <w:r w:rsidRPr="00374C51">
        <w:rPr>
          <w:rFonts w:asciiTheme="majorBidi" w:hAnsiTheme="majorBidi" w:cstheme="majorBidi"/>
          <w:lang w:val="fr-FR"/>
        </w:rPr>
        <w:t>considérant</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i/>
          <w:iCs/>
          <w:szCs w:val="24"/>
          <w:lang w:val="fr-FR"/>
        </w:rPr>
        <w:t>a)</w:t>
      </w:r>
      <w:r w:rsidRPr="00374C51">
        <w:rPr>
          <w:rFonts w:asciiTheme="majorBidi" w:hAnsiTheme="majorBidi" w:cstheme="majorBidi"/>
          <w:szCs w:val="24"/>
          <w:lang w:val="fr-FR"/>
        </w:rPr>
        <w:tab/>
        <w:t xml:space="preserve">que conformément à la Résolution </w:t>
      </w:r>
      <w:r w:rsidRPr="00374C51">
        <w:rPr>
          <w:rFonts w:asciiTheme="majorBidi" w:hAnsiTheme="majorBidi" w:cstheme="majorBidi"/>
          <w:b/>
          <w:bCs/>
          <w:szCs w:val="24"/>
          <w:lang w:val="fr-FR"/>
        </w:rPr>
        <w:t>655 (CMR-15)</w:t>
      </w:r>
      <w:r w:rsidRPr="00374C51">
        <w:rPr>
          <w:rFonts w:asciiTheme="majorBidi" w:hAnsiTheme="majorBidi" w:cstheme="majorBidi"/>
          <w:szCs w:val="24"/>
          <w:lang w:val="fr-FR"/>
        </w:rPr>
        <w:t>, le Secteur des radiocommunications de l'UIT et le Bureau international des poids et mesures (BIPM) sont invités, conjointement avec d'autres organisations, à coopérer pour réaliser des études, instaurer un dialogue et établir des rapports afin de traiter les questions recensées dans cette Résolution concernant la définition d'échelles de temps et la diffusion de signaux horaires à l'aide de systèmes de radiocommunication;</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i/>
          <w:iCs/>
          <w:szCs w:val="24"/>
          <w:lang w:val="fr-FR"/>
        </w:rPr>
        <w:t>b)</w:t>
      </w:r>
      <w:r w:rsidRPr="00374C51">
        <w:rPr>
          <w:rFonts w:asciiTheme="majorBidi" w:hAnsiTheme="majorBidi" w:cstheme="majorBidi"/>
          <w:szCs w:val="24"/>
          <w:lang w:val="fr-FR"/>
        </w:rPr>
        <w:tab/>
        <w:t xml:space="preserve">que le temps UTC est la base légale de chronométrie dans la plupart des pays du monde et constitue </w:t>
      </w:r>
      <w:r w:rsidRPr="00374C51">
        <w:rPr>
          <w:rFonts w:asciiTheme="majorBidi" w:hAnsiTheme="majorBidi" w:cstheme="majorBidi"/>
          <w:i/>
          <w:szCs w:val="24"/>
          <w:lang w:val="fr-FR"/>
        </w:rPr>
        <w:t>de facto</w:t>
      </w:r>
      <w:r w:rsidRPr="00374C51">
        <w:rPr>
          <w:rFonts w:asciiTheme="majorBidi" w:hAnsiTheme="majorBidi" w:cstheme="majorBidi"/>
          <w:szCs w:val="24"/>
          <w:lang w:val="fr-FR"/>
        </w:rPr>
        <w:t xml:space="preserve"> l'échelle de temps utilisée dans la plupart des autres pays;</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i/>
          <w:iCs/>
          <w:szCs w:val="24"/>
          <w:lang w:val="fr-FR"/>
        </w:rPr>
        <w:lastRenderedPageBreak/>
        <w:t>c)</w:t>
      </w:r>
      <w:r w:rsidRPr="00374C51">
        <w:rPr>
          <w:rFonts w:asciiTheme="majorBidi" w:hAnsiTheme="majorBidi" w:cstheme="majorBidi"/>
          <w:szCs w:val="24"/>
          <w:lang w:val="fr-FR"/>
        </w:rPr>
        <w:tab/>
        <w:t>que la Recommandation UIT-R TF.460-6 indique que toutes les émissions de fréquences étalon et de signaux horaires doivent être aussi conformes que possible au temps UTC;</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i/>
          <w:iCs/>
          <w:szCs w:val="24"/>
          <w:lang w:val="fr-FR"/>
        </w:rPr>
        <w:t>d)</w:t>
      </w:r>
      <w:r w:rsidRPr="00374C51">
        <w:rPr>
          <w:rFonts w:asciiTheme="majorBidi" w:hAnsiTheme="majorBidi" w:cstheme="majorBidi"/>
          <w:szCs w:val="24"/>
          <w:lang w:val="fr-FR"/>
        </w:rPr>
        <w:tab/>
        <w:t>que la Recommandation UIT-R TF.460-6 décrit la procédure d'insertion occasionnelle de secondes intercalaires dans le temps UTC pour que celui-ci ne diffère pas de plus de 0,9 seconde du temps déterminé à partir de la rotation de la Terre (temps UT1);</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i/>
          <w:iCs/>
          <w:szCs w:val="24"/>
          <w:lang w:val="fr-FR"/>
        </w:rPr>
        <w:t>e)</w:t>
      </w:r>
      <w:r w:rsidRPr="00374C51">
        <w:rPr>
          <w:rFonts w:asciiTheme="majorBidi" w:hAnsiTheme="majorBidi" w:cstheme="majorBidi"/>
          <w:szCs w:val="24"/>
          <w:lang w:val="fr-FR"/>
        </w:rPr>
        <w:tab/>
        <w:t>que l'insertion occasionnelle de secondes intercalaires dans le temps UTC est actuellement à l'origine de grandes difficultés opérationnelles rencontrées avec bon nombre de systèmes de navigation, industriels, financiers et de télécommunication,</w:t>
      </w:r>
    </w:p>
    <w:p w:rsidR="00A368F1" w:rsidRPr="00374C51" w:rsidRDefault="00A368F1" w:rsidP="00A368F1">
      <w:pPr>
        <w:pStyle w:val="Call"/>
        <w:spacing w:line="240" w:lineRule="auto"/>
        <w:rPr>
          <w:rFonts w:asciiTheme="majorBidi" w:hAnsiTheme="majorBidi" w:cstheme="majorBidi"/>
          <w:i w:val="0"/>
          <w:szCs w:val="24"/>
          <w:lang w:val="fr-FR"/>
        </w:rPr>
      </w:pPr>
      <w:r w:rsidRPr="00374C51">
        <w:rPr>
          <w:rFonts w:asciiTheme="majorBidi" w:hAnsiTheme="majorBidi" w:cstheme="majorBidi"/>
          <w:lang w:val="fr-FR"/>
        </w:rPr>
        <w:t xml:space="preserve">décide </w:t>
      </w:r>
      <w:r w:rsidRPr="00F562D3">
        <w:rPr>
          <w:rFonts w:asciiTheme="majorBidi" w:hAnsiTheme="majorBidi" w:cstheme="majorBidi"/>
          <w:i w:val="0"/>
          <w:iCs/>
          <w:lang w:val="fr-FR"/>
        </w:rPr>
        <w:t>de mettre à l'étude les Questions suivantes</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szCs w:val="24"/>
          <w:lang w:val="fr-FR"/>
        </w:rPr>
        <w:t>1</w:t>
      </w:r>
      <w:r w:rsidRPr="00374C51">
        <w:rPr>
          <w:rFonts w:asciiTheme="majorBidi" w:hAnsiTheme="majorBidi" w:cstheme="majorBidi"/>
          <w:szCs w:val="24"/>
          <w:lang w:val="fr-FR"/>
        </w:rPr>
        <w:tab/>
        <w:t>Quels sont les divers aspects de l'échelle de temps de référence actuelle et de celles qui pourraient être définies dans l'avenir, y compris leurs incidences et applications dans le secteur des télécommunications, dans l'industrie et dans d'autres domaines de l'activité humaine?</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szCs w:val="24"/>
          <w:lang w:val="fr-FR"/>
        </w:rPr>
        <w:t>2</w:t>
      </w:r>
      <w:r w:rsidRPr="00374C51">
        <w:rPr>
          <w:rFonts w:asciiTheme="majorBidi" w:hAnsiTheme="majorBidi" w:cstheme="majorBidi"/>
          <w:szCs w:val="24"/>
          <w:lang w:val="fr-FR"/>
        </w:rPr>
        <w:tab/>
        <w:t>Quelles sont les exigences concernant le contenu et la structure des signaux horaires qui doivent être diffusés à l'aide de systèmes de radiocommunication?</w:t>
      </w:r>
    </w:p>
    <w:p w:rsidR="00A368F1" w:rsidRPr="00374C51" w:rsidRDefault="00A368F1" w:rsidP="00A368F1">
      <w:pPr>
        <w:spacing w:line="240" w:lineRule="auto"/>
        <w:rPr>
          <w:rFonts w:asciiTheme="majorBidi" w:hAnsiTheme="majorBidi" w:cstheme="majorBidi"/>
          <w:szCs w:val="24"/>
          <w:lang w:val="fr-FR"/>
        </w:rPr>
      </w:pPr>
      <w:r w:rsidRPr="00374C51">
        <w:rPr>
          <w:rFonts w:asciiTheme="majorBidi" w:hAnsiTheme="majorBidi" w:cstheme="majorBidi"/>
          <w:szCs w:val="24"/>
          <w:lang w:val="fr-FR"/>
        </w:rPr>
        <w:t>3</w:t>
      </w:r>
      <w:r w:rsidRPr="00374C51">
        <w:rPr>
          <w:rFonts w:asciiTheme="majorBidi" w:hAnsiTheme="majorBidi" w:cstheme="majorBidi"/>
          <w:szCs w:val="24"/>
          <w:lang w:val="fr-FR"/>
        </w:rPr>
        <w:tab/>
        <w:t>La procédure actuelle d'insertion de secondes intercalées répond-elle aux besoins des utilisateurs ou une autre procédure devrait-elle être adoptée?</w:t>
      </w:r>
    </w:p>
    <w:p w:rsidR="00A368F1" w:rsidRPr="00374C51" w:rsidRDefault="00A368F1" w:rsidP="00A368F1">
      <w:pPr>
        <w:pStyle w:val="Call"/>
        <w:spacing w:line="240" w:lineRule="auto"/>
        <w:rPr>
          <w:rFonts w:asciiTheme="majorBidi" w:hAnsiTheme="majorBidi" w:cstheme="majorBidi"/>
          <w:i w:val="0"/>
          <w:szCs w:val="24"/>
          <w:lang w:val="fr-FR"/>
        </w:rPr>
      </w:pPr>
      <w:r w:rsidRPr="00374C51">
        <w:rPr>
          <w:rFonts w:asciiTheme="majorBidi" w:hAnsiTheme="majorBidi" w:cstheme="majorBidi"/>
          <w:lang w:val="fr-FR"/>
        </w:rPr>
        <w:lastRenderedPageBreak/>
        <w:t>décide en outre</w:t>
      </w:r>
    </w:p>
    <w:p w:rsidR="00A368F1" w:rsidRPr="00374C51" w:rsidRDefault="00A368F1" w:rsidP="00A368F1">
      <w:pPr>
        <w:spacing w:before="120" w:line="240" w:lineRule="auto"/>
        <w:rPr>
          <w:rFonts w:asciiTheme="majorBidi" w:hAnsiTheme="majorBidi" w:cstheme="majorBidi"/>
          <w:szCs w:val="24"/>
          <w:lang w:val="fr-FR"/>
        </w:rPr>
      </w:pPr>
      <w:r w:rsidRPr="00374C51">
        <w:rPr>
          <w:rFonts w:asciiTheme="majorBidi" w:hAnsiTheme="majorBidi" w:cstheme="majorBidi"/>
          <w:szCs w:val="24"/>
          <w:lang w:val="fr-FR"/>
        </w:rPr>
        <w:t>1</w:t>
      </w:r>
      <w:r w:rsidRPr="00374C51">
        <w:rPr>
          <w:rFonts w:asciiTheme="majorBidi" w:hAnsiTheme="majorBidi" w:cstheme="majorBidi"/>
          <w:szCs w:val="24"/>
          <w:lang w:val="fr-FR"/>
        </w:rPr>
        <w:tab/>
        <w:t>que les résultats des études susmentionnées devront être inclus dans des rapports de l'UIT</w:t>
      </w:r>
      <w:r w:rsidRPr="00374C51">
        <w:rPr>
          <w:rFonts w:asciiTheme="majorBidi" w:hAnsiTheme="majorBidi" w:cstheme="majorBidi"/>
          <w:szCs w:val="24"/>
          <w:lang w:val="fr-FR"/>
        </w:rPr>
        <w:noBreakHyphen/>
        <w:t>R;</w:t>
      </w:r>
    </w:p>
    <w:p w:rsidR="00A368F1" w:rsidRPr="00374C51" w:rsidRDefault="00A368F1" w:rsidP="00A368F1">
      <w:pPr>
        <w:spacing w:before="120" w:line="240" w:lineRule="auto"/>
        <w:rPr>
          <w:rFonts w:asciiTheme="majorBidi" w:hAnsiTheme="majorBidi" w:cstheme="majorBidi"/>
          <w:szCs w:val="24"/>
          <w:lang w:val="fr-FR"/>
        </w:rPr>
      </w:pPr>
      <w:r w:rsidRPr="00374C51">
        <w:rPr>
          <w:rFonts w:asciiTheme="majorBidi" w:hAnsiTheme="majorBidi" w:cstheme="majorBidi"/>
          <w:szCs w:val="24"/>
          <w:lang w:val="fr-FR"/>
        </w:rPr>
        <w:t>2</w:t>
      </w:r>
      <w:r w:rsidRPr="00374C51">
        <w:rPr>
          <w:rFonts w:asciiTheme="majorBidi" w:hAnsiTheme="majorBidi" w:cstheme="majorBidi"/>
          <w:szCs w:val="24"/>
          <w:lang w:val="fr-FR"/>
        </w:rPr>
        <w:tab/>
        <w:t>que les études susmentionnées devront être achevées avant 2023.</w:t>
      </w:r>
    </w:p>
    <w:p w:rsidR="00A368F1" w:rsidRPr="00374C51" w:rsidRDefault="00A368F1" w:rsidP="00172565">
      <w:pPr>
        <w:spacing w:before="240" w:line="240" w:lineRule="auto"/>
        <w:rPr>
          <w:rFonts w:asciiTheme="majorBidi" w:hAnsiTheme="majorBidi" w:cstheme="majorBidi"/>
          <w:lang w:val="fr-FR"/>
        </w:rPr>
      </w:pPr>
      <w:r w:rsidRPr="00374C51">
        <w:rPr>
          <w:rFonts w:asciiTheme="majorBidi" w:hAnsiTheme="majorBidi" w:cstheme="majorBidi"/>
          <w:szCs w:val="24"/>
          <w:lang w:val="fr-FR"/>
        </w:rPr>
        <w:t>Catégorie: C2</w:t>
      </w:r>
    </w:p>
    <w:p w:rsidR="00A368F1" w:rsidRPr="00374C51" w:rsidRDefault="00A368F1" w:rsidP="00A368F1">
      <w:pPr>
        <w:pStyle w:val="AnnexNotitle0"/>
        <w:rPr>
          <w:rFonts w:asciiTheme="minorHAnsi" w:hAnsiTheme="minorHAnsi" w:cstheme="majorBidi"/>
          <w:szCs w:val="28"/>
          <w:lang w:val="fr-FR"/>
        </w:rPr>
      </w:pPr>
      <w:r w:rsidRPr="00374C51">
        <w:rPr>
          <w:rFonts w:asciiTheme="minorHAnsi" w:hAnsiTheme="minorHAnsi" w:cstheme="majorBidi"/>
          <w:szCs w:val="28"/>
          <w:lang w:val="fr-FR"/>
        </w:rPr>
        <w:t>Annexe 5</w:t>
      </w:r>
    </w:p>
    <w:p w:rsidR="00A368F1" w:rsidRPr="00374C51" w:rsidRDefault="00A368F1" w:rsidP="00A368F1">
      <w:pPr>
        <w:pStyle w:val="AnnexNoTitle"/>
        <w:spacing w:before="240" w:line="240" w:lineRule="auto"/>
        <w:rPr>
          <w:rFonts w:asciiTheme="majorBidi" w:hAnsiTheme="majorBidi" w:cstheme="majorBidi"/>
          <w:sz w:val="28"/>
          <w:szCs w:val="28"/>
          <w:lang w:val="fr-FR"/>
        </w:rPr>
      </w:pPr>
      <w:r w:rsidRPr="00374C51">
        <w:rPr>
          <w:rFonts w:asciiTheme="majorBidi" w:hAnsiTheme="majorBidi" w:cstheme="majorBidi"/>
          <w:sz w:val="28"/>
          <w:szCs w:val="28"/>
          <w:lang w:val="fr-FR"/>
        </w:rPr>
        <w:t>Suppression d'une Question UIT</w:t>
      </w:r>
      <w:r w:rsidRPr="00374C51">
        <w:rPr>
          <w:rFonts w:asciiTheme="majorBidi" w:hAnsiTheme="majorBidi" w:cstheme="majorBidi"/>
          <w:sz w:val="28"/>
          <w:szCs w:val="28"/>
          <w:lang w:val="fr-FR"/>
        </w:rPr>
        <w:noBreakHyphen/>
        <w:t>R</w:t>
      </w:r>
    </w:p>
    <w:p w:rsidR="00A368F1" w:rsidRPr="00374C51" w:rsidRDefault="00A368F1" w:rsidP="00A368F1">
      <w:pPr>
        <w:spacing w:line="240" w:lineRule="auto"/>
        <w:rPr>
          <w:rFonts w:asciiTheme="majorBidi" w:hAnsiTheme="majorBidi" w:cstheme="majorBidi"/>
          <w:lang w:val="fr-FR"/>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A368F1" w:rsidRPr="00374C51" w:rsidTr="00700A20">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A368F1" w:rsidRPr="00374C51" w:rsidRDefault="00A368F1" w:rsidP="00700A20">
            <w:pPr>
              <w:pStyle w:val="Tablehead"/>
              <w:rPr>
                <w:rFonts w:asciiTheme="majorBidi" w:hAnsiTheme="majorBidi" w:cstheme="majorBidi"/>
                <w:lang w:val="fr-FR"/>
              </w:rPr>
            </w:pPr>
            <w:r w:rsidRPr="00374C51">
              <w:rPr>
                <w:rFonts w:asciiTheme="majorBidi" w:hAnsiTheme="majorBidi" w:cstheme="majorBidi"/>
                <w:lang w:val="fr-FR"/>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A368F1" w:rsidRPr="00374C51" w:rsidRDefault="00A368F1" w:rsidP="00700A20">
            <w:pPr>
              <w:pStyle w:val="Tablehead"/>
              <w:rPr>
                <w:rFonts w:asciiTheme="majorBidi" w:hAnsiTheme="majorBidi" w:cstheme="majorBidi"/>
                <w:lang w:val="fr-FR"/>
              </w:rPr>
            </w:pPr>
            <w:r w:rsidRPr="00374C51">
              <w:rPr>
                <w:rFonts w:asciiTheme="majorBidi" w:hAnsiTheme="majorBidi" w:cstheme="majorBidi"/>
                <w:lang w:val="fr-FR"/>
              </w:rPr>
              <w:t>Titre</w:t>
            </w:r>
          </w:p>
        </w:tc>
      </w:tr>
      <w:tr w:rsidR="00A368F1" w:rsidRPr="00BE517C" w:rsidTr="00700A20">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68F1" w:rsidRPr="00374C51" w:rsidRDefault="00A368F1" w:rsidP="00700A20">
            <w:pPr>
              <w:pStyle w:val="Tabletext"/>
              <w:jc w:val="center"/>
              <w:rPr>
                <w:rFonts w:asciiTheme="majorBidi" w:hAnsiTheme="majorBidi" w:cstheme="majorBidi"/>
                <w:lang w:val="fr-FR" w:eastAsia="ja-JP"/>
              </w:rPr>
            </w:pPr>
            <w:r w:rsidRPr="00374C51">
              <w:rPr>
                <w:rFonts w:asciiTheme="majorBidi" w:hAnsiTheme="majorBidi" w:cstheme="majorBidi"/>
                <w:lang w:val="fr-FR" w:eastAsia="ja-JP"/>
              </w:rPr>
              <w:t>254/7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68F1" w:rsidRPr="00374C51" w:rsidRDefault="00A368F1" w:rsidP="00700A20">
            <w:pPr>
              <w:pStyle w:val="Tabletext"/>
              <w:rPr>
                <w:rFonts w:asciiTheme="majorBidi" w:hAnsiTheme="majorBidi" w:cstheme="majorBidi"/>
                <w:lang w:val="fr-FR" w:eastAsia="ja-JP"/>
              </w:rPr>
            </w:pPr>
            <w:r w:rsidRPr="00374C51">
              <w:rPr>
                <w:rFonts w:asciiTheme="majorBidi" w:hAnsiTheme="majorBidi" w:cstheme="majorBidi"/>
                <w:lang w:val="fr-FR"/>
              </w:rPr>
              <w:t>Caractéristiques et besoins de spectre des systèmes à satellites utilisant des nanosatellites et des picosatellites</w:t>
            </w:r>
          </w:p>
        </w:tc>
      </w:tr>
    </w:tbl>
    <w:p w:rsidR="00A368F1" w:rsidRPr="00374C51" w:rsidRDefault="00A368F1" w:rsidP="00A368F1">
      <w:pPr>
        <w:pStyle w:val="Reasons"/>
        <w:rPr>
          <w:rFonts w:asciiTheme="majorBidi" w:hAnsiTheme="majorBidi" w:cstheme="majorBidi"/>
          <w:lang w:val="fr-FR"/>
        </w:rPr>
      </w:pPr>
    </w:p>
    <w:p w:rsidR="002C06A6" w:rsidRPr="00CE22BA" w:rsidRDefault="00A368F1" w:rsidP="00A368F1">
      <w:pPr>
        <w:pStyle w:val="AnnexNotitle0"/>
        <w:rPr>
          <w:szCs w:val="24"/>
          <w:lang w:val="fr-FR"/>
        </w:rPr>
      </w:pPr>
      <w:r w:rsidRPr="00374C51">
        <w:rPr>
          <w:rFonts w:asciiTheme="majorBidi" w:hAnsiTheme="majorBidi" w:cstheme="majorBidi"/>
          <w:lang w:val="fr-FR"/>
        </w:rPr>
        <w:t>______________</w:t>
      </w:r>
    </w:p>
    <w:sectPr w:rsidR="002C06A6" w:rsidRPr="00CE22BA" w:rsidSect="00F561EE">
      <w:headerReference w:type="even" r:id="rId8"/>
      <w:headerReference w:type="default" r:id="rId9"/>
      <w:headerReference w:type="first" r:id="rId10"/>
      <w:footerReference w:type="first" r:id="rId11"/>
      <w:pgSz w:w="11907" w:h="16834" w:code="9"/>
      <w:pgMar w:top="1134" w:right="1134" w:bottom="426"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E5" w:rsidRPr="00F56F7F" w:rsidRDefault="00E813E5" w:rsidP="00E813E5">
    <w:pPr>
      <w:pStyle w:val="FirstFooter"/>
      <w:spacing w:line="240" w:lineRule="auto"/>
      <w:ind w:left="-397" w:right="-397"/>
      <w:jc w:val="center"/>
      <w:rPr>
        <w:sz w:val="18"/>
        <w:szCs w:val="18"/>
        <w:lang w:val="fr-CH"/>
      </w:rPr>
    </w:pPr>
    <w:r w:rsidRPr="00F56F7F">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F56F7F">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F56F7F">
      <w:rPr>
        <w:sz w:val="18"/>
        <w:szCs w:val="18"/>
        <w:lang w:val="fr-CH"/>
      </w:rPr>
      <w:t xml:space="preserve">• Courriel: </w:t>
    </w:r>
    <w:hyperlink r:id="rId1" w:history="1">
      <w:r w:rsidRPr="00F56F7F">
        <w:rPr>
          <w:rStyle w:val="Hyperlink"/>
          <w:sz w:val="18"/>
          <w:szCs w:val="18"/>
          <w:lang w:val="fr-CH"/>
        </w:rPr>
        <w:t>itumail@itu.int</w:t>
      </w:r>
    </w:hyperlink>
    <w:r w:rsidRPr="00F56F7F">
      <w:rPr>
        <w:sz w:val="18"/>
        <w:szCs w:val="18"/>
        <w:lang w:val="fr-CH"/>
      </w:rPr>
      <w:t xml:space="preserve"> • </w:t>
    </w:r>
    <w:hyperlink r:id="rId2" w:history="1">
      <w:r w:rsidRPr="00F56F7F">
        <w:rPr>
          <w:rStyle w:val="Hyperlink"/>
          <w:sz w:val="18"/>
          <w:szCs w:val="18"/>
          <w:lang w:val="fr-CH"/>
        </w:rPr>
        <w:t>www.itu.int</w:t>
      </w:r>
    </w:hyperlink>
    <w:r w:rsidRPr="00F56F7F">
      <w:rPr>
        <w:sz w:val="18"/>
        <w:szCs w:val="18"/>
        <w:lang w:val="fr-CH"/>
      </w:rPr>
      <w:t xml:space="preserve"> </w:t>
    </w:r>
  </w:p>
  <w:p w:rsidR="001B2948" w:rsidRPr="00E813E5" w:rsidRDefault="00E813E5" w:rsidP="00E813E5">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 w:id="1">
    <w:p w:rsidR="00172565" w:rsidRPr="00FA50C5" w:rsidRDefault="00172565" w:rsidP="00846683">
      <w:pPr>
        <w:pStyle w:val="FootnoteText"/>
        <w:tabs>
          <w:tab w:val="clear" w:pos="255"/>
          <w:tab w:val="left" w:pos="284"/>
        </w:tabs>
        <w:spacing w:line="300" w:lineRule="exact"/>
        <w:ind w:left="0" w:right="-142" w:firstLine="0"/>
        <w:jc w:val="left"/>
        <w:rPr>
          <w:rFonts w:asciiTheme="majorBidi" w:hAnsiTheme="majorBidi" w:cstheme="majorBidi"/>
          <w:sz w:val="24"/>
          <w:szCs w:val="24"/>
        </w:rPr>
      </w:pPr>
      <w:r w:rsidRPr="00FA50C5">
        <w:rPr>
          <w:rStyle w:val="FootnoteReference"/>
          <w:rFonts w:asciiTheme="majorBidi" w:hAnsiTheme="majorBidi" w:cstheme="majorBidi"/>
          <w:sz w:val="24"/>
          <w:szCs w:val="24"/>
        </w:rPr>
        <w:t>*</w:t>
      </w:r>
      <w:r w:rsidRPr="00FA50C5">
        <w:rPr>
          <w:rStyle w:val="FootnoteReference"/>
          <w:rFonts w:asciiTheme="majorBidi" w:hAnsiTheme="majorBidi" w:cstheme="majorBidi"/>
          <w:sz w:val="24"/>
          <w:szCs w:val="24"/>
        </w:rPr>
        <w:tab/>
      </w:r>
      <w:r w:rsidRPr="00172565">
        <w:rPr>
          <w:rStyle w:val="FootnoteReference"/>
          <w:rFonts w:asciiTheme="majorBidi" w:hAnsiTheme="majorBidi" w:cstheme="majorBidi"/>
          <w:bCs/>
          <w:sz w:val="24"/>
          <w:szCs w:val="24"/>
          <w:lang w:val="fr-FR"/>
        </w:rPr>
        <w:t>Cette Question devra être portée à l'attention du Bureau international des Poids et Mesures (BIPM), du Service international de la Rotation Terrestre (IERS), de la Commission d'études 13 du Secteur de la normalisation des télécommunications et de la Commission d'études 5 des radiocommunications</w:t>
      </w:r>
      <w:r w:rsidRPr="00FA50C5">
        <w:rPr>
          <w:rFonts w:asciiTheme="majorBidi" w:hAnsiTheme="majorBidi" w:cstheme="majorBidi"/>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E517C">
      <w:rPr>
        <w:rStyle w:val="PageNumber"/>
        <w:noProof/>
        <w:sz w:val="18"/>
        <w:szCs w:val="16"/>
      </w:rPr>
      <w:t>- 6 -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BE517C">
      <w:rPr>
        <w:noProof/>
        <w:sz w:val="18"/>
        <w:szCs w:val="16"/>
      </w:rPr>
      <w:t>- 7 -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F09A8" w:rsidTr="00685F35">
      <w:tc>
        <w:tcPr>
          <w:tcW w:w="4961" w:type="dxa"/>
        </w:tcPr>
        <w:p w:rsidR="008F09A8" w:rsidRDefault="008F09A8" w:rsidP="008F09A8">
          <w:pPr>
            <w:pStyle w:val="Header"/>
            <w:tabs>
              <w:tab w:val="clear" w:pos="794"/>
              <w:tab w:val="clear" w:pos="4820"/>
            </w:tabs>
            <w:spacing w:line="360" w:lineRule="auto"/>
          </w:pPr>
          <w:r>
            <w:rPr>
              <w:b/>
              <w:bCs/>
              <w:noProof/>
              <w:lang w:val="en-GB" w:eastAsia="zh-CN"/>
            </w:rPr>
            <w:drawing>
              <wp:inline distT="0" distB="0" distL="0" distR="0" wp14:anchorId="4377C8F8" wp14:editId="65659A9F">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8F09A8" w:rsidRDefault="008F09A8" w:rsidP="008F09A8">
          <w:pPr>
            <w:pStyle w:val="Header"/>
            <w:tabs>
              <w:tab w:val="clear" w:pos="794"/>
              <w:tab w:val="clear" w:pos="4820"/>
            </w:tabs>
            <w:spacing w:line="360" w:lineRule="auto"/>
            <w:jc w:val="right"/>
          </w:pPr>
          <w:r w:rsidRPr="00A03501">
            <w:rPr>
              <w:noProof/>
              <w:lang w:val="en-GB" w:eastAsia="zh-CN"/>
            </w:rPr>
            <w:drawing>
              <wp:inline distT="0" distB="0" distL="0" distR="0" wp14:anchorId="05E9BF60" wp14:editId="735F71C8">
                <wp:extent cx="1238250" cy="942975"/>
                <wp:effectExtent l="0" t="0" r="0" b="9525"/>
                <wp:docPr id="12" name="Picture 1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B2948" w:rsidRPr="008F09A8" w:rsidRDefault="001B2948" w:rsidP="008F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16FAC"/>
    <w:rsid w:val="00024657"/>
    <w:rsid w:val="00026CF8"/>
    <w:rsid w:val="00030BD7"/>
    <w:rsid w:val="00031E64"/>
    <w:rsid w:val="00034340"/>
    <w:rsid w:val="00035CB3"/>
    <w:rsid w:val="0004380B"/>
    <w:rsid w:val="00045A8D"/>
    <w:rsid w:val="0005167A"/>
    <w:rsid w:val="00054E5D"/>
    <w:rsid w:val="00070258"/>
    <w:rsid w:val="0007323C"/>
    <w:rsid w:val="00086D03"/>
    <w:rsid w:val="00087014"/>
    <w:rsid w:val="00097A63"/>
    <w:rsid w:val="000A096A"/>
    <w:rsid w:val="000A375E"/>
    <w:rsid w:val="000A7051"/>
    <w:rsid w:val="000B0AF6"/>
    <w:rsid w:val="000B0E9B"/>
    <w:rsid w:val="000B2CAE"/>
    <w:rsid w:val="000C03C7"/>
    <w:rsid w:val="000C2AD0"/>
    <w:rsid w:val="000E2B65"/>
    <w:rsid w:val="000E3DEE"/>
    <w:rsid w:val="00100B72"/>
    <w:rsid w:val="00101F7D"/>
    <w:rsid w:val="00103C76"/>
    <w:rsid w:val="0011265F"/>
    <w:rsid w:val="00117282"/>
    <w:rsid w:val="00117389"/>
    <w:rsid w:val="00121C2D"/>
    <w:rsid w:val="0012542C"/>
    <w:rsid w:val="00134404"/>
    <w:rsid w:val="00144DFB"/>
    <w:rsid w:val="00172565"/>
    <w:rsid w:val="00187CA3"/>
    <w:rsid w:val="00196710"/>
    <w:rsid w:val="00196770"/>
    <w:rsid w:val="00197324"/>
    <w:rsid w:val="001B27F0"/>
    <w:rsid w:val="001B28D4"/>
    <w:rsid w:val="001B2948"/>
    <w:rsid w:val="001B351B"/>
    <w:rsid w:val="001B42C9"/>
    <w:rsid w:val="001C06DB"/>
    <w:rsid w:val="001C6971"/>
    <w:rsid w:val="001C6A22"/>
    <w:rsid w:val="001D2785"/>
    <w:rsid w:val="001D7070"/>
    <w:rsid w:val="001F1E41"/>
    <w:rsid w:val="001F2170"/>
    <w:rsid w:val="001F3948"/>
    <w:rsid w:val="001F5828"/>
    <w:rsid w:val="001F5A49"/>
    <w:rsid w:val="001F7189"/>
    <w:rsid w:val="00201097"/>
    <w:rsid w:val="00201B6E"/>
    <w:rsid w:val="002302B3"/>
    <w:rsid w:val="00230C66"/>
    <w:rsid w:val="00235A29"/>
    <w:rsid w:val="00241526"/>
    <w:rsid w:val="002443A2"/>
    <w:rsid w:val="002569F7"/>
    <w:rsid w:val="00266E74"/>
    <w:rsid w:val="00283C3B"/>
    <w:rsid w:val="002861E6"/>
    <w:rsid w:val="00287D18"/>
    <w:rsid w:val="00291482"/>
    <w:rsid w:val="002915EF"/>
    <w:rsid w:val="002A2618"/>
    <w:rsid w:val="002A5DD7"/>
    <w:rsid w:val="002B0CAC"/>
    <w:rsid w:val="002C06A6"/>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4D1"/>
    <w:rsid w:val="003736F8"/>
    <w:rsid w:val="00374B7A"/>
    <w:rsid w:val="00380A6E"/>
    <w:rsid w:val="003836D4"/>
    <w:rsid w:val="00387AE4"/>
    <w:rsid w:val="00390440"/>
    <w:rsid w:val="003A1F49"/>
    <w:rsid w:val="003A55ED"/>
    <w:rsid w:val="003A5D52"/>
    <w:rsid w:val="003B2BDA"/>
    <w:rsid w:val="003B55EC"/>
    <w:rsid w:val="003C2EA7"/>
    <w:rsid w:val="003C4471"/>
    <w:rsid w:val="003C7D41"/>
    <w:rsid w:val="003D4418"/>
    <w:rsid w:val="003D4A69"/>
    <w:rsid w:val="003D7108"/>
    <w:rsid w:val="003E504F"/>
    <w:rsid w:val="003E78D6"/>
    <w:rsid w:val="00400573"/>
    <w:rsid w:val="004007A3"/>
    <w:rsid w:val="00406D71"/>
    <w:rsid w:val="00411CB3"/>
    <w:rsid w:val="004129A4"/>
    <w:rsid w:val="004228FA"/>
    <w:rsid w:val="004326DB"/>
    <w:rsid w:val="0043682E"/>
    <w:rsid w:val="00447ECB"/>
    <w:rsid w:val="004623F7"/>
    <w:rsid w:val="00480F51"/>
    <w:rsid w:val="00481124"/>
    <w:rsid w:val="004815EB"/>
    <w:rsid w:val="00487569"/>
    <w:rsid w:val="00496864"/>
    <w:rsid w:val="00496920"/>
    <w:rsid w:val="0049773E"/>
    <w:rsid w:val="004A4496"/>
    <w:rsid w:val="004B11AB"/>
    <w:rsid w:val="004B7C9A"/>
    <w:rsid w:val="004C6779"/>
    <w:rsid w:val="004C7D6A"/>
    <w:rsid w:val="004D733B"/>
    <w:rsid w:val="004E0DC4"/>
    <w:rsid w:val="004E0FB5"/>
    <w:rsid w:val="004E4398"/>
    <w:rsid w:val="004E43BB"/>
    <w:rsid w:val="004E460D"/>
    <w:rsid w:val="004E6962"/>
    <w:rsid w:val="004F178E"/>
    <w:rsid w:val="004F4543"/>
    <w:rsid w:val="004F57BB"/>
    <w:rsid w:val="00505309"/>
    <w:rsid w:val="0050789B"/>
    <w:rsid w:val="005103C5"/>
    <w:rsid w:val="005224A1"/>
    <w:rsid w:val="00534372"/>
    <w:rsid w:val="00543DF8"/>
    <w:rsid w:val="00546101"/>
    <w:rsid w:val="00553DD7"/>
    <w:rsid w:val="005638CF"/>
    <w:rsid w:val="0056741E"/>
    <w:rsid w:val="0057325A"/>
    <w:rsid w:val="0057469A"/>
    <w:rsid w:val="00580814"/>
    <w:rsid w:val="00583A0B"/>
    <w:rsid w:val="00585EFF"/>
    <w:rsid w:val="005A03A3"/>
    <w:rsid w:val="005A0874"/>
    <w:rsid w:val="005A2B92"/>
    <w:rsid w:val="005A3F66"/>
    <w:rsid w:val="005A79E9"/>
    <w:rsid w:val="005B214C"/>
    <w:rsid w:val="005B3AD3"/>
    <w:rsid w:val="005B4CDA"/>
    <w:rsid w:val="005B62F0"/>
    <w:rsid w:val="005D3669"/>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49DA"/>
    <w:rsid w:val="006C53F8"/>
    <w:rsid w:val="006C7CDE"/>
    <w:rsid w:val="00703C30"/>
    <w:rsid w:val="007234B1"/>
    <w:rsid w:val="00723D08"/>
    <w:rsid w:val="00725FDA"/>
    <w:rsid w:val="00727816"/>
    <w:rsid w:val="00730B9A"/>
    <w:rsid w:val="00732163"/>
    <w:rsid w:val="00732346"/>
    <w:rsid w:val="007435E3"/>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04EB"/>
    <w:rsid w:val="008143A4"/>
    <w:rsid w:val="0081513E"/>
    <w:rsid w:val="0083468F"/>
    <w:rsid w:val="00846683"/>
    <w:rsid w:val="00854131"/>
    <w:rsid w:val="0085652D"/>
    <w:rsid w:val="008767E1"/>
    <w:rsid w:val="0087694B"/>
    <w:rsid w:val="00880F4D"/>
    <w:rsid w:val="0088443B"/>
    <w:rsid w:val="008B35A3"/>
    <w:rsid w:val="008B37E1"/>
    <w:rsid w:val="008B45F8"/>
    <w:rsid w:val="008C2E74"/>
    <w:rsid w:val="008C7E7C"/>
    <w:rsid w:val="008D5409"/>
    <w:rsid w:val="008E006D"/>
    <w:rsid w:val="008E1DDC"/>
    <w:rsid w:val="008E38B4"/>
    <w:rsid w:val="008F09A8"/>
    <w:rsid w:val="008F4F21"/>
    <w:rsid w:val="00904D4A"/>
    <w:rsid w:val="009076D7"/>
    <w:rsid w:val="009101B0"/>
    <w:rsid w:val="009151BA"/>
    <w:rsid w:val="00917C10"/>
    <w:rsid w:val="00925023"/>
    <w:rsid w:val="009277BC"/>
    <w:rsid w:val="00927D57"/>
    <w:rsid w:val="00931A51"/>
    <w:rsid w:val="0093285E"/>
    <w:rsid w:val="00947185"/>
    <w:rsid w:val="00947C54"/>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9F0CDC"/>
    <w:rsid w:val="00A119E6"/>
    <w:rsid w:val="00A20FBC"/>
    <w:rsid w:val="00A231BC"/>
    <w:rsid w:val="00A31370"/>
    <w:rsid w:val="00A34D6F"/>
    <w:rsid w:val="00A3673C"/>
    <w:rsid w:val="00A368F1"/>
    <w:rsid w:val="00A40690"/>
    <w:rsid w:val="00A41F91"/>
    <w:rsid w:val="00A63355"/>
    <w:rsid w:val="00A7596D"/>
    <w:rsid w:val="00A963DF"/>
    <w:rsid w:val="00AA211B"/>
    <w:rsid w:val="00AC03B4"/>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517C"/>
    <w:rsid w:val="00BE63DB"/>
    <w:rsid w:val="00BE6574"/>
    <w:rsid w:val="00C06950"/>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828"/>
    <w:rsid w:val="00CA4E58"/>
    <w:rsid w:val="00CB3771"/>
    <w:rsid w:val="00CB44BF"/>
    <w:rsid w:val="00CB5153"/>
    <w:rsid w:val="00CC0ECD"/>
    <w:rsid w:val="00CE076A"/>
    <w:rsid w:val="00CE22BA"/>
    <w:rsid w:val="00CE463D"/>
    <w:rsid w:val="00D10BA0"/>
    <w:rsid w:val="00D21694"/>
    <w:rsid w:val="00D24EB5"/>
    <w:rsid w:val="00D32285"/>
    <w:rsid w:val="00D35AB9"/>
    <w:rsid w:val="00D36CEF"/>
    <w:rsid w:val="00D41571"/>
    <w:rsid w:val="00D416A0"/>
    <w:rsid w:val="00D433F1"/>
    <w:rsid w:val="00D47672"/>
    <w:rsid w:val="00D5123C"/>
    <w:rsid w:val="00D55560"/>
    <w:rsid w:val="00D61C5A"/>
    <w:rsid w:val="00D6790C"/>
    <w:rsid w:val="00D72339"/>
    <w:rsid w:val="00D73277"/>
    <w:rsid w:val="00D76586"/>
    <w:rsid w:val="00D82657"/>
    <w:rsid w:val="00D87E20"/>
    <w:rsid w:val="00D9101C"/>
    <w:rsid w:val="00D91DB5"/>
    <w:rsid w:val="00DA4037"/>
    <w:rsid w:val="00DC7006"/>
    <w:rsid w:val="00DE66A5"/>
    <w:rsid w:val="00DF2B50"/>
    <w:rsid w:val="00E01059"/>
    <w:rsid w:val="00E04C86"/>
    <w:rsid w:val="00E17344"/>
    <w:rsid w:val="00E20065"/>
    <w:rsid w:val="00E20F30"/>
    <w:rsid w:val="00E2189C"/>
    <w:rsid w:val="00E227FF"/>
    <w:rsid w:val="00E25BB1"/>
    <w:rsid w:val="00E27BBA"/>
    <w:rsid w:val="00E30E3F"/>
    <w:rsid w:val="00E35E8F"/>
    <w:rsid w:val="00E40C70"/>
    <w:rsid w:val="00E428AB"/>
    <w:rsid w:val="00E438E8"/>
    <w:rsid w:val="00E453A3"/>
    <w:rsid w:val="00E520E2"/>
    <w:rsid w:val="00E530C4"/>
    <w:rsid w:val="00E53DCE"/>
    <w:rsid w:val="00E55996"/>
    <w:rsid w:val="00E64254"/>
    <w:rsid w:val="00E67928"/>
    <w:rsid w:val="00E70FB5"/>
    <w:rsid w:val="00E813E5"/>
    <w:rsid w:val="00E915AF"/>
    <w:rsid w:val="00E96415"/>
    <w:rsid w:val="00EA15B3"/>
    <w:rsid w:val="00EA2C83"/>
    <w:rsid w:val="00EB2358"/>
    <w:rsid w:val="00EB3EB8"/>
    <w:rsid w:val="00EB4520"/>
    <w:rsid w:val="00EB7B1C"/>
    <w:rsid w:val="00EC00EF"/>
    <w:rsid w:val="00EC02FE"/>
    <w:rsid w:val="00EC4A96"/>
    <w:rsid w:val="00EE03A0"/>
    <w:rsid w:val="00EE1A57"/>
    <w:rsid w:val="00EF2A1C"/>
    <w:rsid w:val="00F27057"/>
    <w:rsid w:val="00F424BF"/>
    <w:rsid w:val="00F44FC3"/>
    <w:rsid w:val="00F46107"/>
    <w:rsid w:val="00F468C5"/>
    <w:rsid w:val="00F52F39"/>
    <w:rsid w:val="00F53981"/>
    <w:rsid w:val="00F561EE"/>
    <w:rsid w:val="00F562D3"/>
    <w:rsid w:val="00F6184F"/>
    <w:rsid w:val="00F73DBD"/>
    <w:rsid w:val="00F8310E"/>
    <w:rsid w:val="00F914DD"/>
    <w:rsid w:val="00FA2358"/>
    <w:rsid w:val="00FB2592"/>
    <w:rsid w:val="00FB2810"/>
    <w:rsid w:val="00FB7A2C"/>
    <w:rsid w:val="00FC0ECE"/>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0"/>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HeaderChar">
    <w:name w:val="Header Char"/>
    <w:basedOn w:val="DefaultParagraphFont"/>
    <w:link w:val="Header"/>
    <w:rsid w:val="008F09A8"/>
    <w:rPr>
      <w:sz w:val="24"/>
      <w:szCs w:val="22"/>
      <w:lang w:val="en-US" w:eastAsia="en-US"/>
    </w:rPr>
  </w:style>
  <w:style w:type="paragraph" w:styleId="ListParagraph">
    <w:name w:val="List Paragraph"/>
    <w:basedOn w:val="Normal"/>
    <w:uiPriority w:val="34"/>
    <w:qFormat/>
    <w:rsid w:val="00E813E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semiHidden/>
    <w:unhideWhenUsed/>
    <w:rsid w:val="001B28D4"/>
    <w:rPr>
      <w:color w:val="800080" w:themeColor="followedHyperlink"/>
      <w:u w:val="single"/>
    </w:rPr>
  </w:style>
  <w:style w:type="paragraph" w:customStyle="1" w:styleId="QuestionNoBR">
    <w:name w:val="Question_No_BR"/>
    <w:basedOn w:val="Normal"/>
    <w:next w:val="Questiontitle"/>
    <w:rsid w:val="002C06A6"/>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rsid w:val="002C06A6"/>
    <w:rPr>
      <w:i/>
      <w:sz w:val="24"/>
      <w:szCs w:val="22"/>
      <w:lang w:val="en-US" w:eastAsia="en-US"/>
    </w:rPr>
  </w:style>
  <w:style w:type="character" w:customStyle="1" w:styleId="NormalaftertitleChar">
    <w:name w:val="Normal_after_title Char"/>
    <w:basedOn w:val="DefaultParagraphFont"/>
    <w:link w:val="Normalaftertitle"/>
    <w:rsid w:val="002C06A6"/>
    <w:rPr>
      <w:sz w:val="24"/>
      <w:szCs w:val="22"/>
      <w:lang w:val="en-US" w:eastAsia="en-US"/>
    </w:rPr>
  </w:style>
  <w:style w:type="character" w:customStyle="1" w:styleId="AnnexNoTitleChar">
    <w:name w:val="Annex_NoTitle Char"/>
    <w:basedOn w:val="DefaultParagraphFont"/>
    <w:link w:val="AnnexNoTitle"/>
    <w:uiPriority w:val="99"/>
    <w:locked/>
    <w:rsid w:val="002C06A6"/>
    <w:rPr>
      <w:b/>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2C06A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F447-7A59-41B1-B8FD-E19054F4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7</Pages>
  <Words>1662</Words>
  <Characters>9893</Characters>
  <Application>Microsoft Office Word</Application>
  <DocSecurity>4</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11532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2</cp:revision>
  <cp:lastPrinted>2017-07-14T08:43:00Z</cp:lastPrinted>
  <dcterms:created xsi:type="dcterms:W3CDTF">2017-07-14T08:51:00Z</dcterms:created>
  <dcterms:modified xsi:type="dcterms:W3CDTF">2017-07-14T08:51:00Z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