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FB62BF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FB62B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B62BF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FB62B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B62BF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FB62B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FB62BF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147C90" w:rsidRDefault="00147C90" w:rsidP="00147C90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147C90" w:rsidRPr="00FB62BF" w:rsidRDefault="00147C90" w:rsidP="00147C90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AD5FFE" w:rsidP="001B440E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>
              <w:rPr>
                <w:b/>
                <w:bCs/>
                <w:lang w:val="en-GB" w:bidi="ar-SY"/>
              </w:rPr>
              <w:t>CACE</w:t>
            </w:r>
            <w:proofErr w:type="spellEnd"/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1B440E">
              <w:rPr>
                <w:b/>
                <w:bCs/>
                <w:lang w:bidi="ar-SY"/>
              </w:rPr>
              <w:t>820</w:t>
            </w:r>
          </w:p>
        </w:tc>
        <w:tc>
          <w:tcPr>
            <w:tcW w:w="2293" w:type="pct"/>
            <w:shd w:val="clear" w:color="auto" w:fill="auto"/>
          </w:tcPr>
          <w:p w:rsidR="00F36590" w:rsidRPr="001B440E" w:rsidRDefault="001B440E" w:rsidP="00083A9A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lang w:val="fr-FR" w:bidi="ar-SY"/>
              </w:rPr>
              <w:t>5</w:t>
            </w:r>
            <w:r>
              <w:rPr>
                <w:rFonts w:hint="cs"/>
                <w:rtl/>
                <w:lang w:val="fr-FR" w:bidi="ar-EG"/>
              </w:rPr>
              <w:t xml:space="preserve"> يوليو </w:t>
            </w:r>
            <w:r>
              <w:rPr>
                <w:lang w:bidi="ar-EG"/>
              </w:rPr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23441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C23441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1B440E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742F9E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742F9E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742F9E">
              <w:rPr>
                <w:b/>
                <w:bCs/>
                <w:w w:val="115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1B440E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845AC" w:rsidRPr="00241274" w:rsidTr="00451D42">
        <w:tc>
          <w:tcPr>
            <w:tcW w:w="5000" w:type="pct"/>
            <w:gridSpan w:val="3"/>
            <w:shd w:val="clear" w:color="auto" w:fill="auto"/>
          </w:tcPr>
          <w:p w:rsidR="003845AC" w:rsidRPr="00241274" w:rsidRDefault="003845AC" w:rsidP="00C23441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3845AC" w:rsidRPr="00241274" w:rsidTr="00451D42">
        <w:tc>
          <w:tcPr>
            <w:tcW w:w="5000" w:type="pct"/>
            <w:gridSpan w:val="3"/>
            <w:shd w:val="clear" w:color="auto" w:fill="auto"/>
          </w:tcPr>
          <w:p w:rsidR="003845AC" w:rsidRPr="00241274" w:rsidRDefault="003845AC" w:rsidP="00C23441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1B440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1B440E"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1B440E">
              <w:rPr>
                <w:rFonts w:hint="cs"/>
                <w:b/>
                <w:bCs/>
                <w:rtl/>
                <w:lang w:bidi="ar-EG"/>
              </w:rPr>
              <w:t>إدارة الطيف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4D56EA" w:rsidRDefault="005C771D" w:rsidP="001B440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="001B440E">
              <w:rPr>
                <w:rFonts w:hint="cs"/>
                <w:b/>
                <w:bCs/>
                <w:rtl/>
                <w:lang w:bidi="ar-EG"/>
              </w:rPr>
              <w:t>مشروع مراجعة توصية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B440E">
              <w:rPr>
                <w:rFonts w:hint="cs"/>
                <w:b/>
                <w:bCs/>
                <w:rtl/>
                <w:lang w:bidi="ar-EG"/>
              </w:rPr>
              <w:t>واحدة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عن طريق المراسلة</w:t>
            </w:r>
          </w:p>
        </w:tc>
      </w:tr>
    </w:tbl>
    <w:p w:rsidR="004D56EA" w:rsidRDefault="004D56EA" w:rsidP="00C23441">
      <w:pPr>
        <w:spacing w:before="840"/>
        <w:rPr>
          <w:rtl/>
          <w:lang w:bidi="ar-EG"/>
        </w:rPr>
      </w:pPr>
      <w:r w:rsidRPr="004D56EA">
        <w:rPr>
          <w:rtl/>
          <w:lang w:bidi="ar-EG"/>
        </w:rPr>
        <w:t>قررت لجنة الدراسات</w:t>
      </w:r>
      <w:r w:rsidRPr="004D56EA">
        <w:rPr>
          <w:rFonts w:hint="cs"/>
          <w:rtl/>
          <w:lang w:bidi="ar-EG"/>
        </w:rPr>
        <w:t> </w:t>
      </w:r>
      <w:r w:rsidR="001B440E">
        <w:rPr>
          <w:lang w:val="en-GB"/>
        </w:rPr>
        <w:t>1</w:t>
      </w:r>
      <w:r w:rsidRPr="004D56EA">
        <w:rPr>
          <w:rtl/>
          <w:lang w:bidi="ar-EG"/>
        </w:rPr>
        <w:t xml:space="preserve"> للاتصالات الراديوية في اجتماعها المنعقد </w:t>
      </w:r>
      <w:r w:rsidRPr="004D56EA">
        <w:rPr>
          <w:rFonts w:hint="cs"/>
          <w:rtl/>
          <w:lang w:bidi="ar-EG"/>
        </w:rPr>
        <w:t xml:space="preserve">في </w:t>
      </w:r>
      <w:r w:rsidR="001B440E">
        <w:t>21</w:t>
      </w:r>
      <w:r w:rsidRPr="004D56EA">
        <w:rPr>
          <w:rFonts w:hint="eastAsia"/>
          <w:rtl/>
          <w:lang w:bidi="ar-EG"/>
        </w:rPr>
        <w:t> </w:t>
      </w:r>
      <w:r w:rsidR="001B440E">
        <w:rPr>
          <w:rFonts w:hint="cs"/>
          <w:rtl/>
          <w:lang w:bidi="ar-EG"/>
        </w:rPr>
        <w:t>يونيو</w:t>
      </w:r>
      <w:r w:rsidRPr="004D56EA">
        <w:rPr>
          <w:rFonts w:hint="eastAsia"/>
          <w:rtl/>
          <w:lang w:bidi="ar-EG"/>
        </w:rPr>
        <w:t> </w:t>
      </w:r>
      <w:r w:rsidR="001B440E">
        <w:t>2017</w:t>
      </w:r>
      <w:r w:rsidRPr="004D56EA">
        <w:rPr>
          <w:rtl/>
          <w:lang w:bidi="ar-EG"/>
        </w:rPr>
        <w:t xml:space="preserve"> أن تلتمس اعتماد </w:t>
      </w:r>
      <w:r w:rsidR="001B440E">
        <w:rPr>
          <w:rFonts w:hint="cs"/>
          <w:rtl/>
          <w:lang w:bidi="ar-EG"/>
        </w:rPr>
        <w:t>مشروع مراجعة توصية واحدة</w:t>
      </w:r>
      <w:r w:rsidR="00E16231">
        <w:rPr>
          <w:rFonts w:hint="cs"/>
          <w:rtl/>
          <w:lang w:bidi="ar-EG"/>
        </w:rPr>
        <w:t xml:space="preserve"> لقطاع الاتصالات الراديوية</w:t>
      </w:r>
      <w:r w:rsidRPr="004D56EA">
        <w:rPr>
          <w:rFonts w:hint="cs"/>
          <w:rtl/>
          <w:lang w:bidi="ar-EG"/>
        </w:rPr>
        <w:t xml:space="preserve"> وفقاً ل</w:t>
      </w:r>
      <w:r w:rsidRPr="004D56EA">
        <w:rPr>
          <w:rtl/>
          <w:lang w:bidi="ar-EG"/>
        </w:rPr>
        <w:t>لفقرة</w:t>
      </w:r>
      <w:r w:rsidRPr="004D56EA">
        <w:rPr>
          <w:rFonts w:hint="eastAsia"/>
          <w:rtl/>
          <w:lang w:bidi="ar-EG"/>
        </w:rPr>
        <w:t> </w:t>
      </w:r>
      <w:proofErr w:type="spellStart"/>
      <w:r>
        <w:t>3.2.2.6.</w:t>
      </w:r>
      <w:r w:rsidR="00E16231">
        <w:t>A2</w:t>
      </w:r>
      <w:proofErr w:type="spellEnd"/>
      <w:r w:rsidRPr="004D56EA">
        <w:rPr>
          <w:rtl/>
          <w:lang w:bidi="ar-EG"/>
        </w:rPr>
        <w:t xml:space="preserve"> من القرار</w:t>
      </w:r>
      <w:r w:rsidRPr="004D56EA">
        <w:rPr>
          <w:rFonts w:hint="eastAsia"/>
          <w:rtl/>
          <w:lang w:bidi="ar-EG"/>
        </w:rPr>
        <w:t> </w:t>
      </w:r>
      <w:r w:rsidRPr="004D56EA">
        <w:t>ITU</w:t>
      </w:r>
      <w:r w:rsidRPr="004D56EA">
        <w:noBreakHyphen/>
        <w:t>R 1</w:t>
      </w:r>
      <w:r w:rsidRPr="004D56EA">
        <w:noBreakHyphen/>
      </w:r>
      <w:r>
        <w:t>7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 xml:space="preserve">(اعتماد عن طريق المراسلة من جانب لجنة الدراسات). ويرد في الملحق </w:t>
      </w:r>
      <w:r w:rsidR="00124A12">
        <w:rPr>
          <w:rFonts w:hint="cs"/>
          <w:rtl/>
          <w:lang w:bidi="ar-EG"/>
        </w:rPr>
        <w:t xml:space="preserve">بهذه الرسالة </w:t>
      </w:r>
      <w:r w:rsidR="001B440E">
        <w:rPr>
          <w:rFonts w:hint="cs"/>
          <w:rtl/>
          <w:lang w:bidi="ar-EG"/>
        </w:rPr>
        <w:t>عنوان مشروع التوصية</w:t>
      </w:r>
      <w:r w:rsidRPr="004D56EA">
        <w:rPr>
          <w:rFonts w:hint="cs"/>
          <w:rtl/>
          <w:lang w:bidi="ar-EG"/>
        </w:rPr>
        <w:t xml:space="preserve"> وملخصها.</w:t>
      </w:r>
    </w:p>
    <w:p w:rsidR="004D56EA" w:rsidRDefault="004D56EA" w:rsidP="00503E41">
      <w:pPr>
        <w:rPr>
          <w:rtl/>
          <w:lang w:bidi="ar-EG"/>
        </w:rPr>
      </w:pPr>
      <w:r w:rsidRPr="004D56EA">
        <w:rPr>
          <w:rtl/>
          <w:lang w:bidi="ar-EG"/>
        </w:rPr>
        <w:t xml:space="preserve">وتمتد فترة النظر </w:t>
      </w:r>
      <w:r w:rsidRPr="004D56EA">
        <w:rPr>
          <w:rFonts w:hint="cs"/>
          <w:rtl/>
          <w:lang w:bidi="ar-EG"/>
        </w:rPr>
        <w:t xml:space="preserve">لمدة شهرين </w:t>
      </w:r>
      <w:r w:rsidRPr="004D56EA">
        <w:rPr>
          <w:rtl/>
          <w:lang w:bidi="ar-EG"/>
        </w:rPr>
        <w:t>تنتهي في</w:t>
      </w:r>
      <w:r w:rsidRPr="004D56EA">
        <w:rPr>
          <w:rFonts w:hint="cs"/>
          <w:rtl/>
          <w:lang w:bidi="ar-EG"/>
        </w:rPr>
        <w:t xml:space="preserve"> </w:t>
      </w:r>
      <w:r w:rsidR="00503E41">
        <w:rPr>
          <w:u w:val="single"/>
          <w:lang w:bidi="ar-EG"/>
        </w:rPr>
        <w:t>5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503E41">
        <w:rPr>
          <w:rFonts w:hint="cs"/>
          <w:u w:val="single"/>
          <w:rtl/>
          <w:lang w:bidi="ar-EG"/>
        </w:rPr>
        <w:t>سبتمبر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4E2444">
        <w:rPr>
          <w:u w:val="single"/>
        </w:rPr>
        <w:t>201</w:t>
      </w:r>
      <w:r w:rsidR="00503E41">
        <w:rPr>
          <w:u w:val="single"/>
        </w:rPr>
        <w:t>7</w:t>
      </w:r>
      <w:r w:rsidRPr="004D56EA">
        <w:rPr>
          <w:rtl/>
          <w:lang w:bidi="ar-EG"/>
        </w:rPr>
        <w:t>. وإذا لم ترد أي اعتراضات من الدول الأعضاء خلال هذه الفترة</w:t>
      </w:r>
      <w:r w:rsidRPr="004D56EA">
        <w:rPr>
          <w:rFonts w:hint="cs"/>
          <w:rtl/>
          <w:lang w:bidi="ar-EG"/>
        </w:rPr>
        <w:t>، عندئذ</w:t>
      </w:r>
      <w:r w:rsidR="004E2444">
        <w:rPr>
          <w:rFonts w:hint="cs"/>
          <w:rtl/>
          <w:lang w:bidi="ar-EG"/>
        </w:rPr>
        <w:t>ٍ</w:t>
      </w:r>
      <w:r w:rsidRPr="004D56EA">
        <w:rPr>
          <w:rFonts w:hint="cs"/>
          <w:rtl/>
          <w:lang w:bidi="ar-EG"/>
        </w:rPr>
        <w:t xml:space="preserve"> يشرع في إجراء الموافقة بالتشاور المنصوص عليه في الفقرة </w:t>
      </w:r>
      <w:proofErr w:type="spellStart"/>
      <w:r w:rsidR="004E2444">
        <w:t>3.2.6.A2</w:t>
      </w:r>
      <w:proofErr w:type="spellEnd"/>
      <w:r w:rsidRPr="004D56EA">
        <w:rPr>
          <w:rFonts w:hint="cs"/>
          <w:rtl/>
          <w:lang w:bidi="ar-EG"/>
        </w:rPr>
        <w:t xml:space="preserve"> من القرار </w:t>
      </w:r>
      <w:r w:rsidRPr="004D56EA">
        <w:t>ITU-R 1-</w:t>
      </w:r>
      <w:r w:rsidR="004E2444">
        <w:t>7</w:t>
      </w:r>
      <w:r w:rsidRPr="004D56EA">
        <w:rPr>
          <w:rFonts w:hint="cs"/>
          <w:rtl/>
          <w:lang w:bidi="ar-EG"/>
        </w:rPr>
        <w:t>.</w:t>
      </w:r>
    </w:p>
    <w:p w:rsidR="004D56EA" w:rsidRDefault="004D56EA" w:rsidP="006E1BB7">
      <w:pPr>
        <w:rPr>
          <w:rtl/>
          <w:lang w:bidi="ar-EG"/>
        </w:rPr>
      </w:pPr>
      <w:r w:rsidRPr="004D56EA">
        <w:rPr>
          <w:rFonts w:hint="cs"/>
          <w:rtl/>
          <w:lang w:bidi="ar-EG"/>
        </w:rPr>
        <w:t xml:space="preserve">ويرجى من أي دولة عضو تعترض على </w:t>
      </w:r>
      <w:r w:rsidRPr="004E2444">
        <w:rPr>
          <w:rFonts w:hint="cs"/>
          <w:rtl/>
          <w:lang w:bidi="ar-EG"/>
        </w:rPr>
        <w:t>اعتماد</w:t>
      </w:r>
      <w:r w:rsidRPr="004D56EA">
        <w:rPr>
          <w:rFonts w:hint="cs"/>
          <w:rtl/>
          <w:lang w:bidi="ar-EG"/>
        </w:rPr>
        <w:t xml:space="preserve"> </w:t>
      </w:r>
      <w:r w:rsidR="006E1BB7">
        <w:rPr>
          <w:rFonts w:hint="cs"/>
          <w:rtl/>
          <w:lang w:bidi="ar-EG"/>
        </w:rPr>
        <w:t>مشروع التوصية</w:t>
      </w:r>
      <w:r w:rsidRPr="004D56EA">
        <w:rPr>
          <w:rFonts w:hint="cs"/>
          <w:rtl/>
          <w:lang w:bidi="ar-EG"/>
        </w:rPr>
        <w:t xml:space="preserve"> أن تخبر المدير ورئيس لجنة الدراسات بأسباب</w:t>
      </w:r>
      <w:r w:rsidRPr="004D56EA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اعتراضها.</w:t>
      </w:r>
    </w:p>
    <w:p w:rsidR="004D56EA" w:rsidRDefault="004D56EA" w:rsidP="006E69D5">
      <w:pPr>
        <w:pageBreakBefore/>
        <w:rPr>
          <w:rtl/>
          <w:lang w:bidi="ar-EG"/>
        </w:rPr>
      </w:pPr>
      <w:r w:rsidRPr="006E69D5">
        <w:rPr>
          <w:spacing w:val="4"/>
          <w:rtl/>
          <w:lang w:bidi="ar-EG"/>
        </w:rPr>
        <w:lastRenderedPageBreak/>
        <w:t>ويرجى من أي منظمة عضو في الاتحاد تعلم بوجود براءة اختراع لد</w:t>
      </w:r>
      <w:bookmarkStart w:id="0" w:name="_GoBack"/>
      <w:bookmarkEnd w:id="0"/>
      <w:r w:rsidRPr="006E69D5">
        <w:rPr>
          <w:spacing w:val="4"/>
          <w:rtl/>
          <w:lang w:bidi="ar-EG"/>
        </w:rPr>
        <w:t>يها أو لدى غيرها تغطي كلياً أو جزئياً عناصر مش</w:t>
      </w:r>
      <w:r w:rsidR="0035534C" w:rsidRPr="006E69D5">
        <w:rPr>
          <w:rFonts w:hint="cs"/>
          <w:spacing w:val="4"/>
          <w:rtl/>
          <w:lang w:bidi="ar-EG"/>
        </w:rPr>
        <w:t>رو</w:t>
      </w:r>
      <w:r w:rsidRPr="006E69D5">
        <w:rPr>
          <w:spacing w:val="4"/>
          <w:rtl/>
          <w:lang w:bidi="ar-EG"/>
        </w:rPr>
        <w:t>ع التوصي</w:t>
      </w:r>
      <w:r w:rsidR="0035534C" w:rsidRPr="006E69D5">
        <w:rPr>
          <w:rFonts w:hint="cs"/>
          <w:spacing w:val="4"/>
          <w:rtl/>
          <w:lang w:bidi="ar-EG"/>
        </w:rPr>
        <w:t>ة</w:t>
      </w:r>
      <w:r w:rsidRPr="004D56EA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="006E69D5">
        <w:rPr>
          <w:rFonts w:hint="cs"/>
          <w:rtl/>
          <w:lang w:bidi="ar-EG"/>
        </w:rPr>
        <w:t> </w:t>
      </w:r>
      <w:r w:rsidRPr="004D56EA">
        <w:t>"ITU</w:t>
      </w:r>
      <w:r w:rsidRPr="004D56EA">
        <w:noBreakHyphen/>
        <w:t>T/ITU</w:t>
      </w:r>
      <w:r w:rsidRPr="004D56EA">
        <w:noBreakHyphen/>
        <w:t>R/ISO/</w:t>
      </w:r>
      <w:proofErr w:type="spellStart"/>
      <w:r w:rsidRPr="004D56EA">
        <w:t>IEC</w:t>
      </w:r>
      <w:proofErr w:type="spellEnd"/>
      <w:r w:rsidRPr="004D56EA">
        <w:t>"</w:t>
      </w:r>
      <w:r w:rsidRPr="004D56EA">
        <w:rPr>
          <w:rtl/>
          <w:lang w:bidi="ar-EG"/>
        </w:rPr>
        <w:t xml:space="preserve"> في الموقع الإلكتروني</w:t>
      </w:r>
      <w:r w:rsidRPr="004D56EA">
        <w:rPr>
          <w:rFonts w:hint="cs"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hyperlink r:id="rId8" w:history="1">
        <w:r w:rsidR="006E69D5" w:rsidRPr="006E69D5">
          <w:rPr>
            <w:rStyle w:val="Hyperlink"/>
          </w:rPr>
          <w:t>http://</w:t>
        </w:r>
        <w:proofErr w:type="spellStart"/>
        <w:r w:rsidR="006E69D5" w:rsidRPr="006E69D5">
          <w:rPr>
            <w:rStyle w:val="Hyperlink"/>
          </w:rPr>
          <w:t>www.itu.int</w:t>
        </w:r>
        <w:proofErr w:type="spellEnd"/>
        <w:r w:rsidR="006E69D5" w:rsidRPr="006E69D5">
          <w:rPr>
            <w:rStyle w:val="Hyperlink"/>
          </w:rPr>
          <w:t>/</w:t>
        </w:r>
        <w:proofErr w:type="spellStart"/>
        <w:r w:rsidR="006E69D5" w:rsidRPr="006E69D5">
          <w:rPr>
            <w:rStyle w:val="Hyperlink"/>
          </w:rPr>
          <w:t>en</w:t>
        </w:r>
        <w:proofErr w:type="spellEnd"/>
        <w:r w:rsidR="006E69D5" w:rsidRPr="006E69D5">
          <w:rPr>
            <w:rStyle w:val="Hyperlink"/>
          </w:rPr>
          <w:t>/ITU-T/</w:t>
        </w:r>
        <w:proofErr w:type="spellStart"/>
        <w:r w:rsidR="006E69D5" w:rsidRPr="006E69D5">
          <w:rPr>
            <w:rStyle w:val="Hyperlink"/>
          </w:rPr>
          <w:t>ipr</w:t>
        </w:r>
        <w:proofErr w:type="spellEnd"/>
        <w:r w:rsidR="006E69D5" w:rsidRPr="006E69D5">
          <w:rPr>
            <w:rStyle w:val="Hyperlink"/>
          </w:rPr>
          <w:t>/Pages/</w:t>
        </w:r>
        <w:proofErr w:type="spellStart"/>
        <w:r w:rsidR="006E69D5" w:rsidRPr="006E69D5">
          <w:rPr>
            <w:rStyle w:val="Hyperlink"/>
          </w:rPr>
          <w:t>policy.aspx</w:t>
        </w:r>
        <w:proofErr w:type="spellEnd"/>
      </w:hyperlink>
      <w:r w:rsidRPr="004D56EA">
        <w:rPr>
          <w:rtl/>
          <w:lang w:bidi="ar-EG"/>
        </w:rPr>
        <w:t>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>
        <w:rPr>
          <w:rFonts w:hint="cs"/>
          <w:rtl/>
        </w:rPr>
        <w:t>المدير</w:t>
      </w:r>
    </w:p>
    <w:p w:rsidR="004D56EA" w:rsidRPr="004D56EA" w:rsidRDefault="004D56EA" w:rsidP="00124A12">
      <w:pPr>
        <w:spacing w:before="600"/>
        <w:rPr>
          <w:rtl/>
          <w:lang w:bidi="ar-EG"/>
        </w:rPr>
      </w:pPr>
      <w:r w:rsidRPr="00B90AF1">
        <w:rPr>
          <w:rFonts w:hint="cs"/>
          <w:b/>
          <w:bCs/>
          <w:rtl/>
          <w:lang w:bidi="ar-EG"/>
        </w:rPr>
        <w:t>الملحق</w:t>
      </w:r>
      <w:r w:rsidRPr="00B90AF1">
        <w:rPr>
          <w:b/>
          <w:bCs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ab/>
      </w:r>
      <w:r w:rsidR="006E1BB7">
        <w:rPr>
          <w:rFonts w:hint="cs"/>
          <w:rtl/>
          <w:lang w:bidi="ar-EG"/>
        </w:rPr>
        <w:t>عنوان مشروع التوصية</w:t>
      </w:r>
      <w:r w:rsidRPr="004D56EA">
        <w:rPr>
          <w:rFonts w:hint="cs"/>
          <w:rtl/>
          <w:lang w:bidi="ar-EG"/>
        </w:rPr>
        <w:t xml:space="preserve"> وملخصها</w:t>
      </w:r>
    </w:p>
    <w:p w:rsidR="004D56EA" w:rsidRPr="004D56EA" w:rsidRDefault="00124A12" w:rsidP="00205C02">
      <w:pPr>
        <w:spacing w:before="600"/>
        <w:rPr>
          <w:rtl/>
        </w:rPr>
      </w:pPr>
      <w:proofErr w:type="gramStart"/>
      <w:r>
        <w:rPr>
          <w:rFonts w:hint="cs"/>
          <w:b/>
          <w:bCs/>
          <w:rtl/>
          <w:lang w:bidi="ar-EG"/>
        </w:rPr>
        <w:t>الوثيقة</w:t>
      </w:r>
      <w:r w:rsidR="004D56EA" w:rsidRPr="00B90AF1">
        <w:rPr>
          <w:rFonts w:hint="cs"/>
          <w:b/>
          <w:bCs/>
          <w:rtl/>
          <w:lang w:bidi="ar-EG"/>
        </w:rPr>
        <w:t>:</w:t>
      </w:r>
      <w:r w:rsidR="00AD38FD">
        <w:rPr>
          <w:rtl/>
          <w:lang w:bidi="ar-EG"/>
        </w:rPr>
        <w:tab/>
      </w:r>
      <w:proofErr w:type="gramEnd"/>
      <w:r w:rsidR="006E1BB7">
        <w:t>1</w:t>
      </w:r>
      <w:r w:rsidR="004D56EA" w:rsidRPr="004D56EA">
        <w:t>/</w:t>
      </w:r>
      <w:r w:rsidR="006E1BB7">
        <w:t>80</w:t>
      </w:r>
      <w:r w:rsidR="004D56EA" w:rsidRPr="004D56EA">
        <w:t>(</w:t>
      </w:r>
      <w:proofErr w:type="spellStart"/>
      <w:r w:rsidR="004D56EA" w:rsidRPr="004D56EA">
        <w:t>Rev.1</w:t>
      </w:r>
      <w:proofErr w:type="spellEnd"/>
      <w:r w:rsidR="004D56EA" w:rsidRPr="004D56EA">
        <w:t>)</w:t>
      </w:r>
    </w:p>
    <w:p w:rsidR="004D56EA" w:rsidRPr="006E1BB7" w:rsidRDefault="004D56EA" w:rsidP="006D78C3">
      <w:pPr>
        <w:rPr>
          <w:rtl/>
        </w:rPr>
      </w:pPr>
      <w:r w:rsidRPr="004D56EA">
        <w:rPr>
          <w:rFonts w:hint="cs"/>
          <w:rtl/>
        </w:rPr>
        <w:t>وتتاح نسخ</w:t>
      </w:r>
      <w:r w:rsidR="00184EC6">
        <w:rPr>
          <w:rFonts w:hint="cs"/>
          <w:rtl/>
        </w:rPr>
        <w:t>ة</w:t>
      </w:r>
      <w:r w:rsidRPr="004D56EA">
        <w:rPr>
          <w:rFonts w:hint="cs"/>
          <w:rtl/>
        </w:rPr>
        <w:t xml:space="preserve"> إلكترونية من هذه </w:t>
      </w:r>
      <w:r w:rsidR="006E1BB7">
        <w:rPr>
          <w:rFonts w:hint="cs"/>
          <w:rtl/>
        </w:rPr>
        <w:t>الوثيقة</w:t>
      </w:r>
      <w:r w:rsidRPr="004D56EA">
        <w:rPr>
          <w:rFonts w:hint="cs"/>
          <w:rtl/>
        </w:rPr>
        <w:t xml:space="preserve"> في</w:t>
      </w:r>
      <w:r w:rsidR="00B90AF1">
        <w:rPr>
          <w:rFonts w:hint="cs"/>
          <w:rtl/>
        </w:rPr>
        <w:t xml:space="preserve">: </w:t>
      </w:r>
      <w:hyperlink r:id="rId9" w:history="1">
        <w:r w:rsidR="006D78C3" w:rsidRPr="006D78C3">
          <w:rPr>
            <w:rStyle w:val="Hyperlink"/>
          </w:rPr>
          <w:t>https://</w:t>
        </w:r>
        <w:proofErr w:type="spellStart"/>
        <w:r w:rsidR="006D78C3" w:rsidRPr="006D78C3">
          <w:rPr>
            <w:rStyle w:val="Hyperlink"/>
          </w:rPr>
          <w:t>www.itu.int</w:t>
        </w:r>
        <w:proofErr w:type="spellEnd"/>
        <w:r w:rsidR="006D78C3" w:rsidRPr="006D78C3">
          <w:rPr>
            <w:rStyle w:val="Hyperlink"/>
          </w:rPr>
          <w:t>/md/</w:t>
        </w:r>
        <w:proofErr w:type="spellStart"/>
        <w:r w:rsidR="006D78C3" w:rsidRPr="006D78C3">
          <w:rPr>
            <w:rStyle w:val="Hyperlink"/>
          </w:rPr>
          <w:t>R15</w:t>
        </w:r>
        <w:proofErr w:type="spellEnd"/>
        <w:r w:rsidR="006D78C3" w:rsidRPr="006D78C3">
          <w:rPr>
            <w:rStyle w:val="Hyperlink"/>
          </w:rPr>
          <w:t>-</w:t>
        </w:r>
        <w:proofErr w:type="spellStart"/>
        <w:r w:rsidR="006D78C3" w:rsidRPr="006D78C3">
          <w:rPr>
            <w:rStyle w:val="Hyperlink"/>
          </w:rPr>
          <w:t>SG01</w:t>
        </w:r>
        <w:proofErr w:type="spellEnd"/>
        <w:r w:rsidR="006D78C3" w:rsidRPr="006D78C3">
          <w:rPr>
            <w:rStyle w:val="Hyperlink"/>
          </w:rPr>
          <w:t>-C/</w:t>
        </w:r>
        <w:proofErr w:type="spellStart"/>
        <w:r w:rsidR="006D78C3" w:rsidRPr="006D78C3">
          <w:rPr>
            <w:rStyle w:val="Hyperlink"/>
          </w:rPr>
          <w:t>en</w:t>
        </w:r>
        <w:proofErr w:type="spellEnd"/>
      </w:hyperlink>
    </w:p>
    <w:p w:rsidR="005C771D" w:rsidRPr="00F078FB" w:rsidRDefault="005C771D" w:rsidP="00082094">
      <w:pPr>
        <w:tabs>
          <w:tab w:val="clear" w:pos="794"/>
          <w:tab w:val="left" w:pos="283"/>
        </w:tabs>
        <w:spacing w:before="4440"/>
        <w:jc w:val="left"/>
        <w:rPr>
          <w:sz w:val="18"/>
          <w:szCs w:val="24"/>
          <w:rtl/>
          <w:lang w:bidi="ar-EG"/>
        </w:rPr>
      </w:pPr>
      <w:r w:rsidRPr="00F078FB">
        <w:rPr>
          <w:b/>
          <w:bCs/>
          <w:sz w:val="18"/>
          <w:szCs w:val="24"/>
          <w:rtl/>
          <w:lang w:bidi="ar-EG"/>
        </w:rPr>
        <w:t>التوزيع</w:t>
      </w:r>
      <w:r w:rsidRPr="00F078FB">
        <w:rPr>
          <w:sz w:val="18"/>
          <w:szCs w:val="24"/>
          <w:rtl/>
          <w:lang w:bidi="ar-EG"/>
        </w:rPr>
        <w:t>:</w:t>
      </w:r>
    </w:p>
    <w:p w:rsidR="004D56EA" w:rsidRPr="00F078FB" w:rsidRDefault="004D56EA" w:rsidP="00F078FB">
      <w:pPr>
        <w:tabs>
          <w:tab w:val="left" w:pos="425"/>
        </w:tabs>
        <w:spacing w:line="168" w:lineRule="auto"/>
        <w:rPr>
          <w:sz w:val="18"/>
          <w:szCs w:val="24"/>
          <w:rtl/>
          <w:lang w:val="fr-CH" w:bidi="ar-EG"/>
        </w:rPr>
      </w:pPr>
      <w:r w:rsidRPr="00F078FB">
        <w:rPr>
          <w:rFonts w:hint="cs"/>
          <w:sz w:val="18"/>
          <w:szCs w:val="24"/>
          <w:rtl/>
          <w:lang w:bidi="ar-EG"/>
        </w:rPr>
        <w:t>-</w:t>
      </w:r>
      <w:r w:rsidRPr="00F078FB">
        <w:rPr>
          <w:rFonts w:hint="cs"/>
          <w:sz w:val="18"/>
          <w:szCs w:val="24"/>
          <w:rtl/>
          <w:lang w:bidi="ar-EG"/>
        </w:rPr>
        <w:tab/>
      </w:r>
      <w:r w:rsidRPr="00F078FB">
        <w:rPr>
          <w:sz w:val="18"/>
          <w:szCs w:val="24"/>
          <w:rtl/>
          <w:lang w:bidi="ar-EG"/>
        </w:rPr>
        <w:t>إدارات الدول الأعضاء</w:t>
      </w:r>
      <w:r w:rsidRPr="00F078FB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F078FB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F078FB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="006E1BB7" w:rsidRPr="00F078FB">
        <w:rPr>
          <w:sz w:val="18"/>
          <w:szCs w:val="24"/>
          <w:lang w:val="fr-CH" w:bidi="ar-EG"/>
        </w:rPr>
        <w:t>1</w:t>
      </w:r>
      <w:r w:rsidRPr="00F078FB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4D56EA" w:rsidRPr="00F078FB" w:rsidRDefault="004D56EA" w:rsidP="006E1BB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F078FB">
        <w:rPr>
          <w:sz w:val="18"/>
          <w:szCs w:val="24"/>
          <w:rtl/>
          <w:lang w:bidi="ar-EG"/>
        </w:rPr>
        <w:t>-</w:t>
      </w:r>
      <w:r w:rsidRPr="00F078FB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6E1BB7" w:rsidRPr="00F078FB">
        <w:rPr>
          <w:sz w:val="18"/>
          <w:szCs w:val="24"/>
          <w:lang w:bidi="ar-EG"/>
        </w:rPr>
        <w:t>1</w:t>
      </w:r>
      <w:r w:rsidRPr="00F078FB">
        <w:rPr>
          <w:sz w:val="18"/>
          <w:szCs w:val="24"/>
          <w:rtl/>
          <w:lang w:bidi="ar-EG"/>
        </w:rPr>
        <w:t xml:space="preserve"> للاتصالات الراديوية</w:t>
      </w:r>
    </w:p>
    <w:p w:rsidR="004D56EA" w:rsidRPr="00F078FB" w:rsidRDefault="004D56EA" w:rsidP="004D56EA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F078FB">
        <w:rPr>
          <w:rFonts w:hint="cs"/>
          <w:sz w:val="18"/>
          <w:szCs w:val="24"/>
          <w:rtl/>
          <w:lang w:bidi="ar-EG"/>
        </w:rPr>
        <w:t>-</w:t>
      </w:r>
      <w:r w:rsidRPr="00F078FB">
        <w:rPr>
          <w:rFonts w:hint="cs"/>
          <w:sz w:val="18"/>
          <w:szCs w:val="24"/>
          <w:rtl/>
          <w:lang w:bidi="ar-EG"/>
        </w:rPr>
        <w:tab/>
      </w:r>
      <w:r w:rsidRPr="00F078FB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4D56EA" w:rsidRPr="00F078FB" w:rsidRDefault="004D56EA" w:rsidP="00645E55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F078FB">
        <w:rPr>
          <w:sz w:val="18"/>
          <w:szCs w:val="24"/>
          <w:rtl/>
          <w:lang w:bidi="ar-EG"/>
        </w:rPr>
        <w:t>-</w:t>
      </w:r>
      <w:r w:rsidRPr="00F078FB">
        <w:rPr>
          <w:sz w:val="18"/>
          <w:szCs w:val="24"/>
          <w:rtl/>
          <w:lang w:bidi="ar-EG"/>
        </w:rPr>
        <w:tab/>
      </w:r>
      <w:r w:rsidR="00E57387" w:rsidRPr="00F078FB">
        <w:rPr>
          <w:rFonts w:hint="cs"/>
          <w:sz w:val="18"/>
          <w:szCs w:val="24"/>
          <w:rtl/>
          <w:lang w:bidi="ar-EG"/>
        </w:rPr>
        <w:t>رؤساء لجان دراسات الاتصالات الراديوية ونوابهم</w:t>
      </w:r>
    </w:p>
    <w:p w:rsidR="00E57387" w:rsidRPr="00F078FB" w:rsidRDefault="00E57387" w:rsidP="00E5738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F078FB">
        <w:rPr>
          <w:rFonts w:hint="cs"/>
          <w:sz w:val="18"/>
          <w:szCs w:val="24"/>
          <w:rtl/>
          <w:lang w:bidi="ar-EG"/>
        </w:rPr>
        <w:t>-</w:t>
      </w:r>
      <w:r w:rsidRPr="00F078FB">
        <w:rPr>
          <w:sz w:val="18"/>
          <w:szCs w:val="24"/>
          <w:rtl/>
          <w:lang w:bidi="ar-EG"/>
        </w:rPr>
        <w:tab/>
      </w:r>
      <w:r w:rsidRPr="00F078FB">
        <w:rPr>
          <w:rFonts w:hint="cs"/>
          <w:sz w:val="18"/>
          <w:szCs w:val="24"/>
          <w:rtl/>
          <w:lang w:bidi="ar-EG"/>
        </w:rPr>
        <w:t>رئيس الاجتماع التحضيري للمؤتمر ونوابه</w:t>
      </w:r>
    </w:p>
    <w:p w:rsidR="00E57387" w:rsidRPr="00F078FB" w:rsidRDefault="00E57387" w:rsidP="00E5738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F078FB">
        <w:rPr>
          <w:rFonts w:hint="cs"/>
          <w:sz w:val="18"/>
          <w:szCs w:val="24"/>
          <w:rtl/>
          <w:lang w:bidi="ar-EG"/>
        </w:rPr>
        <w:t>-</w:t>
      </w:r>
      <w:r w:rsidRPr="00F078FB">
        <w:rPr>
          <w:rFonts w:hint="cs"/>
          <w:sz w:val="18"/>
          <w:szCs w:val="24"/>
          <w:rtl/>
          <w:lang w:bidi="ar-EG"/>
        </w:rPr>
        <w:tab/>
        <w:t>أعضاء لجنة لوائح الراديو</w:t>
      </w:r>
    </w:p>
    <w:p w:rsidR="004D56EA" w:rsidRPr="00F078FB" w:rsidRDefault="004D56EA" w:rsidP="004D56EA">
      <w:pPr>
        <w:tabs>
          <w:tab w:val="left" w:pos="425"/>
        </w:tabs>
        <w:spacing w:before="0" w:line="168" w:lineRule="auto"/>
        <w:rPr>
          <w:sz w:val="18"/>
          <w:szCs w:val="24"/>
          <w:lang w:bidi="ar-EG"/>
        </w:rPr>
      </w:pPr>
      <w:r w:rsidRPr="00F078FB">
        <w:rPr>
          <w:sz w:val="18"/>
          <w:szCs w:val="24"/>
          <w:rtl/>
          <w:lang w:bidi="ar-EG"/>
        </w:rPr>
        <w:t>-</w:t>
      </w:r>
      <w:r w:rsidRPr="00F078FB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4D56EA" w:rsidRPr="004D56EA" w:rsidRDefault="004D7B0B" w:rsidP="00082094">
      <w:pPr>
        <w:pStyle w:val="AnnexNo"/>
        <w:rPr>
          <w:rtl/>
        </w:rPr>
      </w:pPr>
      <w:r>
        <w:rPr>
          <w:rFonts w:hint="cs"/>
          <w:rtl/>
        </w:rPr>
        <w:lastRenderedPageBreak/>
        <w:t>الملحـق</w:t>
      </w:r>
    </w:p>
    <w:p w:rsidR="004D56EA" w:rsidRPr="004D56EA" w:rsidRDefault="006E1BB7" w:rsidP="00082094">
      <w:pPr>
        <w:pStyle w:val="Annextitle"/>
        <w:rPr>
          <w:rtl/>
          <w:lang w:bidi="ar-EG"/>
        </w:rPr>
      </w:pPr>
      <w:r>
        <w:rPr>
          <w:rFonts w:hint="cs"/>
          <w:rtl/>
        </w:rPr>
        <w:t>عنوان مشروع التوصية وملخصها</w:t>
      </w:r>
    </w:p>
    <w:p w:rsidR="004D56EA" w:rsidRPr="004D56EA" w:rsidRDefault="004D56EA" w:rsidP="0029541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rPr>
          <w:rtl/>
          <w:lang w:bidi="ar-EG"/>
        </w:rPr>
      </w:pPr>
      <w:r w:rsidRPr="004D56EA">
        <w:rPr>
          <w:rFonts w:hint="cs"/>
          <w:u w:val="single"/>
          <w:rtl/>
        </w:rPr>
        <w:t>مشروع</w:t>
      </w:r>
      <w:r w:rsidRPr="004D56EA">
        <w:rPr>
          <w:rFonts w:hint="cs"/>
          <w:u w:val="single"/>
          <w:rtl/>
          <w:lang w:bidi="ar-SY"/>
        </w:rPr>
        <w:t xml:space="preserve"> مراجعة التوصية </w:t>
      </w:r>
      <w:r w:rsidRPr="004D56EA">
        <w:rPr>
          <w:u w:val="single"/>
        </w:rPr>
        <w:t>ITU-R</w:t>
      </w:r>
      <w:r w:rsidR="00C86064">
        <w:rPr>
          <w:u w:val="single"/>
        </w:rPr>
        <w:t> </w:t>
      </w:r>
      <w:proofErr w:type="spellStart"/>
      <w:r w:rsidR="002B3FFE">
        <w:rPr>
          <w:u w:val="single"/>
        </w:rPr>
        <w:t>SM.1268</w:t>
      </w:r>
      <w:proofErr w:type="spellEnd"/>
      <w:r w:rsidR="002B3FFE">
        <w:rPr>
          <w:u w:val="single"/>
        </w:rPr>
        <w:t>-3</w:t>
      </w:r>
      <w:r w:rsidRPr="004D56EA">
        <w:rPr>
          <w:rFonts w:hint="cs"/>
          <w:rtl/>
          <w:lang w:bidi="ar-EG"/>
        </w:rPr>
        <w:tab/>
        <w:t>الوثيقة</w:t>
      </w:r>
      <w:r w:rsidR="0029541E">
        <w:rPr>
          <w:rFonts w:hint="eastAsia"/>
          <w:rtl/>
          <w:lang w:bidi="ar-EG"/>
        </w:rPr>
        <w:t> </w:t>
      </w:r>
      <w:r w:rsidR="005E4FCB" w:rsidRPr="005E4FCB">
        <w:t>1/80(</w:t>
      </w:r>
      <w:proofErr w:type="spellStart"/>
      <w:r w:rsidR="005E4FCB" w:rsidRPr="005E4FCB">
        <w:t>Rev.1</w:t>
      </w:r>
      <w:proofErr w:type="spellEnd"/>
      <w:r w:rsidR="005E4FCB" w:rsidRPr="005E4FCB">
        <w:t>)</w:t>
      </w:r>
    </w:p>
    <w:p w:rsidR="004D56EA" w:rsidRPr="004D56EA" w:rsidRDefault="00216C74" w:rsidP="00124A12">
      <w:pPr>
        <w:pStyle w:val="Rectitle"/>
        <w:spacing w:before="360"/>
        <w:rPr>
          <w:rtl/>
        </w:rPr>
      </w:pPr>
      <w:r w:rsidRPr="000408C8">
        <w:rPr>
          <w:rtl/>
        </w:rPr>
        <w:t>أسلوب قياس الانحراف الأقصى لتردد البث الإذاعي</w:t>
      </w:r>
      <w:r>
        <w:rPr>
          <w:rtl/>
        </w:rPr>
        <w:br/>
      </w:r>
      <w:r w:rsidRPr="000408C8">
        <w:rPr>
          <w:rFonts w:hint="cs"/>
          <w:rtl/>
        </w:rPr>
        <w:t>بتشكيل التردد</w:t>
      </w:r>
      <w:r>
        <w:rPr>
          <w:rFonts w:hint="eastAsia"/>
          <w:rtl/>
        </w:rPr>
        <w:t> </w:t>
      </w:r>
      <w:r w:rsidRPr="000408C8">
        <w:t>(FM)</w:t>
      </w:r>
      <w:r>
        <w:rPr>
          <w:rFonts w:hint="cs"/>
          <w:rtl/>
        </w:rPr>
        <w:t xml:space="preserve"> </w:t>
      </w:r>
      <w:r w:rsidRPr="000408C8">
        <w:rPr>
          <w:rFonts w:hint="cs"/>
          <w:rtl/>
        </w:rPr>
        <w:t>في</w:t>
      </w:r>
      <w:r w:rsidRPr="000408C8">
        <w:rPr>
          <w:rFonts w:hint="eastAsia"/>
          <w:rtl/>
        </w:rPr>
        <w:t> </w:t>
      </w:r>
      <w:r w:rsidRPr="000408C8">
        <w:rPr>
          <w:rtl/>
        </w:rPr>
        <w:t>محطات</w:t>
      </w:r>
      <w:r>
        <w:rPr>
          <w:rFonts w:hint="eastAsia"/>
          <w:rtl/>
        </w:rPr>
        <w:t> </w:t>
      </w:r>
      <w:r w:rsidRPr="000408C8">
        <w:rPr>
          <w:rtl/>
        </w:rPr>
        <w:t>المراقبة</w:t>
      </w:r>
    </w:p>
    <w:p w:rsidR="007B4383" w:rsidRDefault="00F37484" w:rsidP="00DF2AC4">
      <w:pPr>
        <w:rPr>
          <w:rtl/>
          <w:lang w:bidi="ar-EG"/>
        </w:rPr>
      </w:pPr>
      <w:r>
        <w:rPr>
          <w:rFonts w:hint="cs"/>
          <w:rtl/>
          <w:lang w:bidi="ar-EG"/>
        </w:rPr>
        <w:t>تقدم هذه التوصية أسلوب قياس موحداً يمكّن الإدارات من إقرار نتائج القياس المتصلة بانحراف تردد البث الإذاعي بتشكيل التردد على أساس متبادل.</w:t>
      </w:r>
    </w:p>
    <w:p w:rsidR="005C771D" w:rsidRDefault="007B4383" w:rsidP="00DF2AC4">
      <w:pPr>
        <w:rPr>
          <w:rtl/>
          <w:lang w:bidi="ar-EG"/>
        </w:rPr>
      </w:pPr>
      <w:r>
        <w:rPr>
          <w:rFonts w:hint="cs"/>
          <w:rtl/>
          <w:lang w:bidi="ar-EG"/>
        </w:rPr>
        <w:t>والغرض من مراجعة هذه التوصية تحسين فهم النص و</w:t>
      </w:r>
      <w:r w:rsidRPr="007B4383">
        <w:rPr>
          <w:rFonts w:hint="cs"/>
          <w:rtl/>
          <w:lang w:bidi="ar-EG"/>
        </w:rPr>
        <w:t>تجنب</w:t>
      </w:r>
      <w:r w:rsidRPr="007B4383">
        <w:rPr>
          <w:rtl/>
          <w:lang w:bidi="ar-EG"/>
        </w:rPr>
        <w:t xml:space="preserve"> </w:t>
      </w:r>
      <w:r w:rsidRPr="007B4383">
        <w:rPr>
          <w:rFonts w:hint="cs"/>
          <w:rtl/>
          <w:lang w:bidi="ar-EG"/>
        </w:rPr>
        <w:t>أي</w:t>
      </w:r>
      <w:r w:rsidRPr="007B4383">
        <w:rPr>
          <w:rtl/>
          <w:lang w:bidi="ar-EG"/>
        </w:rPr>
        <w:t xml:space="preserve"> </w:t>
      </w:r>
      <w:r w:rsidRPr="007B4383">
        <w:rPr>
          <w:rFonts w:hint="cs"/>
          <w:rtl/>
          <w:lang w:bidi="ar-EG"/>
        </w:rPr>
        <w:t>غموض</w:t>
      </w:r>
      <w:r w:rsidRPr="007B4383">
        <w:rPr>
          <w:rtl/>
          <w:lang w:bidi="ar-EG"/>
        </w:rPr>
        <w:t xml:space="preserve"> </w:t>
      </w:r>
      <w:r w:rsidRPr="007B4383">
        <w:rPr>
          <w:rFonts w:hint="cs"/>
          <w:rtl/>
          <w:lang w:bidi="ar-EG"/>
        </w:rPr>
        <w:t>وتصحيح</w:t>
      </w:r>
      <w:r w:rsidRPr="007B4383">
        <w:rPr>
          <w:rtl/>
          <w:lang w:bidi="ar-EG"/>
        </w:rPr>
        <w:t xml:space="preserve"> </w:t>
      </w:r>
      <w:r w:rsidRPr="007B4383">
        <w:rPr>
          <w:rFonts w:hint="cs"/>
          <w:rtl/>
          <w:lang w:bidi="ar-EG"/>
        </w:rPr>
        <w:t>تصميم</w:t>
      </w:r>
      <w:r w:rsidRPr="007B4383">
        <w:rPr>
          <w:rtl/>
          <w:lang w:bidi="ar-EG"/>
        </w:rPr>
        <w:t xml:space="preserve"> </w:t>
      </w:r>
      <w:r w:rsidRPr="007B4383">
        <w:rPr>
          <w:rFonts w:hint="cs"/>
          <w:rtl/>
          <w:lang w:bidi="ar-EG"/>
        </w:rPr>
        <w:t>الشكل</w:t>
      </w:r>
      <w:r w:rsidR="00F37484">
        <w:rPr>
          <w:rFonts w:hint="cs"/>
          <w:rtl/>
          <w:lang w:bidi="ar-EG"/>
        </w:rPr>
        <w:t xml:space="preserve">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>.</w:t>
      </w:r>
    </w:p>
    <w:p w:rsidR="007B4383" w:rsidRPr="007B4383" w:rsidRDefault="007B4383" w:rsidP="00DF2AC4">
      <w:pPr>
        <w:rPr>
          <w:rtl/>
        </w:rPr>
      </w:pPr>
      <w:r>
        <w:rPr>
          <w:rFonts w:hint="cs"/>
          <w:rtl/>
          <w:lang w:bidi="ar-EG"/>
        </w:rPr>
        <w:t xml:space="preserve">وجدير بالإشارة أن مراجعة </w:t>
      </w:r>
      <w:r>
        <w:rPr>
          <w:color w:val="000000"/>
          <w:rtl/>
        </w:rPr>
        <w:t>التوصية</w:t>
      </w:r>
      <w:r>
        <w:rPr>
          <w:rFonts w:hint="cs"/>
          <w:color w:val="000000"/>
          <w:rtl/>
        </w:rPr>
        <w:t xml:space="preserve"> المقابلة</w:t>
      </w:r>
      <w:r>
        <w:rPr>
          <w:color w:val="000000"/>
          <w:rtl/>
        </w:rPr>
        <w:t xml:space="preserve"> </w:t>
      </w:r>
      <w:r>
        <w:rPr>
          <w:color w:val="000000"/>
        </w:rPr>
        <w:t>54-01</w:t>
      </w:r>
      <w:r>
        <w:rPr>
          <w:color w:val="000000"/>
          <w:rtl/>
        </w:rPr>
        <w:t xml:space="preserve"> للجنة الاتصالات الراديوية الأوروبية</w:t>
      </w:r>
      <w:r w:rsidR="00184EC6">
        <w:rPr>
          <w:rFonts w:hint="cs"/>
          <w:color w:val="000000"/>
          <w:rtl/>
        </w:rPr>
        <w:t xml:space="preserve"> قد</w:t>
      </w:r>
      <w:r>
        <w:rPr>
          <w:rFonts w:hint="cs"/>
          <w:rtl/>
        </w:rPr>
        <w:t xml:space="preserve"> نُفذت بالفعل.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74" w:rsidRDefault="00216C74" w:rsidP="00F36590">
      <w:pPr>
        <w:spacing w:before="0" w:line="240" w:lineRule="auto"/>
      </w:pPr>
      <w:r>
        <w:separator/>
      </w:r>
    </w:p>
  </w:endnote>
  <w:endnote w:type="continuationSeparator" w:id="0">
    <w:p w:rsidR="00216C74" w:rsidRDefault="00216C74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C0" w:rsidRPr="002B09C0" w:rsidRDefault="002B09C0" w:rsidP="002B09C0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eastAsia="en-US"/>
      </w:rPr>
    </w:pPr>
    <w:r w:rsidRPr="002B09C0">
      <w:rPr>
        <w:rFonts w:eastAsia="Times New Roman" w:cs="Calibri"/>
        <w:sz w:val="18"/>
        <w:szCs w:val="18"/>
        <w:lang w:eastAsia="en-US"/>
      </w:rPr>
      <w:t>International Telecommunication Union • Place des Nations • CH</w:t>
    </w:r>
    <w:r w:rsidRPr="002B09C0">
      <w:rPr>
        <w:rFonts w:eastAsia="Times New Roman" w:cs="Calibri"/>
        <w:sz w:val="18"/>
        <w:szCs w:val="18"/>
        <w:lang w:eastAsia="en-US"/>
      </w:rPr>
      <w:noBreakHyphen/>
      <w:t xml:space="preserve">1211 Geneva 20 • Switzerland </w:t>
    </w:r>
    <w:r w:rsidRPr="002B09C0">
      <w:rPr>
        <w:rFonts w:eastAsia="Times New Roman" w:cs="Calibri"/>
        <w:sz w:val="18"/>
        <w:szCs w:val="18"/>
        <w:lang w:eastAsia="en-US"/>
      </w:rPr>
      <w:br/>
      <w:t xml:space="preserve">Tel: +41 22 730 5111 • Fax: +41 22 733 7256 • E-mail: </w:t>
    </w:r>
    <w:hyperlink r:id="rId1" w:history="1">
      <w:proofErr w:type="spellStart"/>
      <w:r w:rsidRPr="002B09C0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itumail@itu.int</w:t>
      </w:r>
      <w:proofErr w:type="spellEnd"/>
    </w:hyperlink>
    <w:r w:rsidRPr="002B09C0">
      <w:rPr>
        <w:rFonts w:eastAsia="Times New Roman" w:cs="Calibri"/>
        <w:sz w:val="18"/>
        <w:szCs w:val="18"/>
        <w:lang w:eastAsia="en-US"/>
      </w:rPr>
      <w:t xml:space="preserve"> • </w:t>
    </w:r>
    <w:hyperlink r:id="rId2" w:history="1">
      <w:proofErr w:type="spellStart"/>
      <w:r w:rsidRPr="002B09C0">
        <w:rPr>
          <w:rFonts w:eastAsia="Times New Roman" w:cs="Calibri"/>
          <w:color w:val="0000FF"/>
          <w:sz w:val="18"/>
          <w:szCs w:val="18"/>
          <w:u w:val="single"/>
          <w:lang w:eastAsia="en-US"/>
        </w:rPr>
        <w:t>www.itu.int</w:t>
      </w:r>
      <w:proofErr w:type="spellEnd"/>
    </w:hyperlink>
    <w:r w:rsidRPr="002B09C0">
      <w:rPr>
        <w:rFonts w:eastAsia="Times New Roman" w:cs="Calibri"/>
        <w:sz w:val="18"/>
        <w:szCs w:val="18"/>
        <w:lang w:eastAsia="en-US"/>
      </w:rPr>
      <w:t xml:space="preserve"> •</w:t>
    </w:r>
  </w:p>
  <w:p w:rsidR="002B09C0" w:rsidRPr="002B09C0" w:rsidRDefault="002B09C0" w:rsidP="002B09C0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</w:rPr>
    </w:pPr>
    <w:r w:rsidRPr="002B09C0">
      <w:rPr>
        <w:rFonts w:eastAsia="SimSun" w:cs="Times New Roman"/>
        <w:b/>
        <w:bCs/>
        <w:color w:val="1F497D"/>
        <w:sz w:val="18"/>
        <w:szCs w:val="18"/>
      </w:rPr>
      <w:t>90</w:t>
    </w:r>
    <w:r w:rsidRPr="002B09C0">
      <w:rPr>
        <w:rFonts w:eastAsia="SimSun" w:cs="Times New Roman"/>
        <w:b/>
        <w:bCs/>
        <w:color w:val="1F497D"/>
        <w:sz w:val="18"/>
        <w:szCs w:val="18"/>
        <w:vertAlign w:val="superscript"/>
      </w:rPr>
      <w:t>th</w:t>
    </w:r>
    <w:r w:rsidRPr="002B09C0">
      <w:rPr>
        <w:rFonts w:eastAsia="SimSun" w:cs="Times New Roman"/>
        <w:b/>
        <w:bCs/>
        <w:color w:val="1F497D"/>
        <w:sz w:val="18"/>
        <w:szCs w:val="18"/>
      </w:rPr>
      <w:t xml:space="preserve"> anniversary of the </w:t>
    </w:r>
    <w:proofErr w:type="spellStart"/>
    <w:r w:rsidRPr="002B09C0">
      <w:rPr>
        <w:rFonts w:eastAsia="SimSun" w:cs="Times New Roman"/>
        <w:b/>
        <w:bCs/>
        <w:color w:val="1F497D"/>
        <w:sz w:val="18"/>
        <w:szCs w:val="18"/>
      </w:rPr>
      <w:t>CCIR</w:t>
    </w:r>
    <w:proofErr w:type="spellEnd"/>
    <w:r w:rsidRPr="002B09C0">
      <w:rPr>
        <w:rFonts w:eastAsia="SimSun" w:cs="Times New Roman"/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74" w:rsidRDefault="00216C74" w:rsidP="00F36590">
      <w:pPr>
        <w:spacing w:before="0" w:line="240" w:lineRule="auto"/>
      </w:pPr>
      <w:r>
        <w:separator/>
      </w:r>
    </w:p>
  </w:footnote>
  <w:footnote w:type="continuationSeparator" w:id="0">
    <w:p w:rsidR="00216C74" w:rsidRDefault="00216C74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74" w:rsidRPr="00E85C62" w:rsidRDefault="00216C74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E85C62">
      <w:rPr>
        <w:rFonts w:cs="Calibri"/>
        <w:sz w:val="18"/>
        <w:szCs w:val="18"/>
      </w:rPr>
      <w:t xml:space="preserve">- </w:t>
    </w:r>
    <w:r w:rsidRPr="00E85C62">
      <w:rPr>
        <w:rFonts w:cs="Calibri"/>
        <w:sz w:val="18"/>
        <w:szCs w:val="18"/>
        <w:lang w:val="en-GB"/>
      </w:rPr>
      <w:fldChar w:fldCharType="begin"/>
    </w:r>
    <w:r w:rsidRPr="00E85C62">
      <w:rPr>
        <w:rFonts w:cs="Calibri"/>
        <w:sz w:val="18"/>
        <w:szCs w:val="18"/>
        <w:lang w:val="en-GB"/>
      </w:rPr>
      <w:instrText xml:space="preserve"> PAGE </w:instrText>
    </w:r>
    <w:r w:rsidRPr="00E85C62">
      <w:rPr>
        <w:rFonts w:cs="Calibri"/>
        <w:sz w:val="18"/>
        <w:szCs w:val="18"/>
        <w:lang w:val="en-GB"/>
      </w:rPr>
      <w:fldChar w:fldCharType="separate"/>
    </w:r>
    <w:r w:rsidR="00E85C62">
      <w:rPr>
        <w:rFonts w:cs="Calibri"/>
        <w:noProof/>
        <w:sz w:val="18"/>
        <w:szCs w:val="18"/>
        <w:lang w:val="en-GB"/>
      </w:rPr>
      <w:t>3</w:t>
    </w:r>
    <w:r w:rsidRPr="00E85C62">
      <w:rPr>
        <w:rFonts w:cs="Calibri"/>
        <w:sz w:val="18"/>
        <w:szCs w:val="18"/>
      </w:rPr>
      <w:fldChar w:fldCharType="end"/>
    </w:r>
    <w:r w:rsidRPr="00E85C62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216C74" w:rsidRPr="00F36590" w:rsidTr="00083A9A">
      <w:trPr>
        <w:jc w:val="center"/>
      </w:trPr>
      <w:tc>
        <w:tcPr>
          <w:tcW w:w="2472" w:type="pct"/>
          <w:vAlign w:val="center"/>
        </w:tcPr>
        <w:p w:rsidR="00216C74" w:rsidRPr="00F36590" w:rsidRDefault="006E69D5" w:rsidP="00083A9A">
          <w:pPr>
            <w:pStyle w:val="Header"/>
            <w:jc w:val="left"/>
            <w:rPr>
              <w:lang w:val="en-GB"/>
            </w:rPr>
          </w:pPr>
          <w:r>
            <w:rPr>
              <w:noProof/>
              <w:rtl/>
            </w:rPr>
            <w:drawing>
              <wp:inline distT="0" distB="0" distL="0" distR="0">
                <wp:extent cx="539115" cy="607695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1-ITU-logo-offici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216C74" w:rsidRPr="00F36590" w:rsidRDefault="00AC17D1" w:rsidP="00083A9A">
          <w:pPr>
            <w:pStyle w:val="Header"/>
            <w:jc w:val="right"/>
            <w:rPr>
              <w:lang w:val="en-GB"/>
            </w:rPr>
          </w:pPr>
          <w:r w:rsidRPr="00BA295F">
            <w:rPr>
              <w:noProof/>
              <w:rtl/>
            </w:rPr>
            <w:drawing>
              <wp:inline distT="0" distB="0" distL="0" distR="0">
                <wp:extent cx="1169812" cy="91465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12" cy="914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6C74" w:rsidRPr="001D1D7B" w:rsidRDefault="00216C74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FE"/>
    <w:rsid w:val="00082094"/>
    <w:rsid w:val="00083A9A"/>
    <w:rsid w:val="00090574"/>
    <w:rsid w:val="000B73F4"/>
    <w:rsid w:val="00105D94"/>
    <w:rsid w:val="00124A12"/>
    <w:rsid w:val="00147C90"/>
    <w:rsid w:val="00184EC6"/>
    <w:rsid w:val="00185E59"/>
    <w:rsid w:val="001B440E"/>
    <w:rsid w:val="001D1D7B"/>
    <w:rsid w:val="00205C02"/>
    <w:rsid w:val="00216C74"/>
    <w:rsid w:val="0023283D"/>
    <w:rsid w:val="00241274"/>
    <w:rsid w:val="0029541E"/>
    <w:rsid w:val="002978F4"/>
    <w:rsid w:val="002B028D"/>
    <w:rsid w:val="002B09C0"/>
    <w:rsid w:val="002B3FFE"/>
    <w:rsid w:val="002E6541"/>
    <w:rsid w:val="00310DA9"/>
    <w:rsid w:val="00335CE7"/>
    <w:rsid w:val="003403A3"/>
    <w:rsid w:val="00341FFF"/>
    <w:rsid w:val="0035534C"/>
    <w:rsid w:val="00357185"/>
    <w:rsid w:val="00383677"/>
    <w:rsid w:val="003845AC"/>
    <w:rsid w:val="003B65BD"/>
    <w:rsid w:val="003D5F88"/>
    <w:rsid w:val="003F1545"/>
    <w:rsid w:val="0040525C"/>
    <w:rsid w:val="00416877"/>
    <w:rsid w:val="0042686F"/>
    <w:rsid w:val="00431FB9"/>
    <w:rsid w:val="00443869"/>
    <w:rsid w:val="004571CF"/>
    <w:rsid w:val="00465E3A"/>
    <w:rsid w:val="00482378"/>
    <w:rsid w:val="00485E78"/>
    <w:rsid w:val="004B2ED5"/>
    <w:rsid w:val="004C6CD2"/>
    <w:rsid w:val="004D56EA"/>
    <w:rsid w:val="004D704B"/>
    <w:rsid w:val="004D7B0B"/>
    <w:rsid w:val="004E2444"/>
    <w:rsid w:val="004F7DF1"/>
    <w:rsid w:val="00503E41"/>
    <w:rsid w:val="00527EC4"/>
    <w:rsid w:val="0055516A"/>
    <w:rsid w:val="005C771D"/>
    <w:rsid w:val="005E4FCB"/>
    <w:rsid w:val="005F4897"/>
    <w:rsid w:val="00645E55"/>
    <w:rsid w:val="006D78C3"/>
    <w:rsid w:val="006E1BB7"/>
    <w:rsid w:val="006E1CFD"/>
    <w:rsid w:val="006E69D5"/>
    <w:rsid w:val="006F63F7"/>
    <w:rsid w:val="00706D7A"/>
    <w:rsid w:val="00714C7B"/>
    <w:rsid w:val="00733D09"/>
    <w:rsid w:val="00734A9F"/>
    <w:rsid w:val="00742F9E"/>
    <w:rsid w:val="007B4383"/>
    <w:rsid w:val="007E6E52"/>
    <w:rsid w:val="00810480"/>
    <w:rsid w:val="008235CD"/>
    <w:rsid w:val="008513CB"/>
    <w:rsid w:val="00926209"/>
    <w:rsid w:val="00951EBA"/>
    <w:rsid w:val="00982B28"/>
    <w:rsid w:val="00A0706D"/>
    <w:rsid w:val="00A152F5"/>
    <w:rsid w:val="00A97F94"/>
    <w:rsid w:val="00AA6C09"/>
    <w:rsid w:val="00AB7CE2"/>
    <w:rsid w:val="00AC17D1"/>
    <w:rsid w:val="00AD38FD"/>
    <w:rsid w:val="00AD5FFE"/>
    <w:rsid w:val="00B11105"/>
    <w:rsid w:val="00B5527F"/>
    <w:rsid w:val="00B90AF1"/>
    <w:rsid w:val="00C23441"/>
    <w:rsid w:val="00C26B94"/>
    <w:rsid w:val="00C674FE"/>
    <w:rsid w:val="00C70BD2"/>
    <w:rsid w:val="00C75633"/>
    <w:rsid w:val="00C86064"/>
    <w:rsid w:val="00CB3E2E"/>
    <w:rsid w:val="00CE2EE1"/>
    <w:rsid w:val="00CF3FFD"/>
    <w:rsid w:val="00D02251"/>
    <w:rsid w:val="00D155FB"/>
    <w:rsid w:val="00D42521"/>
    <w:rsid w:val="00D77D0F"/>
    <w:rsid w:val="00DA1CF0"/>
    <w:rsid w:val="00DC24B4"/>
    <w:rsid w:val="00DF16DC"/>
    <w:rsid w:val="00DF2AC4"/>
    <w:rsid w:val="00E02604"/>
    <w:rsid w:val="00E16231"/>
    <w:rsid w:val="00E3407A"/>
    <w:rsid w:val="00E45211"/>
    <w:rsid w:val="00E51A2A"/>
    <w:rsid w:val="00E57387"/>
    <w:rsid w:val="00E64F8E"/>
    <w:rsid w:val="00E81695"/>
    <w:rsid w:val="00E85C62"/>
    <w:rsid w:val="00E96F8D"/>
    <w:rsid w:val="00EC4FD2"/>
    <w:rsid w:val="00EF1B28"/>
    <w:rsid w:val="00F078FB"/>
    <w:rsid w:val="00F36590"/>
    <w:rsid w:val="00F37484"/>
    <w:rsid w:val="00F84366"/>
    <w:rsid w:val="00F85089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CB27599-7CAC-407B-8FDC-FA05CE6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34A9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CallChar">
    <w:name w:val="Call Char"/>
    <w:basedOn w:val="DefaultParagraphFont"/>
    <w:link w:val="Call"/>
    <w:locked/>
    <w:rsid w:val="00AC17D1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2BF6-A9A9-4368-A11C-65EA6015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^_^</cp:lastModifiedBy>
  <cp:revision>30</cp:revision>
  <cp:lastPrinted>2017-07-03T15:56:00Z</cp:lastPrinted>
  <dcterms:created xsi:type="dcterms:W3CDTF">2017-07-03T15:39:00Z</dcterms:created>
  <dcterms:modified xsi:type="dcterms:W3CDTF">2017-07-04T13:37:00Z</dcterms:modified>
</cp:coreProperties>
</file>