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3044D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3044D5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3044D5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3044D5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3044D5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3044D5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3044D5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3044D5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3044D5" w:rsidRDefault="003044D5" w:rsidP="003044D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3044D5" w:rsidRPr="003044D5" w:rsidRDefault="003044D5" w:rsidP="003044D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74037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740377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740377" w:rsidP="0074037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740377"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819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740377" w:rsidP="0074037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6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يوليو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3044D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3044D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740377" w:rsidP="0074037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3044D5">
              <w:rPr>
                <w:b/>
                <w:bCs/>
                <w:w w:val="115"/>
                <w:rtl/>
              </w:rPr>
              <w:t>إلى إدارات الدول الأعضاء في الاتحاد وأعضاء قطاع الاتصالات الراديوية</w:t>
            </w:r>
            <w:r w:rsidRPr="003044D5">
              <w:rPr>
                <w:rFonts w:hint="cs"/>
                <w:b/>
                <w:bCs/>
                <w:w w:val="115"/>
                <w:rtl/>
              </w:rPr>
              <w:t xml:space="preserve"> و</w:t>
            </w:r>
            <w:r w:rsidRPr="003044D5">
              <w:rPr>
                <w:b/>
                <w:bCs/>
                <w:w w:val="115"/>
                <w:rtl/>
              </w:rPr>
              <w:t>المنتسبين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lang w:val="en-GB" w:bidi="ar-SY"/>
              </w:rPr>
              <w:t>1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3044D5" w:rsidRPr="00AF70F6" w:rsidTr="005F3B71">
        <w:tc>
          <w:tcPr>
            <w:tcW w:w="5000" w:type="pct"/>
            <w:gridSpan w:val="3"/>
            <w:shd w:val="clear" w:color="auto" w:fill="auto"/>
          </w:tcPr>
          <w:p w:rsidR="003044D5" w:rsidRPr="00AF70F6" w:rsidRDefault="003044D5" w:rsidP="003044D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3044D5" w:rsidRPr="00AF70F6" w:rsidTr="005F3B71">
        <w:tc>
          <w:tcPr>
            <w:tcW w:w="5000" w:type="pct"/>
            <w:gridSpan w:val="3"/>
            <w:shd w:val="clear" w:color="auto" w:fill="auto"/>
          </w:tcPr>
          <w:p w:rsidR="003044D5" w:rsidRPr="00AF70F6" w:rsidRDefault="003044D5" w:rsidP="003044D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740377" w:rsidRPr="008D3F8E" w:rsidRDefault="00740377" w:rsidP="00740377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>
              <w:rPr>
                <w:b/>
                <w:bCs/>
                <w:lang w:bidi="ar-SY"/>
              </w:rPr>
              <w:t>1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Pr="00740377">
              <w:rPr>
                <w:rFonts w:hint="cs"/>
                <w:b/>
                <w:bCs/>
                <w:rtl/>
              </w:rPr>
              <w:t>إدارة الطيف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740377" w:rsidRDefault="00740377" w:rsidP="005E31F4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spacing w:val="6"/>
                <w:lang w:bidi="ar-EG"/>
              </w:rPr>
            </w:pPr>
            <w:r w:rsidRPr="0089086F">
              <w:rPr>
                <w:rFonts w:hint="cs"/>
                <w:b/>
                <w:bCs/>
                <w:spacing w:val="6"/>
                <w:rtl/>
                <w:lang w:bidi="ar-EG"/>
              </w:rPr>
              <w:t>-</w:t>
            </w:r>
            <w:r w:rsidRPr="0089086F">
              <w:rPr>
                <w:b/>
                <w:bCs/>
                <w:spacing w:val="6"/>
                <w:rtl/>
                <w:lang w:bidi="ar-EG"/>
              </w:rPr>
              <w:tab/>
            </w:r>
            <w:r w:rsidRPr="0089086F">
              <w:rPr>
                <w:rFonts w:hint="cs"/>
                <w:b/>
                <w:bCs/>
                <w:spacing w:val="6"/>
                <w:rtl/>
                <w:lang w:bidi="ar-EG"/>
              </w:rPr>
              <w:t xml:space="preserve">اقتراح </w:t>
            </w:r>
            <w:r w:rsidR="0089086F">
              <w:rPr>
                <w:rFonts w:hint="cs"/>
                <w:b/>
                <w:bCs/>
                <w:spacing w:val="6"/>
                <w:rtl/>
                <w:lang w:bidi="ar-EG"/>
              </w:rPr>
              <w:t>ا</w:t>
            </w:r>
            <w:r w:rsidRPr="0089086F">
              <w:rPr>
                <w:rFonts w:hint="cs"/>
                <w:b/>
                <w:bCs/>
                <w:spacing w:val="6"/>
                <w:rtl/>
                <w:lang w:bidi="ar-EG"/>
              </w:rPr>
              <w:t>لموافقة على مشروع مراجعة توصية</w:t>
            </w:r>
            <w:r w:rsidR="0089086F">
              <w:rPr>
                <w:rFonts w:hint="cs"/>
                <w:b/>
                <w:bCs/>
                <w:spacing w:val="6"/>
                <w:rtl/>
                <w:lang w:bidi="ar-EG"/>
              </w:rPr>
              <w:t xml:space="preserve"> </w:t>
            </w:r>
            <w:r w:rsidRPr="0089086F">
              <w:rPr>
                <w:rFonts w:hint="cs"/>
                <w:b/>
                <w:bCs/>
                <w:spacing w:val="6"/>
                <w:rtl/>
                <w:lang w:bidi="ar-EG"/>
              </w:rPr>
              <w:t>لقطاع الاتصالات الراديوية</w:t>
            </w:r>
          </w:p>
        </w:tc>
      </w:tr>
    </w:tbl>
    <w:p w:rsidR="00740377" w:rsidRPr="00740377" w:rsidRDefault="00740377" w:rsidP="00EA33FE">
      <w:pPr>
        <w:spacing w:before="840"/>
        <w:rPr>
          <w:spacing w:val="4"/>
          <w:rtl/>
          <w:lang w:bidi="ar-EG"/>
        </w:rPr>
      </w:pPr>
      <w:r w:rsidRPr="00543765">
        <w:rPr>
          <w:rFonts w:hint="cs"/>
          <w:spacing w:val="4"/>
          <w:rtl/>
          <w:lang w:bidi="ar-EG"/>
        </w:rPr>
        <w:t xml:space="preserve">اعتمدت لجنة الدراسات </w:t>
      </w:r>
      <w:r>
        <w:rPr>
          <w:spacing w:val="4"/>
        </w:rPr>
        <w:t>1</w:t>
      </w:r>
      <w:r w:rsidRPr="007D3A96">
        <w:rPr>
          <w:rFonts w:hint="cs"/>
          <w:spacing w:val="4"/>
          <w:rtl/>
          <w:lang w:bidi="ar-EG"/>
        </w:rPr>
        <w:t xml:space="preserve"> </w:t>
      </w:r>
      <w:r w:rsidRPr="00543765">
        <w:rPr>
          <w:rFonts w:hint="cs"/>
          <w:spacing w:val="4"/>
          <w:rtl/>
          <w:lang w:bidi="ar-EG"/>
        </w:rPr>
        <w:t xml:space="preserve">للاتصالات الراديوية في اجتماعها المنعقد في </w:t>
      </w:r>
      <w:r>
        <w:rPr>
          <w:spacing w:val="4"/>
        </w:rPr>
        <w:t>21</w:t>
      </w:r>
      <w:r w:rsidRPr="00543765">
        <w:rPr>
          <w:rFonts w:hint="cs"/>
          <w:spacing w:val="4"/>
          <w:rtl/>
          <w:lang w:bidi="ar-EG"/>
        </w:rPr>
        <w:t xml:space="preserve"> </w:t>
      </w:r>
      <w:r>
        <w:rPr>
          <w:rFonts w:hint="cs"/>
          <w:spacing w:val="4"/>
          <w:rtl/>
          <w:lang w:bidi="ar-EG"/>
        </w:rPr>
        <w:t>يونيو</w:t>
      </w:r>
      <w:r w:rsidRPr="00543765">
        <w:rPr>
          <w:rFonts w:hint="cs"/>
          <w:spacing w:val="4"/>
          <w:rtl/>
          <w:lang w:bidi="ar-EG"/>
        </w:rPr>
        <w:t xml:space="preserve"> </w:t>
      </w:r>
      <w:r w:rsidRPr="00543765">
        <w:rPr>
          <w:spacing w:val="4"/>
        </w:rPr>
        <w:t>201</w:t>
      </w:r>
      <w:r>
        <w:rPr>
          <w:spacing w:val="4"/>
        </w:rPr>
        <w:t>7</w:t>
      </w:r>
      <w:r w:rsidRPr="00543765">
        <w:rPr>
          <w:rFonts w:hint="cs"/>
          <w:spacing w:val="4"/>
          <w:rtl/>
          <w:lang w:bidi="ar-EG"/>
        </w:rPr>
        <w:t xml:space="preserve">، </w:t>
      </w:r>
      <w:r w:rsidR="0089086F" w:rsidRPr="0089086F">
        <w:rPr>
          <w:rFonts w:hint="cs"/>
          <w:spacing w:val="4"/>
          <w:rtl/>
          <w:lang w:bidi="ar-EG"/>
        </w:rPr>
        <w:t>نص</w:t>
      </w:r>
      <w:r w:rsidRPr="0089086F">
        <w:rPr>
          <w:rFonts w:hint="cs"/>
          <w:spacing w:val="4"/>
          <w:rtl/>
          <w:lang w:bidi="ar-EG"/>
        </w:rPr>
        <w:t xml:space="preserve"> </w:t>
      </w:r>
      <w:r w:rsidR="0089086F" w:rsidRPr="0089086F">
        <w:rPr>
          <w:rFonts w:hint="cs"/>
          <w:spacing w:val="4"/>
          <w:rtl/>
          <w:lang w:bidi="ar-EG"/>
        </w:rPr>
        <w:t>مشروع</w:t>
      </w:r>
      <w:r w:rsidRPr="0089086F">
        <w:rPr>
          <w:rFonts w:hint="cs"/>
          <w:spacing w:val="4"/>
          <w:rtl/>
          <w:lang w:bidi="ar-EG"/>
        </w:rPr>
        <w:t xml:space="preserve"> </w:t>
      </w:r>
      <w:r w:rsidR="0089086F" w:rsidRPr="0089086F">
        <w:rPr>
          <w:rFonts w:hint="cs"/>
          <w:spacing w:val="4"/>
          <w:rtl/>
          <w:lang w:bidi="ar-EG"/>
        </w:rPr>
        <w:t xml:space="preserve">مراجعة </w:t>
      </w:r>
      <w:r w:rsidRPr="0089086F">
        <w:rPr>
          <w:rFonts w:hint="cs"/>
          <w:spacing w:val="4"/>
          <w:rtl/>
          <w:lang w:bidi="ar-EG"/>
        </w:rPr>
        <w:t>توصي</w:t>
      </w:r>
      <w:r w:rsidR="0089086F" w:rsidRPr="0089086F">
        <w:rPr>
          <w:rFonts w:hint="cs"/>
          <w:spacing w:val="4"/>
          <w:rtl/>
          <w:lang w:bidi="ar-EG"/>
        </w:rPr>
        <w:t xml:space="preserve">ة </w:t>
      </w:r>
      <w:r w:rsidRPr="00543765">
        <w:rPr>
          <w:rFonts w:hint="cs"/>
          <w:spacing w:val="4"/>
          <w:rtl/>
          <w:lang w:bidi="ar-EG"/>
        </w:rPr>
        <w:t>لقطاع الاتصالات الراديوية واتفقت على تطبيق إجراء القرار</w:t>
      </w:r>
      <w:r w:rsidRPr="00543765">
        <w:rPr>
          <w:rFonts w:hint="eastAsia"/>
          <w:spacing w:val="4"/>
          <w:rtl/>
          <w:lang w:bidi="ar-EG"/>
        </w:rPr>
        <w:t> </w:t>
      </w:r>
      <w:r w:rsidRPr="00543765">
        <w:rPr>
          <w:spacing w:val="4"/>
          <w:lang w:val="en-GB"/>
        </w:rPr>
        <w:t>ITU</w:t>
      </w:r>
      <w:r w:rsidRPr="00543765">
        <w:rPr>
          <w:spacing w:val="4"/>
          <w:lang w:val="en-GB"/>
        </w:rPr>
        <w:noBreakHyphen/>
        <w:t>R 1</w:t>
      </w:r>
      <w:r w:rsidRPr="00543765">
        <w:rPr>
          <w:spacing w:val="4"/>
          <w:lang w:val="en-GB"/>
        </w:rPr>
        <w:noBreakHyphen/>
        <w:t>7</w:t>
      </w:r>
      <w:r w:rsidRPr="00543765">
        <w:rPr>
          <w:rFonts w:hint="cs"/>
          <w:spacing w:val="4"/>
          <w:rtl/>
          <w:lang w:bidi="ar-EG"/>
        </w:rPr>
        <w:t xml:space="preserve"> (انظر</w:t>
      </w:r>
      <w:r w:rsidRPr="00543765">
        <w:rPr>
          <w:rFonts w:hint="eastAsia"/>
          <w:spacing w:val="4"/>
          <w:rtl/>
          <w:lang w:bidi="ar-EG"/>
        </w:rPr>
        <w:t> </w:t>
      </w:r>
      <w:r w:rsidRPr="00543765">
        <w:rPr>
          <w:rFonts w:hint="cs"/>
          <w:spacing w:val="4"/>
          <w:rtl/>
          <w:lang w:bidi="ar-EG"/>
        </w:rPr>
        <w:t>الفقرة </w:t>
      </w:r>
      <w:r w:rsidRPr="00543765">
        <w:rPr>
          <w:spacing w:val="4"/>
        </w:rPr>
        <w:t>3.2.6.A2</w:t>
      </w:r>
      <w:r w:rsidRPr="00543765">
        <w:rPr>
          <w:rFonts w:hint="cs"/>
          <w:spacing w:val="4"/>
          <w:rtl/>
          <w:lang w:bidi="ar-EG"/>
        </w:rPr>
        <w:t xml:space="preserve">) المتعلق بالموافقة على التوصيات بالتشاور. </w:t>
      </w:r>
      <w:r w:rsidRPr="0089086F">
        <w:rPr>
          <w:rFonts w:hint="cs"/>
          <w:spacing w:val="4"/>
          <w:rtl/>
          <w:lang w:bidi="ar-EG"/>
        </w:rPr>
        <w:t>و</w:t>
      </w:r>
      <w:r w:rsidR="0089086F">
        <w:rPr>
          <w:rFonts w:hint="cs"/>
          <w:spacing w:val="4"/>
          <w:rtl/>
          <w:lang w:bidi="ar-EG"/>
        </w:rPr>
        <w:t>ي</w:t>
      </w:r>
      <w:r w:rsidRPr="0089086F">
        <w:rPr>
          <w:rFonts w:hint="cs"/>
          <w:spacing w:val="4"/>
          <w:rtl/>
          <w:lang w:bidi="ar-EG"/>
        </w:rPr>
        <w:t xml:space="preserve">رد في الملحق بهذه الرسالة </w:t>
      </w:r>
      <w:r w:rsidR="0089086F">
        <w:rPr>
          <w:rFonts w:hint="cs"/>
          <w:spacing w:val="4"/>
          <w:rtl/>
          <w:lang w:bidi="ar-EG"/>
        </w:rPr>
        <w:t>عنوان</w:t>
      </w:r>
      <w:r w:rsidRPr="0089086F">
        <w:rPr>
          <w:rFonts w:hint="cs"/>
          <w:spacing w:val="4"/>
          <w:rtl/>
          <w:lang w:bidi="ar-EG"/>
        </w:rPr>
        <w:t xml:space="preserve"> </w:t>
      </w:r>
      <w:r w:rsidR="0089086F">
        <w:rPr>
          <w:rFonts w:hint="cs"/>
          <w:spacing w:val="4"/>
          <w:rtl/>
          <w:lang w:bidi="ar-EG"/>
        </w:rPr>
        <w:t>مشروع التوصية</w:t>
      </w:r>
      <w:r w:rsidRPr="0089086F">
        <w:rPr>
          <w:rFonts w:hint="cs"/>
          <w:spacing w:val="4"/>
          <w:rtl/>
          <w:lang w:bidi="ar-EG"/>
        </w:rPr>
        <w:t xml:space="preserve"> وملخص</w:t>
      </w:r>
      <w:r w:rsidR="00FF531C">
        <w:rPr>
          <w:rFonts w:hint="cs"/>
          <w:spacing w:val="4"/>
          <w:rtl/>
          <w:lang w:bidi="ar-EG"/>
        </w:rPr>
        <w:t xml:space="preserve"> له</w:t>
      </w:r>
      <w:r w:rsidRPr="00543765">
        <w:rPr>
          <w:rFonts w:hint="cs"/>
          <w:spacing w:val="4"/>
          <w:rtl/>
          <w:lang w:bidi="ar-EG"/>
        </w:rPr>
        <w:t>. ويرجى من أي دولة عضو تعترض على الموافقة على مشروع توصية أن تخبر المدير ورئيس لجنة الدراسات بأسباب</w:t>
      </w:r>
      <w:r>
        <w:rPr>
          <w:rFonts w:hint="eastAsia"/>
          <w:spacing w:val="4"/>
          <w:rtl/>
          <w:lang w:bidi="ar-EG"/>
        </w:rPr>
        <w:t> </w:t>
      </w:r>
      <w:r w:rsidRPr="00543765">
        <w:rPr>
          <w:rFonts w:hint="cs"/>
          <w:spacing w:val="4"/>
          <w:rtl/>
          <w:lang w:bidi="ar-EG"/>
        </w:rPr>
        <w:t>اعتراضها.</w:t>
      </w:r>
    </w:p>
    <w:p w:rsidR="00740377" w:rsidRDefault="00740377" w:rsidP="006A59DF">
      <w:pPr>
        <w:rPr>
          <w:rtl/>
          <w:lang w:bidi="ar-EG"/>
        </w:rPr>
      </w:pPr>
      <w:r w:rsidRPr="00FF6507">
        <w:rPr>
          <w:rFonts w:hint="cs"/>
          <w:rtl/>
          <w:lang w:bidi="ar-EG"/>
        </w:rPr>
        <w:t>وبالنظر إلى أحكام الفقرة </w:t>
      </w:r>
      <w:r>
        <w:t>3.2.6.A2</w:t>
      </w:r>
      <w:r w:rsidRPr="00FF6507">
        <w:rPr>
          <w:rFonts w:hint="cs"/>
          <w:rtl/>
          <w:lang w:bidi="ar-EG"/>
        </w:rPr>
        <w:t xml:space="preserve"> من القرار </w:t>
      </w:r>
      <w:r w:rsidRPr="00FF6507">
        <w:rPr>
          <w:lang w:val="en-GB"/>
        </w:rPr>
        <w:t>ITU</w:t>
      </w:r>
      <w:r w:rsidRPr="00FF6507">
        <w:rPr>
          <w:lang w:val="en-GB"/>
        </w:rPr>
        <w:noBreakHyphen/>
        <w:t>R 1</w:t>
      </w:r>
      <w:r w:rsidRPr="00FF6507">
        <w:rPr>
          <w:lang w:val="en-GB"/>
        </w:rPr>
        <w:noBreakHyphen/>
      </w:r>
      <w:r>
        <w:rPr>
          <w:lang w:val="en-GB"/>
        </w:rPr>
        <w:t>7</w:t>
      </w:r>
      <w:r w:rsidRPr="00FF6507">
        <w:rPr>
          <w:rFonts w:hint="cs"/>
          <w:rtl/>
          <w:lang w:bidi="ar-EG"/>
        </w:rPr>
        <w:t>، يرجى من الدول الأعضاء إبلاغ الأمانة </w:t>
      </w:r>
      <w:r w:rsidRPr="00FF6507">
        <w:t>(</w:t>
      </w:r>
      <w:hyperlink r:id="rId10" w:history="1">
        <w:r w:rsidRPr="00740377">
          <w:rPr>
            <w:rStyle w:val="Hyperlink"/>
            <w:rFonts w:ascii="Calibri" w:hAnsi="Calibri"/>
          </w:rPr>
          <w:t>brsgd@itu.int</w:t>
        </w:r>
      </w:hyperlink>
      <w:r w:rsidRPr="00FF6507">
        <w:t>)</w:t>
      </w:r>
      <w:r w:rsidRPr="00FF6507">
        <w:rPr>
          <w:rFonts w:hint="cs"/>
          <w:rtl/>
          <w:lang w:bidi="ar-EG"/>
        </w:rPr>
        <w:t xml:space="preserve"> </w:t>
      </w:r>
      <w:r w:rsidR="00130730">
        <w:rPr>
          <w:rFonts w:hint="cs"/>
          <w:rtl/>
          <w:lang w:bidi="ar-EG"/>
        </w:rPr>
        <w:t>في</w:t>
      </w:r>
      <w:r w:rsidR="00130730">
        <w:rPr>
          <w:rFonts w:hint="eastAsia"/>
          <w:rtl/>
          <w:lang w:bidi="ar-EG"/>
        </w:rPr>
        <w:t> </w:t>
      </w:r>
      <w:r w:rsidR="00791F8A">
        <w:rPr>
          <w:rFonts w:hint="cs"/>
          <w:rtl/>
          <w:lang w:bidi="ar-EG"/>
        </w:rPr>
        <w:t>موعد أقصاه</w:t>
      </w:r>
      <w:r>
        <w:rPr>
          <w:rFonts w:hint="cs"/>
          <w:rtl/>
          <w:lang w:bidi="ar-EG"/>
        </w:rPr>
        <w:t xml:space="preserve"> </w:t>
      </w:r>
      <w:r>
        <w:rPr>
          <w:u w:val="single"/>
          <w:lang w:bidi="ar-EG"/>
        </w:rPr>
        <w:t>6</w:t>
      </w:r>
      <w:r w:rsidRPr="00176E76">
        <w:rPr>
          <w:rFonts w:hint="eastAsia"/>
          <w:u w:val="single"/>
          <w:rtl/>
          <w:lang w:bidi="ar-EG"/>
        </w:rPr>
        <w:t> </w:t>
      </w:r>
      <w:r>
        <w:rPr>
          <w:rFonts w:hint="cs"/>
          <w:u w:val="single"/>
          <w:rtl/>
          <w:lang w:bidi="ar-EG"/>
        </w:rPr>
        <w:t>سبتمبر</w:t>
      </w:r>
      <w:r w:rsidRPr="00176E76">
        <w:rPr>
          <w:rFonts w:hint="eastAsia"/>
          <w:u w:val="single"/>
          <w:rtl/>
          <w:lang w:bidi="ar-EG"/>
        </w:rPr>
        <w:t> </w:t>
      </w:r>
      <w:r w:rsidRPr="00176E76">
        <w:rPr>
          <w:u w:val="single"/>
        </w:rPr>
        <w:t>201</w:t>
      </w:r>
      <w:r>
        <w:rPr>
          <w:u w:val="single"/>
        </w:rPr>
        <w:t>7</w:t>
      </w:r>
      <w:r w:rsidRPr="00FF6507">
        <w:rPr>
          <w:rFonts w:hint="cs"/>
          <w:rtl/>
          <w:lang w:bidi="ar-EG"/>
        </w:rPr>
        <w:t xml:space="preserve"> ما إذا كانت توافق أو لا</w:t>
      </w:r>
      <w:r w:rsidR="006A59DF">
        <w:rPr>
          <w:rFonts w:hint="eastAsia"/>
          <w:rtl/>
          <w:lang w:bidi="ar-EG"/>
        </w:rPr>
        <w:t> </w:t>
      </w:r>
      <w:r w:rsidRPr="00FF6507">
        <w:rPr>
          <w:rFonts w:hint="cs"/>
          <w:rtl/>
          <w:lang w:bidi="ar-EG"/>
        </w:rPr>
        <w:t>توافق على المقترحات أعلاه.</w:t>
      </w:r>
    </w:p>
    <w:p w:rsidR="00740377" w:rsidRDefault="00740377" w:rsidP="00791F8A">
      <w:pPr>
        <w:rPr>
          <w:rtl/>
          <w:lang w:bidi="ar-EG"/>
        </w:rPr>
      </w:pPr>
      <w:r w:rsidRPr="00FF6507">
        <w:rPr>
          <w:rFonts w:hint="cs"/>
          <w:rtl/>
          <w:lang w:bidi="ar-EG"/>
        </w:rPr>
        <w:t>وبعد المهل</w:t>
      </w:r>
      <w:r>
        <w:rPr>
          <w:rFonts w:hint="cs"/>
          <w:rtl/>
          <w:lang w:bidi="ar-EG"/>
        </w:rPr>
        <w:t>ة المحددة أعلاه، ستعلن نتائج هذا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التشاور</w:t>
      </w:r>
      <w:r w:rsidRPr="00FF6507">
        <w:rPr>
          <w:rFonts w:hint="cs"/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رسالة</w:t>
      </w:r>
      <w:r w:rsidRPr="00FF6507">
        <w:rPr>
          <w:rFonts w:hint="cs"/>
          <w:rtl/>
          <w:lang w:bidi="ar-EG"/>
        </w:rPr>
        <w:t xml:space="preserve"> إدارية معممة وستنشر </w:t>
      </w:r>
      <w:r w:rsidRPr="00C85519">
        <w:rPr>
          <w:rFonts w:hint="cs"/>
          <w:rtl/>
          <w:lang w:bidi="ar-EG"/>
        </w:rPr>
        <w:t>التوصية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الموافَق</w:t>
      </w:r>
      <w:r w:rsidRPr="00FF6507">
        <w:rPr>
          <w:rFonts w:hint="cs"/>
          <w:rtl/>
          <w:lang w:bidi="ar-EG"/>
        </w:rPr>
        <w:t xml:space="preserve"> عليها بأسرع </w:t>
      </w:r>
      <w:r w:rsidR="00791F8A">
        <w:rPr>
          <w:rFonts w:hint="cs"/>
          <w:rtl/>
          <w:lang w:bidi="ar-EG"/>
        </w:rPr>
        <w:t>ما يمكن</w:t>
      </w:r>
      <w:r w:rsidRPr="00FF6507">
        <w:rPr>
          <w:rFonts w:hint="cs"/>
          <w:rtl/>
          <w:lang w:bidi="ar-EG"/>
        </w:rPr>
        <w:t xml:space="preserve"> عملياً (انظر </w:t>
      </w:r>
      <w:hyperlink r:id="rId11" w:history="1">
        <w:r w:rsidRPr="00740377">
          <w:rPr>
            <w:rStyle w:val="Hyperlink"/>
            <w:rFonts w:ascii="Calibri" w:hAnsi="Calibri"/>
          </w:rPr>
          <w:t>http://www.itu.int/pub/R-REC</w:t>
        </w:r>
      </w:hyperlink>
      <w:r w:rsidRPr="00FF6507">
        <w:rPr>
          <w:rFonts w:hint="cs"/>
          <w:rtl/>
          <w:lang w:bidi="ar-EG"/>
        </w:rPr>
        <w:t>).</w:t>
      </w:r>
    </w:p>
    <w:p w:rsidR="00740377" w:rsidRDefault="00740377" w:rsidP="00560DE4">
      <w:pPr>
        <w:pageBreakBefore/>
        <w:rPr>
          <w:rtl/>
        </w:rPr>
      </w:pPr>
      <w:r w:rsidRPr="00FF6507">
        <w:rPr>
          <w:rFonts w:hint="cs"/>
          <w:rtl/>
          <w:lang w:bidi="ar-EG"/>
        </w:rPr>
        <w:lastRenderedPageBreak/>
        <w:t>ويرجى من أي منظمة عضو في الاتحاد تعلم بوجود براءة ا</w:t>
      </w:r>
      <w:bookmarkStart w:id="0" w:name="_GoBack"/>
      <w:bookmarkEnd w:id="0"/>
      <w:r w:rsidRPr="00FF6507">
        <w:rPr>
          <w:rFonts w:hint="cs"/>
          <w:rtl/>
          <w:lang w:bidi="ar-EG"/>
        </w:rPr>
        <w:t xml:space="preserve">ختراع لديها أو لدى غيرها تغطي كلياً أو جزئياً عناصر </w:t>
      </w:r>
      <w:r w:rsidRPr="00C85519">
        <w:rPr>
          <w:rFonts w:hint="cs"/>
          <w:rtl/>
          <w:lang w:bidi="ar-EG"/>
        </w:rPr>
        <w:t>مشر</w:t>
      </w:r>
      <w:r w:rsidR="0069006B" w:rsidRPr="00C85519">
        <w:rPr>
          <w:rFonts w:hint="cs"/>
          <w:rtl/>
          <w:lang w:bidi="ar-EG"/>
        </w:rPr>
        <w:t>و</w:t>
      </w:r>
      <w:r w:rsidRPr="00C85519">
        <w:rPr>
          <w:rFonts w:hint="cs"/>
          <w:rtl/>
          <w:lang w:bidi="ar-EG"/>
        </w:rPr>
        <w:t>ع التوصي</w:t>
      </w:r>
      <w:r w:rsidR="0069006B" w:rsidRPr="00C85519">
        <w:rPr>
          <w:rFonts w:hint="cs"/>
          <w:rtl/>
          <w:lang w:bidi="ar-EG"/>
        </w:rPr>
        <w:t>ة</w:t>
      </w:r>
      <w:r w:rsidRPr="00FF6507">
        <w:rPr>
          <w:rFonts w:hint="cs"/>
          <w:rtl/>
          <w:lang w:bidi="ar-EG"/>
        </w:rPr>
        <w:t xml:space="preserve"> ال</w:t>
      </w:r>
      <w:r>
        <w:rPr>
          <w:rFonts w:hint="cs"/>
          <w:rtl/>
          <w:lang w:bidi="ar-EG"/>
        </w:rPr>
        <w:t>مذكورة</w:t>
      </w:r>
      <w:r w:rsidRPr="00FF6507">
        <w:rPr>
          <w:rFonts w:hint="cs"/>
          <w:rtl/>
          <w:lang w:bidi="ar-EG"/>
        </w:rPr>
        <w:t xml:space="preserve"> في هذه الرسالة أن تبلغ الأمانة بهذه المعلومات بأسرع ما يمكن. وترد السياسة المشتركة لبراءات الاختراع لقطاعي تقييس الاتصالات والاتصالات الراديوية والمنظمة الدولية للتوحيد القياسي واللجنة الكهرتقنية الدولية </w:t>
      </w:r>
      <w:r w:rsidRPr="00FF6507">
        <w:rPr>
          <w:lang w:bidi="ar-EG"/>
        </w:rPr>
        <w:t>(ITU</w:t>
      </w:r>
      <w:r w:rsidRPr="00FF6507">
        <w:rPr>
          <w:lang w:bidi="ar-EG"/>
        </w:rPr>
        <w:noBreakHyphen/>
        <w:t>T/ITU</w:t>
      </w:r>
      <w:r w:rsidRPr="00FF6507">
        <w:rPr>
          <w:lang w:bidi="ar-EG"/>
        </w:rPr>
        <w:noBreakHyphen/>
        <w:t>R/ISO/IEC)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FF6507">
        <w:rPr>
          <w:rFonts w:hint="cs"/>
          <w:rtl/>
          <w:lang w:bidi="ar-EG"/>
        </w:rPr>
        <w:t>الموقع</w:t>
      </w:r>
      <w:r w:rsidRPr="00FF6507">
        <w:rPr>
          <w:rFonts w:hint="eastAsia"/>
          <w:rtl/>
          <w:lang w:bidi="ar-EG"/>
        </w:rPr>
        <w:t> </w:t>
      </w:r>
      <w:hyperlink r:id="rId12" w:history="1">
        <w:r w:rsidR="00560DE4" w:rsidRPr="00560DE4">
          <w:rPr>
            <w:rStyle w:val="Hyperlink"/>
            <w:rFonts w:ascii="Calibri" w:hAnsi="Calibri"/>
          </w:rPr>
          <w:t>http://www.itu.int/en/ITU-T/ipr/Pages/policy.aspx</w:t>
        </w:r>
      </w:hyperlink>
      <w:r w:rsidRPr="00FF6507">
        <w:rPr>
          <w:rFonts w:hint="cs"/>
          <w:rtl/>
          <w:lang w:bidi="ar-EG"/>
        </w:rPr>
        <w:t>.</w:t>
      </w:r>
    </w:p>
    <w:p w:rsidR="00740377" w:rsidRDefault="00740377" w:rsidP="00740377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740377" w:rsidRDefault="00740377" w:rsidP="00740377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740377" w:rsidRDefault="00740377" w:rsidP="00265599">
      <w:pPr>
        <w:spacing w:before="960"/>
        <w:jc w:val="left"/>
        <w:rPr>
          <w:rtl/>
          <w:lang w:bidi="ar-EG"/>
        </w:rPr>
      </w:pPr>
      <w:r w:rsidRPr="00FF6507">
        <w:rPr>
          <w:rFonts w:hint="cs"/>
          <w:b/>
          <w:bCs/>
          <w:rtl/>
          <w:lang w:bidi="ar-EG"/>
        </w:rPr>
        <w:t>الملحق</w:t>
      </w:r>
      <w:r w:rsidRPr="00FF6507">
        <w:rPr>
          <w:rtl/>
          <w:lang w:bidi="ar-EG"/>
        </w:rPr>
        <w:t>:</w:t>
      </w:r>
      <w:r w:rsidRPr="00FF6507">
        <w:rPr>
          <w:rFonts w:hint="cs"/>
          <w:rtl/>
          <w:lang w:bidi="ar-EG"/>
        </w:rPr>
        <w:tab/>
      </w:r>
      <w:r w:rsidRPr="00884534">
        <w:rPr>
          <w:rFonts w:hint="cs"/>
          <w:rtl/>
          <w:lang w:bidi="ar-EG"/>
        </w:rPr>
        <w:t>ع</w:t>
      </w:r>
      <w:r w:rsidR="00204DE1" w:rsidRPr="00884534">
        <w:rPr>
          <w:rFonts w:hint="cs"/>
          <w:rtl/>
          <w:lang w:bidi="ar-EG"/>
        </w:rPr>
        <w:t>نوان مش</w:t>
      </w:r>
      <w:r w:rsidRPr="00884534">
        <w:rPr>
          <w:rFonts w:hint="cs"/>
          <w:rtl/>
          <w:lang w:bidi="ar-EG"/>
        </w:rPr>
        <w:t>ر</w:t>
      </w:r>
      <w:r w:rsidR="00204DE1" w:rsidRPr="00884534">
        <w:rPr>
          <w:rFonts w:hint="cs"/>
          <w:rtl/>
          <w:lang w:bidi="ar-EG"/>
        </w:rPr>
        <w:t>وع</w:t>
      </w:r>
      <w:r w:rsidRPr="00884534">
        <w:rPr>
          <w:rFonts w:hint="cs"/>
          <w:rtl/>
          <w:lang w:bidi="ar-EG"/>
        </w:rPr>
        <w:t xml:space="preserve"> التوصي</w:t>
      </w:r>
      <w:r w:rsidR="00204DE1" w:rsidRPr="00884534">
        <w:rPr>
          <w:rFonts w:hint="cs"/>
          <w:rtl/>
          <w:lang w:bidi="ar-EG"/>
        </w:rPr>
        <w:t>ة</w:t>
      </w:r>
      <w:r w:rsidRPr="00884534">
        <w:rPr>
          <w:rFonts w:hint="cs"/>
          <w:rtl/>
          <w:lang w:bidi="ar-EG"/>
        </w:rPr>
        <w:t xml:space="preserve"> وملخص</w:t>
      </w:r>
      <w:r w:rsidR="0020229F">
        <w:rPr>
          <w:rFonts w:hint="cs"/>
          <w:rtl/>
          <w:lang w:bidi="ar-EG"/>
        </w:rPr>
        <w:t>ه</w:t>
      </w:r>
    </w:p>
    <w:p w:rsidR="00740377" w:rsidRDefault="00740377" w:rsidP="00265599">
      <w:pPr>
        <w:spacing w:before="480"/>
        <w:rPr>
          <w:rtl/>
          <w:lang w:bidi="ar-EG"/>
        </w:rPr>
      </w:pPr>
      <w:r w:rsidRPr="00FF6507">
        <w:rPr>
          <w:rFonts w:hint="cs"/>
          <w:b/>
          <w:bCs/>
          <w:rtl/>
          <w:lang w:bidi="ar-EG"/>
        </w:rPr>
        <w:t>الوث</w:t>
      </w:r>
      <w:r w:rsidR="00616B59">
        <w:rPr>
          <w:rFonts w:hint="cs"/>
          <w:b/>
          <w:bCs/>
          <w:rtl/>
          <w:lang w:bidi="ar-EG"/>
        </w:rPr>
        <w:t>يقة</w:t>
      </w:r>
      <w:r w:rsidRPr="00FF6507">
        <w:rPr>
          <w:rtl/>
          <w:lang w:bidi="ar-EG"/>
        </w:rPr>
        <w:t>:</w:t>
      </w:r>
      <w:r w:rsidRPr="00FF6507">
        <w:rPr>
          <w:rFonts w:hint="cs"/>
          <w:rtl/>
          <w:lang w:bidi="ar-EG"/>
        </w:rPr>
        <w:tab/>
      </w:r>
      <w:r w:rsidR="00616B59">
        <w:rPr>
          <w:rFonts w:hint="cs"/>
          <w:rtl/>
          <w:lang w:val="en-GB" w:bidi="ar-EG"/>
        </w:rPr>
        <w:t xml:space="preserve">الوثيقة </w:t>
      </w:r>
      <w:hyperlink r:id="rId13" w:history="1">
        <w:r w:rsidR="00616B59" w:rsidRPr="00616B59">
          <w:rPr>
            <w:rStyle w:val="Hyperlink"/>
            <w:rFonts w:ascii="Calibri" w:hAnsi="Calibri"/>
            <w:lang w:val="en-GB" w:bidi="ar-EG"/>
          </w:rPr>
          <w:t>1/47(Rev.1)</w:t>
        </w:r>
      </w:hyperlink>
    </w:p>
    <w:p w:rsidR="00740377" w:rsidRDefault="00740377" w:rsidP="0020229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وتتاح </w:t>
      </w:r>
      <w:r w:rsidRPr="00884534">
        <w:rPr>
          <w:rFonts w:hint="cs"/>
          <w:rtl/>
          <w:lang w:bidi="ar-EG"/>
        </w:rPr>
        <w:t>هذه الوث</w:t>
      </w:r>
      <w:r w:rsidR="00AD2D29" w:rsidRPr="00884534">
        <w:rPr>
          <w:rFonts w:hint="cs"/>
          <w:rtl/>
          <w:lang w:bidi="ar-EG"/>
        </w:rPr>
        <w:t>يقة</w:t>
      </w:r>
      <w:r>
        <w:rPr>
          <w:rFonts w:hint="cs"/>
          <w:rtl/>
          <w:lang w:bidi="ar-EG"/>
        </w:rPr>
        <w:t xml:space="preserve"> في</w:t>
      </w:r>
      <w:r w:rsidR="0020229F">
        <w:rPr>
          <w:rFonts w:hint="cs"/>
          <w:rtl/>
          <w:lang w:bidi="ar-EG"/>
        </w:rPr>
        <w:t xml:space="preserve"> نسق إلكتروني في</w:t>
      </w:r>
      <w:r>
        <w:rPr>
          <w:rFonts w:hint="cs"/>
          <w:rtl/>
          <w:lang w:bidi="ar-EG"/>
        </w:rPr>
        <w:t>:</w:t>
      </w:r>
      <w:r w:rsidR="00616B59">
        <w:rPr>
          <w:rFonts w:hint="cs"/>
          <w:rtl/>
          <w:lang w:bidi="ar-EG"/>
        </w:rPr>
        <w:t xml:space="preserve"> </w:t>
      </w:r>
      <w:hyperlink r:id="rId14" w:history="1">
        <w:r w:rsidR="00616B59" w:rsidRPr="00616B59">
          <w:rPr>
            <w:rStyle w:val="Hyperlink"/>
            <w:rFonts w:ascii="Calibri" w:hAnsi="Calibri"/>
            <w:lang w:bidi="ar-EG"/>
          </w:rPr>
          <w:t>https://www.itu.int/md/R15-SG01-C/en</w:t>
        </w:r>
      </w:hyperlink>
    </w:p>
    <w:p w:rsidR="00740377" w:rsidRPr="00E45690" w:rsidRDefault="00740377" w:rsidP="00740377">
      <w:pPr>
        <w:tabs>
          <w:tab w:val="left" w:pos="283"/>
        </w:tabs>
        <w:spacing w:before="420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740377" w:rsidRPr="002F45BB" w:rsidRDefault="00740377" w:rsidP="004F7BF1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bidi="ar-EG"/>
        </w:rPr>
        <w:t>-</w:t>
      </w:r>
      <w:r w:rsidRPr="00831543">
        <w:rPr>
          <w:rFonts w:hint="cs"/>
          <w:sz w:val="18"/>
          <w:szCs w:val="24"/>
          <w:rtl/>
          <w:lang w:bidi="ar-EG"/>
        </w:rPr>
        <w:tab/>
      </w:r>
      <w:r w:rsidRPr="00831543">
        <w:rPr>
          <w:sz w:val="18"/>
          <w:szCs w:val="24"/>
          <w:rtl/>
          <w:lang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831543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 w:rsidR="00AD2D29">
        <w:rPr>
          <w:sz w:val="18"/>
          <w:szCs w:val="24"/>
          <w:lang w:val="fr-CH" w:bidi="ar-EG"/>
        </w:rPr>
        <w:t>1</w:t>
      </w:r>
      <w:r w:rsidRPr="00831543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740377" w:rsidRDefault="00740377" w:rsidP="004F7BF1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</w:t>
      </w:r>
      <w:r>
        <w:rPr>
          <w:rFonts w:hint="cs"/>
          <w:sz w:val="18"/>
          <w:szCs w:val="24"/>
          <w:rtl/>
          <w:lang w:bidi="ar-EG"/>
        </w:rPr>
        <w:t>أعمال</w:t>
      </w:r>
      <w:r>
        <w:rPr>
          <w:sz w:val="18"/>
          <w:szCs w:val="24"/>
          <w:rtl/>
          <w:lang w:bidi="ar-EG"/>
        </w:rPr>
        <w:t xml:space="preserve"> لجنة الدراسات </w:t>
      </w:r>
      <w:r w:rsidR="00AD2D29">
        <w:rPr>
          <w:sz w:val="18"/>
          <w:szCs w:val="24"/>
          <w:lang w:bidi="ar-EG"/>
        </w:rPr>
        <w:t>1</w:t>
      </w:r>
      <w:r>
        <w:rPr>
          <w:sz w:val="18"/>
          <w:szCs w:val="24"/>
          <w:rtl/>
          <w:lang w:bidi="ar-EG"/>
        </w:rPr>
        <w:t xml:space="preserve"> للاتصالات الراديوية</w:t>
      </w:r>
    </w:p>
    <w:p w:rsidR="00740377" w:rsidRPr="002F45BB" w:rsidRDefault="00740377" w:rsidP="004F7BF1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2F45BB">
        <w:rPr>
          <w:rFonts w:hint="cs"/>
          <w:sz w:val="18"/>
          <w:szCs w:val="24"/>
          <w:rtl/>
          <w:lang w:bidi="ar-EG"/>
        </w:rPr>
        <w:t>-</w:t>
      </w:r>
      <w:r w:rsidRPr="002F45BB">
        <w:rPr>
          <w:rFonts w:hint="cs"/>
          <w:sz w:val="18"/>
          <w:szCs w:val="24"/>
          <w:rtl/>
          <w:lang w:bidi="ar-EG"/>
        </w:rPr>
        <w:tab/>
      </w:r>
      <w:r w:rsidRPr="002F45BB">
        <w:rPr>
          <w:rFonts w:hint="cs"/>
          <w:sz w:val="18"/>
          <w:szCs w:val="24"/>
          <w:rtl/>
        </w:rPr>
        <w:t xml:space="preserve">الهيئات الأكاديمية المنضمة إلى </w:t>
      </w:r>
      <w:r>
        <w:rPr>
          <w:rFonts w:hint="cs"/>
          <w:sz w:val="18"/>
          <w:szCs w:val="24"/>
          <w:rtl/>
        </w:rPr>
        <w:t>الاتحاد</w:t>
      </w:r>
    </w:p>
    <w:p w:rsidR="00740377" w:rsidRDefault="00740377" w:rsidP="004F7BF1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رؤساء لجان دراسات الاتصالات الراديوية ونوابهم</w:t>
      </w:r>
    </w:p>
    <w:p w:rsidR="00740377" w:rsidRDefault="00740377" w:rsidP="004F7BF1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رئيس الاجتماع التحضيري للمؤتمر ونوابه</w:t>
      </w:r>
    </w:p>
    <w:p w:rsidR="00740377" w:rsidRDefault="00740377" w:rsidP="004F7BF1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أعضاء لجنة لوائح الراديو</w:t>
      </w:r>
    </w:p>
    <w:p w:rsidR="00740377" w:rsidRDefault="00740377" w:rsidP="004F7BF1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740377" w:rsidRDefault="00740377" w:rsidP="00740377">
      <w:pPr>
        <w:tabs>
          <w:tab w:val="left" w:pos="425"/>
        </w:tabs>
        <w:spacing w:before="0" w:line="168" w:lineRule="auto"/>
        <w:rPr>
          <w:rtl/>
        </w:rPr>
      </w:pPr>
      <w:r>
        <w:rPr>
          <w:rtl/>
        </w:rPr>
        <w:br w:type="page"/>
      </w:r>
    </w:p>
    <w:p w:rsidR="00740377" w:rsidRPr="00FF6507" w:rsidRDefault="00740377" w:rsidP="00994154">
      <w:pPr>
        <w:pStyle w:val="AnnexNo0"/>
        <w:rPr>
          <w:rtl/>
        </w:rPr>
      </w:pPr>
      <w:r>
        <w:rPr>
          <w:rFonts w:hint="cs"/>
          <w:rtl/>
        </w:rPr>
        <w:t>الملحـق</w:t>
      </w:r>
    </w:p>
    <w:p w:rsidR="00740377" w:rsidRPr="00FF6507" w:rsidRDefault="00740377" w:rsidP="00E04882">
      <w:pPr>
        <w:pStyle w:val="Annextitle0"/>
        <w:rPr>
          <w:rtl/>
          <w:lang w:bidi="ar-EG"/>
        </w:rPr>
      </w:pPr>
      <w:r w:rsidRPr="00884534">
        <w:rPr>
          <w:rFonts w:hint="cs"/>
          <w:rtl/>
        </w:rPr>
        <w:t>عن</w:t>
      </w:r>
      <w:r w:rsidR="00994154" w:rsidRPr="00884534">
        <w:rPr>
          <w:rFonts w:hint="cs"/>
          <w:rtl/>
        </w:rPr>
        <w:t>وان</w:t>
      </w:r>
      <w:r w:rsidRPr="00884534">
        <w:rPr>
          <w:rFonts w:hint="cs"/>
          <w:rtl/>
        </w:rPr>
        <w:t xml:space="preserve"> وملخص مش</w:t>
      </w:r>
      <w:r w:rsidR="00994154" w:rsidRPr="00884534">
        <w:rPr>
          <w:rFonts w:hint="cs"/>
          <w:rtl/>
        </w:rPr>
        <w:t>روع</w:t>
      </w:r>
      <w:r w:rsidRPr="00884534">
        <w:rPr>
          <w:rFonts w:hint="cs"/>
          <w:rtl/>
        </w:rPr>
        <w:t xml:space="preserve"> التوصي</w:t>
      </w:r>
      <w:r w:rsidR="00994154" w:rsidRPr="00884534">
        <w:rPr>
          <w:rFonts w:hint="cs"/>
          <w:rtl/>
        </w:rPr>
        <w:t>ة</w:t>
      </w:r>
      <w:r w:rsidR="00E04882">
        <w:rPr>
          <w:rFonts w:hint="cs"/>
          <w:rtl/>
        </w:rPr>
        <w:t xml:space="preserve"> الذي اعتمدته</w:t>
      </w:r>
      <w:r w:rsidRPr="00884534">
        <w:rPr>
          <w:rtl/>
        </w:rPr>
        <w:br/>
      </w:r>
      <w:r w:rsidRPr="00884534">
        <w:rPr>
          <w:rFonts w:hint="cs"/>
          <w:rtl/>
        </w:rPr>
        <w:t xml:space="preserve">لجنة الدراسات </w:t>
      </w:r>
      <w:r w:rsidR="00994154" w:rsidRPr="00884534">
        <w:t>1</w:t>
      </w:r>
      <w:r w:rsidRPr="00884534">
        <w:rPr>
          <w:rFonts w:hint="cs"/>
          <w:rtl/>
          <w:lang w:bidi="ar-EG"/>
        </w:rPr>
        <w:t xml:space="preserve"> للاتصالات الراديوية</w:t>
      </w:r>
    </w:p>
    <w:p w:rsidR="0098184B" w:rsidRPr="00B53160" w:rsidRDefault="0098184B" w:rsidP="008C6EC1">
      <w:pPr>
        <w:tabs>
          <w:tab w:val="right" w:pos="9639"/>
        </w:tabs>
        <w:spacing w:before="480"/>
        <w:rPr>
          <w:rFonts w:eastAsia="SimSun"/>
          <w:rtl/>
          <w:lang w:eastAsia="zh-CN"/>
        </w:rPr>
      </w:pPr>
      <w:r w:rsidRPr="00B53160">
        <w:rPr>
          <w:rFonts w:eastAsia="SimSun" w:hint="cs"/>
          <w:u w:val="single"/>
          <w:rtl/>
          <w:lang w:eastAsia="zh-CN"/>
        </w:rPr>
        <w:t xml:space="preserve">مشروع مراجعة التوصية </w:t>
      </w:r>
      <w:r w:rsidRPr="00B53160">
        <w:rPr>
          <w:rFonts w:eastAsia="SimSun"/>
          <w:u w:val="single"/>
          <w:lang w:eastAsia="zh-CN"/>
        </w:rPr>
        <w:t>ITU</w:t>
      </w:r>
      <w:r>
        <w:rPr>
          <w:rFonts w:eastAsia="SimSun"/>
          <w:u w:val="single"/>
          <w:lang w:eastAsia="zh-CN"/>
        </w:rPr>
        <w:noBreakHyphen/>
      </w:r>
      <w:r w:rsidRPr="00B53160">
        <w:rPr>
          <w:rFonts w:eastAsia="SimSun"/>
          <w:u w:val="single"/>
          <w:lang w:eastAsia="zh-CN"/>
        </w:rPr>
        <w:t>R</w:t>
      </w:r>
      <w:r>
        <w:rPr>
          <w:rFonts w:eastAsia="SimSun"/>
          <w:u w:val="single"/>
          <w:lang w:eastAsia="zh-CN"/>
        </w:rPr>
        <w:t> </w:t>
      </w:r>
      <w:r w:rsidRPr="00B53160">
        <w:rPr>
          <w:rFonts w:eastAsia="SimSun"/>
          <w:u w:val="single"/>
          <w:lang w:eastAsia="zh-CN"/>
        </w:rPr>
        <w:t>SM.141</w:t>
      </w:r>
      <w:r w:rsidRPr="00F53F46">
        <w:rPr>
          <w:rFonts w:eastAsia="SimSun"/>
          <w:u w:val="single"/>
          <w:lang w:eastAsia="zh-CN"/>
        </w:rPr>
        <w:t>3</w:t>
      </w:r>
      <w:r>
        <w:rPr>
          <w:rFonts w:eastAsia="SimSun"/>
          <w:u w:val="single"/>
          <w:lang w:eastAsia="zh-CN"/>
        </w:rPr>
        <w:noBreakHyphen/>
      </w:r>
      <w:r w:rsidRPr="00B53160">
        <w:rPr>
          <w:rFonts w:eastAsia="SimSun"/>
          <w:u w:val="single"/>
          <w:lang w:eastAsia="zh-CN"/>
        </w:rPr>
        <w:t>3</w:t>
      </w:r>
      <w:r>
        <w:rPr>
          <w:rFonts w:eastAsia="SimSun"/>
          <w:rtl/>
          <w:lang w:eastAsia="zh-CN" w:bidi="ar-EG"/>
        </w:rPr>
        <w:tab/>
      </w:r>
      <w:r w:rsidRPr="00B53160">
        <w:rPr>
          <w:rFonts w:eastAsia="SimSun" w:hint="cs"/>
          <w:rtl/>
          <w:lang w:eastAsia="zh-CN" w:bidi="ar-EG"/>
        </w:rPr>
        <w:t xml:space="preserve">الوثيقة </w:t>
      </w:r>
      <w:hyperlink r:id="rId15" w:history="1">
        <w:r w:rsidRPr="0098184B">
          <w:rPr>
            <w:rStyle w:val="Hyperlink"/>
            <w:rFonts w:ascii="Calibri" w:hAnsi="Calibri"/>
          </w:rPr>
          <w:t>1/47(Rev.1)</w:t>
        </w:r>
      </w:hyperlink>
    </w:p>
    <w:p w:rsidR="0098184B" w:rsidRPr="00B53160" w:rsidRDefault="00696300" w:rsidP="00F127CE">
      <w:pPr>
        <w:pStyle w:val="Rectitle"/>
        <w:spacing w:before="240" w:after="0"/>
        <w:rPr>
          <w:rFonts w:eastAsiaTheme="minorEastAsia"/>
          <w:rtl/>
          <w:lang w:eastAsia="zh-CN" w:bidi="ar-EG"/>
        </w:rPr>
      </w:pPr>
      <w:r w:rsidRPr="00696300">
        <w:rPr>
          <w:rFonts w:eastAsiaTheme="minorEastAsia" w:hint="cs"/>
          <w:rtl/>
          <w:lang w:eastAsia="zh-CN" w:bidi="ar-EG"/>
        </w:rPr>
        <w:t>قاموس بيانات الاتصالات الراديوية</w:t>
      </w:r>
      <w:r w:rsidRPr="00696300">
        <w:rPr>
          <w:rFonts w:eastAsiaTheme="minorEastAsia" w:hint="cs"/>
          <w:rtl/>
          <w:lang w:eastAsia="zh-CN" w:bidi="ar-EG"/>
        </w:rPr>
        <w:br/>
        <w:t>لأغراض التبليغ والتنسيق</w:t>
      </w:r>
    </w:p>
    <w:p w:rsidR="0098184B" w:rsidRPr="00B53160" w:rsidRDefault="00E04882" w:rsidP="00574E1A">
      <w:pPr>
        <w:pStyle w:val="Normalaftertitle"/>
        <w:spacing w:before="240"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>يعبر</w:t>
      </w:r>
      <w:r w:rsidR="0098184B" w:rsidRPr="00574E1A">
        <w:rPr>
          <w:rFonts w:eastAsia="SimSun" w:hint="cs"/>
          <w:rtl/>
          <w:lang w:eastAsia="zh-CN"/>
        </w:rPr>
        <w:t xml:space="preserve"> مشروع مراجعة التوصية</w:t>
      </w:r>
      <w:r>
        <w:rPr>
          <w:rFonts w:eastAsia="SimSun" w:hint="cs"/>
          <w:rtl/>
          <w:lang w:eastAsia="zh-CN"/>
        </w:rPr>
        <w:t xml:space="preserve"> عن</w:t>
      </w:r>
      <w:r w:rsidR="0098184B" w:rsidRPr="00574E1A">
        <w:rPr>
          <w:rFonts w:eastAsia="SimSun" w:hint="cs"/>
          <w:rtl/>
          <w:lang w:eastAsia="zh-CN"/>
        </w:rPr>
        <w:t xml:space="preserve"> التغييرات الناشئة عما يلي:</w:t>
      </w:r>
    </w:p>
    <w:p w:rsidR="0098184B" w:rsidRPr="00B53160" w:rsidRDefault="0098184B" w:rsidP="00272A77">
      <w:pPr>
        <w:pStyle w:val="enumlev1"/>
        <w:ind w:left="794" w:hanging="794"/>
        <w:rPr>
          <w:rFonts w:eastAsia="SimSun"/>
          <w:rtl/>
          <w:lang w:eastAsia="zh-CN" w:bidi="ar-EG"/>
        </w:rPr>
      </w:pPr>
      <w:r w:rsidRPr="00B53160">
        <w:rPr>
          <w:rFonts w:eastAsia="SimSun" w:hint="cs"/>
          <w:rtl/>
          <w:lang w:eastAsia="zh-CN"/>
        </w:rPr>
        <w:t>-</w:t>
      </w:r>
      <w:r w:rsidRPr="00B53160">
        <w:rPr>
          <w:rFonts w:eastAsia="SimSun" w:hint="cs"/>
          <w:rtl/>
          <w:lang w:eastAsia="zh-CN"/>
        </w:rPr>
        <w:tab/>
      </w:r>
      <w:r w:rsidR="00E04882">
        <w:rPr>
          <w:rFonts w:eastAsia="SimSun" w:hint="cs"/>
          <w:rtl/>
          <w:lang w:eastAsia="zh-CN"/>
        </w:rPr>
        <w:t>تعديلات</w:t>
      </w:r>
      <w:r w:rsidRPr="00B53160">
        <w:rPr>
          <w:rFonts w:eastAsiaTheme="minorEastAsia" w:hint="cs"/>
          <w:rtl/>
          <w:lang w:eastAsia="zh-CN"/>
        </w:rPr>
        <w:t xml:space="preserve"> </w:t>
      </w:r>
      <w:r w:rsidRPr="00B53160">
        <w:rPr>
          <w:rFonts w:eastAsiaTheme="minorEastAsia"/>
          <w:rtl/>
          <w:lang w:eastAsia="zh-CN"/>
        </w:rPr>
        <w:t xml:space="preserve">التذييل </w:t>
      </w:r>
      <w:r w:rsidRPr="00A1723D">
        <w:rPr>
          <w:rFonts w:eastAsiaTheme="minorEastAsia"/>
          <w:b/>
          <w:bCs/>
          <w:lang w:eastAsia="zh-CN"/>
        </w:rPr>
        <w:t>4</w:t>
      </w:r>
      <w:r w:rsidRPr="00B53160">
        <w:rPr>
          <w:rFonts w:eastAsiaTheme="minorEastAsia"/>
          <w:rtl/>
          <w:lang w:eastAsia="zh-CN"/>
        </w:rPr>
        <w:t xml:space="preserve"> </w:t>
      </w:r>
      <w:r w:rsidR="008A5D4B">
        <w:rPr>
          <w:rFonts w:eastAsiaTheme="minorEastAsia" w:hint="cs"/>
          <w:rtl/>
          <w:lang w:eastAsia="zh-CN"/>
        </w:rPr>
        <w:t>ل</w:t>
      </w:r>
      <w:r w:rsidRPr="00B53160">
        <w:rPr>
          <w:rFonts w:eastAsiaTheme="minorEastAsia"/>
          <w:rtl/>
          <w:lang w:eastAsia="zh-CN"/>
        </w:rPr>
        <w:t>لوائح الراديو</w:t>
      </w:r>
      <w:r w:rsidR="00020CF4">
        <w:rPr>
          <w:rFonts w:eastAsiaTheme="minorEastAsia" w:hint="cs"/>
          <w:rtl/>
          <w:lang w:eastAsia="zh-CN"/>
        </w:rPr>
        <w:t xml:space="preserve"> التي أ</w:t>
      </w:r>
      <w:r w:rsidR="00F90824">
        <w:rPr>
          <w:rFonts w:eastAsiaTheme="minorEastAsia" w:hint="cs"/>
          <w:rtl/>
          <w:lang w:eastAsia="zh-CN"/>
        </w:rPr>
        <w:t>ُ</w:t>
      </w:r>
      <w:r w:rsidR="00020CF4">
        <w:rPr>
          <w:rFonts w:eastAsiaTheme="minorEastAsia" w:hint="cs"/>
          <w:rtl/>
          <w:lang w:eastAsia="zh-CN"/>
        </w:rPr>
        <w:t>جريت</w:t>
      </w:r>
      <w:r w:rsidRPr="00B53160">
        <w:rPr>
          <w:rFonts w:eastAsiaTheme="minorEastAsia"/>
          <w:rtl/>
          <w:lang w:eastAsia="zh-CN"/>
        </w:rPr>
        <w:t xml:space="preserve"> في المؤتمر العالمي للاتصالات الراديوية لعام</w:t>
      </w:r>
      <w:r w:rsidR="00272A77">
        <w:rPr>
          <w:rFonts w:eastAsiaTheme="minorEastAsia" w:hint="cs"/>
          <w:rtl/>
          <w:lang w:eastAsia="zh-CN"/>
        </w:rPr>
        <w:t> </w:t>
      </w:r>
      <w:r w:rsidRPr="00B53160">
        <w:rPr>
          <w:rFonts w:eastAsia="SimSun"/>
          <w:lang w:eastAsia="zh-CN"/>
        </w:rPr>
        <w:t>2015</w:t>
      </w:r>
      <w:r w:rsidR="00272A77">
        <w:rPr>
          <w:rFonts w:eastAsia="SimSun" w:hint="cs"/>
          <w:rtl/>
          <w:lang w:eastAsia="zh-CN" w:bidi="ar-EG"/>
        </w:rPr>
        <w:t xml:space="preserve"> </w:t>
      </w:r>
      <w:r w:rsidR="00272A77" w:rsidRPr="00B53160">
        <w:rPr>
          <w:rFonts w:eastAsia="SimSun"/>
          <w:lang w:eastAsia="zh-CN"/>
        </w:rPr>
        <w:t>(WRC</w:t>
      </w:r>
      <w:r w:rsidR="00272A77">
        <w:rPr>
          <w:rFonts w:eastAsia="SimSun"/>
          <w:lang w:eastAsia="zh-CN"/>
        </w:rPr>
        <w:noBreakHyphen/>
      </w:r>
      <w:r w:rsidR="00272A77" w:rsidRPr="00B53160">
        <w:rPr>
          <w:rFonts w:eastAsia="SimSun"/>
          <w:lang w:eastAsia="zh-CN"/>
        </w:rPr>
        <w:t>15)</w:t>
      </w:r>
      <w:r w:rsidRPr="00B53160">
        <w:rPr>
          <w:rFonts w:eastAsia="SimSun" w:hint="cs"/>
          <w:rtl/>
          <w:lang w:eastAsia="zh-CN"/>
        </w:rPr>
        <w:t>؛</w:t>
      </w:r>
    </w:p>
    <w:p w:rsidR="0098184B" w:rsidRPr="00B53160" w:rsidRDefault="0098184B" w:rsidP="0035597A">
      <w:pPr>
        <w:pStyle w:val="enumlev1"/>
        <w:ind w:left="794" w:hanging="794"/>
        <w:rPr>
          <w:rFonts w:eastAsia="SimSun"/>
          <w:rtl/>
          <w:lang w:eastAsia="zh-CN" w:bidi="ar-EG"/>
        </w:rPr>
      </w:pPr>
      <w:r w:rsidRPr="00B53160">
        <w:rPr>
          <w:rFonts w:eastAsia="SimSun" w:hint="cs"/>
          <w:rtl/>
          <w:lang w:eastAsia="zh-CN"/>
        </w:rPr>
        <w:t>-</w:t>
      </w:r>
      <w:r w:rsidRPr="00B53160">
        <w:rPr>
          <w:rFonts w:eastAsia="SimSun" w:hint="cs"/>
          <w:rtl/>
          <w:lang w:eastAsia="zh-CN"/>
        </w:rPr>
        <w:tab/>
      </w:r>
      <w:r w:rsidR="00E04882">
        <w:rPr>
          <w:rFonts w:eastAsia="SimSun" w:hint="cs"/>
          <w:rtl/>
          <w:lang w:eastAsia="zh-CN"/>
        </w:rPr>
        <w:t>التعديلات</w:t>
      </w:r>
      <w:r w:rsidRPr="00A1723D">
        <w:rPr>
          <w:rFonts w:eastAsia="SimSun" w:hint="cs"/>
          <w:rtl/>
          <w:lang w:eastAsia="zh-CN"/>
        </w:rPr>
        <w:t xml:space="preserve"> التي أ</w:t>
      </w:r>
      <w:r w:rsidR="0035597A">
        <w:rPr>
          <w:rFonts w:eastAsia="SimSun" w:hint="cs"/>
          <w:rtl/>
          <w:lang w:eastAsia="zh-CN"/>
        </w:rPr>
        <w:t>ُ</w:t>
      </w:r>
      <w:r w:rsidRPr="00A1723D">
        <w:rPr>
          <w:rFonts w:eastAsia="SimSun" w:hint="cs"/>
          <w:rtl/>
          <w:lang w:eastAsia="zh-CN"/>
        </w:rPr>
        <w:t xml:space="preserve">جريت لمراعاة المعلومات الجديدة المقدمة في بيان الاتصال </w:t>
      </w:r>
      <w:r w:rsidR="008A5D4B">
        <w:rPr>
          <w:rFonts w:eastAsia="SimSun" w:hint="cs"/>
          <w:rtl/>
          <w:lang w:eastAsia="zh-CN"/>
        </w:rPr>
        <w:t>المقدم من</w:t>
      </w:r>
      <w:r w:rsidRPr="00A1723D">
        <w:rPr>
          <w:rFonts w:eastAsia="SimSun" w:hint="cs"/>
          <w:rtl/>
          <w:lang w:eastAsia="zh-CN"/>
        </w:rPr>
        <w:t xml:space="preserve"> فرقة العمل</w:t>
      </w:r>
      <w:r w:rsidR="0035597A">
        <w:rPr>
          <w:rFonts w:eastAsia="SimSun" w:hint="eastAsia"/>
          <w:rtl/>
          <w:lang w:eastAsia="zh-CN"/>
        </w:rPr>
        <w:t> </w:t>
      </w:r>
      <w:r w:rsidRPr="00A1723D">
        <w:rPr>
          <w:rFonts w:eastAsiaTheme="minorEastAsia"/>
          <w:lang w:eastAsia="zh-CN"/>
        </w:rPr>
        <w:t>4A</w:t>
      </w:r>
      <w:r w:rsidRPr="00A1723D">
        <w:rPr>
          <w:rFonts w:eastAsia="SimSun" w:hint="cs"/>
          <w:rtl/>
          <w:lang w:eastAsia="zh-CN"/>
        </w:rPr>
        <w:t xml:space="preserve"> لقطاع الاتصالات الراديوية (انظر الوثيقة </w:t>
      </w:r>
      <w:hyperlink r:id="rId16" w:history="1">
        <w:r w:rsidRPr="00A1723D">
          <w:rPr>
            <w:rStyle w:val="Hyperlink"/>
            <w:rFonts w:ascii="Calibri" w:eastAsiaTheme="minorEastAsia" w:hAnsi="Calibri"/>
            <w:lang w:eastAsia="zh-CN"/>
          </w:rPr>
          <w:t>1B/71</w:t>
        </w:r>
      </w:hyperlink>
      <w:r w:rsidRPr="00A1723D">
        <w:rPr>
          <w:rFonts w:eastAsia="SimSun" w:hint="cs"/>
          <w:rtl/>
          <w:lang w:eastAsia="zh-CN"/>
        </w:rPr>
        <w:t>)؛</w:t>
      </w:r>
    </w:p>
    <w:p w:rsidR="0098184B" w:rsidRPr="00B53160" w:rsidRDefault="0098184B" w:rsidP="0098184B">
      <w:pPr>
        <w:pStyle w:val="enumlev1"/>
        <w:ind w:left="794" w:hanging="794"/>
        <w:rPr>
          <w:rFonts w:eastAsia="SimSun"/>
          <w:rtl/>
          <w:lang w:eastAsia="zh-CN"/>
        </w:rPr>
      </w:pPr>
      <w:r w:rsidRPr="00B53160">
        <w:rPr>
          <w:rFonts w:eastAsia="SimSun" w:hint="cs"/>
          <w:rtl/>
          <w:lang w:eastAsia="zh-CN"/>
        </w:rPr>
        <w:t>-</w:t>
      </w:r>
      <w:r w:rsidRPr="00B53160">
        <w:rPr>
          <w:rFonts w:eastAsia="SimSun" w:hint="cs"/>
          <w:rtl/>
          <w:lang w:eastAsia="zh-CN"/>
        </w:rPr>
        <w:tab/>
        <w:t xml:space="preserve">معلومات إضافية من المادة </w:t>
      </w:r>
      <w:r w:rsidRPr="00265599">
        <w:rPr>
          <w:rFonts w:eastAsia="SimSun"/>
          <w:b/>
          <w:bCs/>
          <w:lang w:eastAsia="zh-CN"/>
        </w:rPr>
        <w:t>5</w:t>
      </w:r>
      <w:r w:rsidRPr="00B53160">
        <w:rPr>
          <w:rFonts w:eastAsia="SimSun" w:hint="cs"/>
          <w:rtl/>
          <w:lang w:eastAsia="zh-CN"/>
        </w:rPr>
        <w:t xml:space="preserve"> من لوائح الراديو لعام </w:t>
      </w:r>
      <w:r w:rsidRPr="00B53160">
        <w:rPr>
          <w:rFonts w:eastAsia="SimSun"/>
          <w:lang w:eastAsia="zh-CN"/>
        </w:rPr>
        <w:t>2016</w:t>
      </w:r>
      <w:r w:rsidRPr="00B53160">
        <w:rPr>
          <w:rFonts w:eastAsia="SimSun" w:hint="cs"/>
          <w:rtl/>
          <w:lang w:eastAsia="zh-CN"/>
        </w:rPr>
        <w:t>؛</w:t>
      </w:r>
    </w:p>
    <w:p w:rsidR="00696300" w:rsidRDefault="0098184B" w:rsidP="00315ED9">
      <w:pPr>
        <w:pStyle w:val="enumlev1"/>
        <w:ind w:left="794" w:hanging="794"/>
        <w:rPr>
          <w:rFonts w:eastAsia="SimSun"/>
          <w:lang w:eastAsia="zh-CN"/>
        </w:rPr>
      </w:pPr>
      <w:r w:rsidRPr="00B53160">
        <w:rPr>
          <w:rFonts w:eastAsia="SimSun" w:hint="cs"/>
          <w:rtl/>
          <w:lang w:eastAsia="zh-CN"/>
        </w:rPr>
        <w:t>-</w:t>
      </w:r>
      <w:r w:rsidRPr="00B53160">
        <w:rPr>
          <w:rFonts w:eastAsia="SimSun" w:hint="cs"/>
          <w:rtl/>
          <w:lang w:eastAsia="zh-CN"/>
        </w:rPr>
        <w:tab/>
        <w:t xml:space="preserve">تعديلات صياغية محددة في لوائح الراديو لعام </w:t>
      </w:r>
      <w:r w:rsidRPr="00B53160">
        <w:rPr>
          <w:rFonts w:eastAsia="SimSun"/>
          <w:lang w:eastAsia="zh-CN"/>
        </w:rPr>
        <w:t>2016</w:t>
      </w:r>
      <w:r w:rsidRPr="00B53160">
        <w:rPr>
          <w:rFonts w:eastAsia="SimSun" w:hint="cs"/>
          <w:rtl/>
          <w:lang w:eastAsia="zh-CN"/>
        </w:rPr>
        <w:t>.</w:t>
      </w:r>
    </w:p>
    <w:p w:rsidR="00740377" w:rsidRDefault="00740377" w:rsidP="00696300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740377" w:rsidSect="008B5B5D">
      <w:head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5FE" w:rsidRDefault="00C335FE" w:rsidP="00E07379">
      <w:pPr>
        <w:spacing w:before="0" w:line="240" w:lineRule="auto"/>
      </w:pPr>
      <w:r>
        <w:separator/>
      </w:r>
    </w:p>
  </w:endnote>
  <w:endnote w:type="continuationSeparator" w:id="0">
    <w:p w:rsidR="00C335FE" w:rsidRDefault="00C335F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734C8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  <w:r w:rsidR="009734C8">
      <w:rPr>
        <w:rFonts w:cs="Calibri"/>
        <w:sz w:val="18"/>
        <w:szCs w:val="18"/>
        <w:rtl/>
      </w:rPr>
      <w:br/>
    </w:r>
    <w:r w:rsidR="009734C8" w:rsidRPr="00740377">
      <w:rPr>
        <w:rFonts w:cs="Calibri"/>
        <w:b/>
        <w:bCs/>
        <w:color w:val="1F4E79" w:themeColor="accent1" w:themeShade="80"/>
        <w:sz w:val="18"/>
        <w:szCs w:val="18"/>
      </w:rPr>
      <w:t>90</w:t>
    </w:r>
    <w:r w:rsidR="009734C8" w:rsidRPr="00740377">
      <w:rPr>
        <w:rFonts w:cs="Calibri"/>
        <w:b/>
        <w:bCs/>
        <w:color w:val="1F4E79" w:themeColor="accent1" w:themeShade="80"/>
        <w:sz w:val="18"/>
        <w:szCs w:val="18"/>
        <w:vertAlign w:val="superscript"/>
      </w:rPr>
      <w:t>th</w:t>
    </w:r>
    <w:r w:rsidR="009734C8" w:rsidRPr="00740377">
      <w:rPr>
        <w:rFonts w:cs="Calibri"/>
        <w:b/>
        <w:bCs/>
        <w:color w:val="1F4E79" w:themeColor="accent1" w:themeShade="80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5FE" w:rsidRDefault="00C335FE" w:rsidP="00E07379">
      <w:pPr>
        <w:spacing w:before="0" w:line="240" w:lineRule="auto"/>
      </w:pPr>
      <w:r>
        <w:separator/>
      </w:r>
    </w:p>
  </w:footnote>
  <w:footnote w:type="continuationSeparator" w:id="0">
    <w:p w:rsidR="00C335FE" w:rsidRDefault="00C335F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E6303A" w:rsidRDefault="00AF70F6" w:rsidP="002D4DD1">
    <w:pPr>
      <w:bidi w:val="0"/>
      <w:spacing w:after="240" w:line="240" w:lineRule="auto"/>
      <w:jc w:val="center"/>
      <w:rPr>
        <w:rStyle w:val="PageNumber"/>
        <w:sz w:val="18"/>
        <w:szCs w:val="18"/>
        <w:rtl/>
        <w:lang w:bidi="ar-EG"/>
      </w:rPr>
    </w:pPr>
    <w:r w:rsidRPr="00E6303A">
      <w:rPr>
        <w:rStyle w:val="PageNumber"/>
        <w:sz w:val="18"/>
        <w:szCs w:val="18"/>
      </w:rPr>
      <w:t xml:space="preserve">- </w:t>
    </w:r>
    <w:r w:rsidR="0022345D" w:rsidRPr="00E6303A">
      <w:rPr>
        <w:rStyle w:val="PageNumber"/>
        <w:sz w:val="18"/>
        <w:szCs w:val="18"/>
      </w:rPr>
      <w:fldChar w:fldCharType="begin"/>
    </w:r>
    <w:r w:rsidR="0022345D" w:rsidRPr="00E6303A">
      <w:rPr>
        <w:rStyle w:val="PageNumber"/>
        <w:sz w:val="18"/>
        <w:szCs w:val="18"/>
      </w:rPr>
      <w:instrText xml:space="preserve"> PAGE </w:instrText>
    </w:r>
    <w:r w:rsidR="0022345D" w:rsidRPr="00E6303A">
      <w:rPr>
        <w:rStyle w:val="PageNumber"/>
        <w:sz w:val="18"/>
        <w:szCs w:val="18"/>
      </w:rPr>
      <w:fldChar w:fldCharType="separate"/>
    </w:r>
    <w:r w:rsidR="00E6303A">
      <w:rPr>
        <w:rStyle w:val="PageNumber"/>
        <w:noProof/>
        <w:sz w:val="18"/>
        <w:szCs w:val="18"/>
      </w:rPr>
      <w:t>2</w:t>
    </w:r>
    <w:r w:rsidR="0022345D" w:rsidRPr="00E6303A">
      <w:rPr>
        <w:rStyle w:val="PageNumber"/>
        <w:sz w:val="18"/>
        <w:szCs w:val="18"/>
      </w:rPr>
      <w:fldChar w:fldCharType="end"/>
    </w:r>
    <w:r w:rsidRPr="00E6303A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33E83" w:rsidTr="00933E83">
      <w:tc>
        <w:tcPr>
          <w:tcW w:w="4814" w:type="dxa"/>
        </w:tcPr>
        <w:p w:rsidR="00933E83" w:rsidRDefault="00933E83" w:rsidP="00933E83">
          <w:pPr>
            <w:pStyle w:val="Header"/>
            <w:spacing w:before="120"/>
            <w:jc w:val="left"/>
            <w:rPr>
              <w:rtl/>
            </w:rPr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2C25CCF" wp14:editId="456F2BB8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933E83" w:rsidRDefault="00933E83" w:rsidP="00933E83">
          <w:pPr>
            <w:pStyle w:val="Header"/>
            <w:jc w:val="right"/>
            <w:rPr>
              <w:rtl/>
            </w:rPr>
          </w:pPr>
          <w:r w:rsidRPr="00A03501">
            <w:rPr>
              <w:noProof/>
              <w:lang w:eastAsia="zh-CN"/>
            </w:rPr>
            <w:drawing>
              <wp:inline distT="0" distB="0" distL="0" distR="0" wp14:anchorId="1B4618BD" wp14:editId="6B2FCCF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FE"/>
    <w:rsid w:val="000124CC"/>
    <w:rsid w:val="00020CF4"/>
    <w:rsid w:val="00041F8B"/>
    <w:rsid w:val="00046444"/>
    <w:rsid w:val="0006023B"/>
    <w:rsid w:val="0006249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30730"/>
    <w:rsid w:val="00173915"/>
    <w:rsid w:val="001909E2"/>
    <w:rsid w:val="0020229F"/>
    <w:rsid w:val="00204DE1"/>
    <w:rsid w:val="0022345D"/>
    <w:rsid w:val="00225854"/>
    <w:rsid w:val="0023283D"/>
    <w:rsid w:val="00252E0C"/>
    <w:rsid w:val="00265599"/>
    <w:rsid w:val="00272A77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24AF"/>
    <w:rsid w:val="002F5560"/>
    <w:rsid w:val="002F7232"/>
    <w:rsid w:val="003044D5"/>
    <w:rsid w:val="0030486B"/>
    <w:rsid w:val="00315ED9"/>
    <w:rsid w:val="003231B9"/>
    <w:rsid w:val="003275AC"/>
    <w:rsid w:val="00333D29"/>
    <w:rsid w:val="003409F4"/>
    <w:rsid w:val="0035597A"/>
    <w:rsid w:val="00357185"/>
    <w:rsid w:val="003C475F"/>
    <w:rsid w:val="003E0570"/>
    <w:rsid w:val="003E4132"/>
    <w:rsid w:val="003F678F"/>
    <w:rsid w:val="0042686F"/>
    <w:rsid w:val="004367CE"/>
    <w:rsid w:val="00443869"/>
    <w:rsid w:val="004712C6"/>
    <w:rsid w:val="00497703"/>
    <w:rsid w:val="004F0F06"/>
    <w:rsid w:val="004F7BF1"/>
    <w:rsid w:val="00501E0E"/>
    <w:rsid w:val="005204D7"/>
    <w:rsid w:val="005229F5"/>
    <w:rsid w:val="00530420"/>
    <w:rsid w:val="00541680"/>
    <w:rsid w:val="00552BC5"/>
    <w:rsid w:val="0055516A"/>
    <w:rsid w:val="00560DE4"/>
    <w:rsid w:val="0056374C"/>
    <w:rsid w:val="0056614F"/>
    <w:rsid w:val="00574E1A"/>
    <w:rsid w:val="0057656F"/>
    <w:rsid w:val="00576731"/>
    <w:rsid w:val="0059285F"/>
    <w:rsid w:val="005A24B1"/>
    <w:rsid w:val="005B7B8A"/>
    <w:rsid w:val="005D6476"/>
    <w:rsid w:val="005D6C0D"/>
    <w:rsid w:val="005E31F4"/>
    <w:rsid w:val="005E5283"/>
    <w:rsid w:val="005E58F5"/>
    <w:rsid w:val="00606660"/>
    <w:rsid w:val="006157A3"/>
    <w:rsid w:val="00616B59"/>
    <w:rsid w:val="00620E60"/>
    <w:rsid w:val="0063315A"/>
    <w:rsid w:val="0065591D"/>
    <w:rsid w:val="00662C5A"/>
    <w:rsid w:val="00670AF5"/>
    <w:rsid w:val="0069006B"/>
    <w:rsid w:val="00696300"/>
    <w:rsid w:val="006A59DF"/>
    <w:rsid w:val="006C1556"/>
    <w:rsid w:val="006F267F"/>
    <w:rsid w:val="006F63F7"/>
    <w:rsid w:val="006F6F03"/>
    <w:rsid w:val="00706D7A"/>
    <w:rsid w:val="00707951"/>
    <w:rsid w:val="00726AEC"/>
    <w:rsid w:val="00740377"/>
    <w:rsid w:val="007530CA"/>
    <w:rsid w:val="00783A16"/>
    <w:rsid w:val="00791F8A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4534"/>
    <w:rsid w:val="0089086F"/>
    <w:rsid w:val="008A1810"/>
    <w:rsid w:val="008A5D4B"/>
    <w:rsid w:val="008B0945"/>
    <w:rsid w:val="008B5B5D"/>
    <w:rsid w:val="008B6595"/>
    <w:rsid w:val="008C6EC1"/>
    <w:rsid w:val="008F1E71"/>
    <w:rsid w:val="00917694"/>
    <w:rsid w:val="00923199"/>
    <w:rsid w:val="009263CD"/>
    <w:rsid w:val="00930E6D"/>
    <w:rsid w:val="00933E83"/>
    <w:rsid w:val="00967457"/>
    <w:rsid w:val="00972CA2"/>
    <w:rsid w:val="009734C8"/>
    <w:rsid w:val="0098184B"/>
    <w:rsid w:val="00982B28"/>
    <w:rsid w:val="00984EA5"/>
    <w:rsid w:val="00992593"/>
    <w:rsid w:val="00994154"/>
    <w:rsid w:val="009C17E1"/>
    <w:rsid w:val="009C35ED"/>
    <w:rsid w:val="009F1C12"/>
    <w:rsid w:val="00A124CB"/>
    <w:rsid w:val="00A1723D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D2D29"/>
    <w:rsid w:val="00AE7244"/>
    <w:rsid w:val="00AF3FEE"/>
    <w:rsid w:val="00AF70F6"/>
    <w:rsid w:val="00B02F46"/>
    <w:rsid w:val="00B2000C"/>
    <w:rsid w:val="00B20ADE"/>
    <w:rsid w:val="00B66B9A"/>
    <w:rsid w:val="00B82089"/>
    <w:rsid w:val="00B970AE"/>
    <w:rsid w:val="00BA1427"/>
    <w:rsid w:val="00BE49D0"/>
    <w:rsid w:val="00BF2C38"/>
    <w:rsid w:val="00C23331"/>
    <w:rsid w:val="00C265DA"/>
    <w:rsid w:val="00C335FE"/>
    <w:rsid w:val="00C442F2"/>
    <w:rsid w:val="00C674FE"/>
    <w:rsid w:val="00C7297D"/>
    <w:rsid w:val="00C75633"/>
    <w:rsid w:val="00C8242E"/>
    <w:rsid w:val="00C82615"/>
    <w:rsid w:val="00C85519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82538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4882"/>
    <w:rsid w:val="00E071BE"/>
    <w:rsid w:val="00E07379"/>
    <w:rsid w:val="00E14494"/>
    <w:rsid w:val="00E17033"/>
    <w:rsid w:val="00E22744"/>
    <w:rsid w:val="00E32189"/>
    <w:rsid w:val="00E4199B"/>
    <w:rsid w:val="00E45211"/>
    <w:rsid w:val="00E6303A"/>
    <w:rsid w:val="00E7380C"/>
    <w:rsid w:val="00E74BE7"/>
    <w:rsid w:val="00E86CC9"/>
    <w:rsid w:val="00E96624"/>
    <w:rsid w:val="00EA33FE"/>
    <w:rsid w:val="00EC4942"/>
    <w:rsid w:val="00EE6526"/>
    <w:rsid w:val="00F126F1"/>
    <w:rsid w:val="00F127CE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0824"/>
    <w:rsid w:val="00FD58BD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D924CAA-612D-45CF-A687-33E509AA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740377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740377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SG01-C-0047/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ipr/Pages/policy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R15-WP1B-C-0071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R-REC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R15-SG01-C-0047/en" TargetMode="External"/><Relationship Id="rId10" Type="http://schemas.openxmlformats.org/officeDocument/2006/relationships/hyperlink" Target="mailto:brsgd@itu.int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SG01-C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e10a323-94a9-4e93-88b4-ea964576960d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4F950-FF35-4FD2-89FB-28F63DF3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Detraz, Laurence</cp:lastModifiedBy>
  <cp:revision>4</cp:revision>
  <cp:lastPrinted>2017-07-06T12:19:00Z</cp:lastPrinted>
  <dcterms:created xsi:type="dcterms:W3CDTF">2017-07-05T11:22:00Z</dcterms:created>
  <dcterms:modified xsi:type="dcterms:W3CDTF">2017-07-06T12:19:00Z</dcterms:modified>
  <cp:category>Conference document</cp:category>
</cp:coreProperties>
</file>