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24189C"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24189C">
              <w:rPr>
                <w:rFonts w:eastAsiaTheme="minorEastAsia"/>
                <w:b/>
                <w:bCs/>
                <w:color w:val="808080"/>
                <w:sz w:val="28"/>
                <w:szCs w:val="36"/>
                <w:rtl/>
                <w:lang w:eastAsia="zh-CN"/>
              </w:rPr>
              <w:t>مكتب</w:t>
            </w:r>
            <w:r w:rsidRPr="0024189C">
              <w:rPr>
                <w:rFonts w:eastAsiaTheme="minorEastAsia" w:hint="cs"/>
                <w:b/>
                <w:bCs/>
                <w:color w:val="808080"/>
                <w:sz w:val="28"/>
                <w:szCs w:val="36"/>
                <w:rtl/>
                <w:lang w:eastAsia="zh-CN"/>
              </w:rPr>
              <w:t xml:space="preserve"> </w:t>
            </w:r>
            <w:r w:rsidRPr="0024189C">
              <w:rPr>
                <w:rFonts w:eastAsiaTheme="minorEastAsia"/>
                <w:b/>
                <w:bCs/>
                <w:color w:val="808080"/>
                <w:sz w:val="28"/>
                <w:szCs w:val="36"/>
                <w:rtl/>
                <w:lang w:eastAsia="zh-CN"/>
              </w:rPr>
              <w:t>الاتصالات</w:t>
            </w:r>
            <w:r w:rsidRPr="0024189C">
              <w:rPr>
                <w:rFonts w:eastAsiaTheme="minorEastAsia" w:hint="cs"/>
                <w:b/>
                <w:bCs/>
                <w:color w:val="808080"/>
                <w:sz w:val="28"/>
                <w:szCs w:val="36"/>
                <w:rtl/>
                <w:lang w:eastAsia="zh-CN"/>
              </w:rPr>
              <w:t xml:space="preserve"> </w:t>
            </w:r>
            <w:r w:rsidRPr="0024189C">
              <w:rPr>
                <w:rFonts w:eastAsiaTheme="minorEastAsia"/>
                <w:b/>
                <w:bCs/>
                <w:color w:val="808080"/>
                <w:sz w:val="28"/>
                <w:szCs w:val="36"/>
                <w:rtl/>
                <w:lang w:eastAsia="zh-CN"/>
              </w:rPr>
              <w:t>الراديوية</w:t>
            </w:r>
            <w:r w:rsidRPr="0024189C">
              <w:rPr>
                <w:rFonts w:eastAsiaTheme="minorEastAsia" w:hint="cs"/>
                <w:b/>
                <w:bCs/>
                <w:color w:val="808080"/>
                <w:sz w:val="28"/>
                <w:szCs w:val="36"/>
                <w:rtl/>
                <w:lang w:eastAsia="zh-CN"/>
              </w:rPr>
              <w:t xml:space="preserve"> </w:t>
            </w:r>
            <w:r w:rsidRPr="0024189C">
              <w:rPr>
                <w:rFonts w:eastAsiaTheme="minorEastAsia"/>
                <w:b/>
                <w:bCs/>
                <w:color w:val="808080"/>
                <w:sz w:val="28"/>
                <w:szCs w:val="36"/>
                <w:lang w:eastAsia="zh-CN" w:bidi="ar-SY"/>
              </w:rPr>
              <w:t>(BR)</w:t>
            </w:r>
          </w:p>
          <w:p w:rsidR="0024189C" w:rsidRDefault="0024189C"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A6A6A6" w:themeColor="background1" w:themeShade="A6"/>
                <w:sz w:val="30"/>
                <w:szCs w:val="40"/>
                <w:rtl/>
                <w:lang w:eastAsia="zh-CN" w:bidi="ar-EG"/>
              </w:rPr>
            </w:pPr>
          </w:p>
          <w:p w:rsidR="0024189C" w:rsidRPr="00AF70F6" w:rsidRDefault="0024189C"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A6A6A6" w:themeColor="background1" w:themeShade="A6"/>
                <w:sz w:val="30"/>
                <w:szCs w:val="40"/>
                <w:rtl/>
                <w:lang w:eastAsia="zh-CN" w:bidi="ar-EG"/>
              </w:rPr>
            </w:pPr>
          </w:p>
        </w:tc>
      </w:tr>
      <w:tr w:rsidR="00AF70F6" w:rsidRPr="00AF70F6" w:rsidTr="0029677E">
        <w:tc>
          <w:tcPr>
            <w:tcW w:w="2707" w:type="pct"/>
            <w:gridSpan w:val="2"/>
            <w:shd w:val="clear" w:color="auto" w:fill="auto"/>
          </w:tcPr>
          <w:p w:rsidR="00AF70F6" w:rsidRPr="00AF70F6" w:rsidRDefault="00541EC6"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260" w:lineRule="exact"/>
              <w:jc w:val="left"/>
              <w:rPr>
                <w:rFonts w:eastAsiaTheme="minorEastAsia"/>
                <w:lang w:eastAsia="zh-CN" w:bidi="ar-SY"/>
              </w:rPr>
            </w:pPr>
            <w:r w:rsidRPr="00541EC6">
              <w:rPr>
                <w:rFonts w:eastAsiaTheme="minorEastAsia" w:hint="cs"/>
                <w:rtl/>
                <w:lang w:eastAsia="zh-CN" w:bidi="ar-AE"/>
              </w:rPr>
              <w:t>الرسالة الإدارية المعممة</w:t>
            </w:r>
          </w:p>
          <w:p w:rsidR="00AF70F6" w:rsidRPr="00AF70F6" w:rsidRDefault="00E80F03"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260" w:lineRule="exact"/>
              <w:jc w:val="left"/>
              <w:rPr>
                <w:rFonts w:eastAsiaTheme="minorEastAsia"/>
                <w:rtl/>
                <w:lang w:eastAsia="zh-CN" w:bidi="ar-EG"/>
              </w:rPr>
            </w:pPr>
            <w:r w:rsidRPr="00E80F03">
              <w:rPr>
                <w:rFonts w:eastAsiaTheme="minorEastAsia"/>
                <w:b/>
                <w:bCs/>
                <w:lang w:val="en-GB" w:eastAsia="zh-CN" w:bidi="ar-SY"/>
              </w:rPr>
              <w:t>CACE</w:t>
            </w:r>
            <w:r w:rsidR="00AF70F6" w:rsidRPr="00AF70F6">
              <w:rPr>
                <w:rFonts w:eastAsiaTheme="minorEastAsia"/>
                <w:b/>
                <w:bCs/>
                <w:lang w:val="en-GB" w:eastAsia="zh-CN" w:bidi="ar-SY"/>
              </w:rPr>
              <w:t>/</w:t>
            </w:r>
            <w:r w:rsidRPr="00E80F03">
              <w:rPr>
                <w:rFonts w:eastAsiaTheme="minorEastAsia"/>
                <w:b/>
                <w:bCs/>
                <w:lang w:eastAsia="zh-CN" w:bidi="ar-SY"/>
              </w:rPr>
              <w:t>809</w:t>
            </w:r>
          </w:p>
        </w:tc>
        <w:tc>
          <w:tcPr>
            <w:tcW w:w="2293" w:type="pct"/>
            <w:shd w:val="clear" w:color="auto" w:fill="auto"/>
          </w:tcPr>
          <w:p w:rsidR="00AF70F6" w:rsidRPr="00AF70F6" w:rsidRDefault="00541EC6" w:rsidP="00541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10</w:t>
            </w:r>
            <w:r w:rsidR="00AF70F6" w:rsidRPr="00AF70F6">
              <w:rPr>
                <w:rFonts w:eastAsiaTheme="minorEastAsia" w:hint="cs"/>
                <w:rtl/>
                <w:lang w:eastAsia="zh-CN" w:bidi="ar-SY"/>
              </w:rPr>
              <w:t xml:space="preserve"> </w:t>
            </w:r>
            <w:r>
              <w:rPr>
                <w:rFonts w:eastAsiaTheme="minorEastAsia" w:hint="cs"/>
                <w:rtl/>
                <w:lang w:eastAsia="zh-CN" w:bidi="ar-SY"/>
              </w:rPr>
              <w:t>مايو</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20109E"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24189C">
              <w:rPr>
                <w:rFonts w:eastAsiaTheme="minorEastAsia"/>
                <w:b/>
                <w:bCs/>
                <w:w w:val="115"/>
                <w:rtl/>
                <w:lang w:eastAsia="zh-CN"/>
              </w:rPr>
              <w:t xml:space="preserve">إلى إدارات الدول الأعضاء في </w:t>
            </w:r>
            <w:r w:rsidR="0024189C" w:rsidRPr="0024189C">
              <w:rPr>
                <w:rFonts w:eastAsiaTheme="minorEastAsia" w:hint="cs"/>
                <w:b/>
                <w:bCs/>
                <w:w w:val="115"/>
                <w:rtl/>
                <w:lang w:eastAsia="zh-CN"/>
              </w:rPr>
              <w:t>الاتحاد</w:t>
            </w:r>
            <w:r w:rsidRPr="0024189C">
              <w:rPr>
                <w:rFonts w:eastAsiaTheme="minorEastAsia"/>
                <w:b/>
                <w:bCs/>
                <w:w w:val="115"/>
                <w:rtl/>
                <w:lang w:eastAsia="zh-CN"/>
              </w:rPr>
              <w:t xml:space="preserve"> وأعضاء قطاع الاتصالات الراديوية</w:t>
            </w:r>
            <w:r w:rsidRPr="0024189C">
              <w:rPr>
                <w:rFonts w:eastAsiaTheme="minorEastAsia" w:hint="cs"/>
                <w:b/>
                <w:bCs/>
                <w:w w:val="115"/>
                <w:rtl/>
                <w:lang w:eastAsia="zh-CN"/>
              </w:rPr>
              <w:t xml:space="preserve"> و</w:t>
            </w:r>
            <w:r w:rsidRPr="0024189C">
              <w:rPr>
                <w:rFonts w:eastAsiaTheme="minorEastAsia"/>
                <w:b/>
                <w:bCs/>
                <w:w w:val="115"/>
                <w:rtl/>
                <w:lang w:eastAsia="zh-CN"/>
              </w:rPr>
              <w:t>المنتسبين إليه</w:t>
            </w:r>
            <w:r w:rsidRPr="0020109E">
              <w:rPr>
                <w:rFonts w:eastAsiaTheme="minorEastAsia"/>
                <w:b/>
                <w:bCs/>
                <w:rtl/>
                <w:lang w:eastAsia="zh-CN"/>
              </w:rPr>
              <w:br/>
            </w:r>
            <w:r w:rsidRPr="0020109E">
              <w:rPr>
                <w:rFonts w:eastAsiaTheme="minorEastAsia"/>
                <w:b/>
                <w:bCs/>
                <w:rtl/>
                <w:lang w:eastAsia="zh-CN" w:bidi="ar-EG"/>
              </w:rPr>
              <w:t xml:space="preserve">المشاركين في أعمال لجنة الدراسات </w:t>
            </w:r>
            <w:r w:rsidRPr="0020109E">
              <w:rPr>
                <w:rFonts w:eastAsiaTheme="minorEastAsia"/>
                <w:b/>
                <w:bCs/>
                <w:lang w:val="en-GB" w:eastAsia="zh-CN"/>
              </w:rPr>
              <w:t>7</w:t>
            </w:r>
            <w:r w:rsidRPr="0020109E">
              <w:rPr>
                <w:rFonts w:eastAsiaTheme="minorEastAsia"/>
                <w:b/>
                <w:bCs/>
                <w:rtl/>
                <w:lang w:eastAsia="zh-CN" w:bidi="ar-EG"/>
              </w:rPr>
              <w:t xml:space="preserve"> للاتصالات الراديوية</w:t>
            </w:r>
            <w:r w:rsidRPr="0020109E">
              <w:rPr>
                <w:rFonts w:eastAsiaTheme="minorEastAsia" w:hint="cs"/>
                <w:b/>
                <w:bCs/>
                <w:rtl/>
                <w:lang w:eastAsia="zh-CN" w:bidi="ar-EG"/>
              </w:rPr>
              <w:t xml:space="preserve"> والهيئات الأكاديمية المنضمة إلى الاتحاد</w:t>
            </w:r>
          </w:p>
        </w:tc>
      </w:tr>
      <w:tr w:rsidR="0024189C" w:rsidRPr="00AF70F6" w:rsidTr="002D117D">
        <w:tc>
          <w:tcPr>
            <w:tcW w:w="5000" w:type="pct"/>
            <w:gridSpan w:val="3"/>
            <w:shd w:val="clear" w:color="auto" w:fill="auto"/>
          </w:tcPr>
          <w:p w:rsidR="0024189C" w:rsidRPr="00AF70F6" w:rsidRDefault="0024189C"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24189C" w:rsidRPr="00AF70F6" w:rsidTr="002D117D">
        <w:tc>
          <w:tcPr>
            <w:tcW w:w="5000" w:type="pct"/>
            <w:gridSpan w:val="3"/>
            <w:shd w:val="clear" w:color="auto" w:fill="auto"/>
          </w:tcPr>
          <w:p w:rsidR="0024189C" w:rsidRPr="00AF70F6" w:rsidRDefault="0024189C" w:rsidP="0024189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20109E" w:rsidP="0020109E">
            <w:pPr>
              <w:spacing w:before="60" w:after="60" w:line="340" w:lineRule="exact"/>
              <w:rPr>
                <w:b/>
                <w:bCs/>
                <w:rtl/>
                <w:lang w:bidi="ar-EG"/>
              </w:rPr>
            </w:pPr>
            <w:r w:rsidRPr="0020109E">
              <w:rPr>
                <w:b/>
                <w:bCs/>
                <w:rtl/>
                <w:lang w:bidi="ar-EG"/>
              </w:rPr>
              <w:t xml:space="preserve">لجنة الدراسات </w:t>
            </w:r>
            <w:r w:rsidRPr="0020109E">
              <w:rPr>
                <w:b/>
                <w:bCs/>
                <w:lang w:bidi="ar-EG"/>
              </w:rPr>
              <w:t>7</w:t>
            </w:r>
            <w:r w:rsidRPr="0020109E">
              <w:rPr>
                <w:b/>
                <w:bCs/>
                <w:rtl/>
                <w:lang w:bidi="ar-EG"/>
              </w:rPr>
              <w:t xml:space="preserve"> للاتصالات الراديوي</w:t>
            </w:r>
            <w:r w:rsidRPr="0020109E">
              <w:rPr>
                <w:rFonts w:hint="cs"/>
                <w:b/>
                <w:bCs/>
                <w:rtl/>
                <w:lang w:bidi="ar-EG"/>
              </w:rPr>
              <w:t>ة (خدمات العلوم)</w:t>
            </w:r>
          </w:p>
          <w:p w:rsidR="00AF70F6" w:rsidRPr="0020109E" w:rsidRDefault="00AF70F6" w:rsidP="0020109E">
            <w:pPr>
              <w:tabs>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0020109E" w:rsidRPr="0020109E">
              <w:rPr>
                <w:rFonts w:hint="cs"/>
                <w:b/>
                <w:bCs/>
                <w:rtl/>
                <w:lang w:bidi="ar-EG"/>
              </w:rPr>
              <w:t xml:space="preserve">اقتراح للموافقة على مشروع توصية جديدة ومشاريع مراجعة </w:t>
            </w:r>
            <w:r w:rsidR="0020109E" w:rsidRPr="0020109E">
              <w:rPr>
                <w:b/>
                <w:bCs/>
                <w:lang w:bidi="ar-EG"/>
              </w:rPr>
              <w:t>8</w:t>
            </w:r>
            <w:r w:rsidR="0020109E" w:rsidRPr="0020109E">
              <w:rPr>
                <w:rFonts w:hint="cs"/>
                <w:b/>
                <w:bCs/>
                <w:rtl/>
                <w:lang w:bidi="ar-EG"/>
              </w:rPr>
              <w:t xml:space="preserve"> توصيات لقطاع الاتصالات الراديوية</w:t>
            </w:r>
          </w:p>
        </w:tc>
      </w:tr>
    </w:tbl>
    <w:p w:rsidR="00E91979" w:rsidRPr="00FD1E27" w:rsidRDefault="00E91979" w:rsidP="00460213">
      <w:pPr>
        <w:spacing w:before="960"/>
        <w:rPr>
          <w:spacing w:val="-2"/>
          <w:rtl/>
          <w:lang w:bidi="ar-EG"/>
        </w:rPr>
      </w:pPr>
      <w:r w:rsidRPr="00FD1E27">
        <w:rPr>
          <w:rFonts w:hint="cs"/>
          <w:spacing w:val="-2"/>
          <w:rtl/>
          <w:lang w:bidi="ar-EG"/>
        </w:rPr>
        <w:t xml:space="preserve">اعتمدت لجنة الدراسات </w:t>
      </w:r>
      <w:r w:rsidRPr="00FD1E27">
        <w:rPr>
          <w:spacing w:val="-2"/>
        </w:rPr>
        <w:t>7</w:t>
      </w:r>
      <w:r w:rsidRPr="00FD1E27">
        <w:rPr>
          <w:rFonts w:hint="cs"/>
          <w:spacing w:val="-2"/>
          <w:rtl/>
          <w:lang w:bidi="ar-EG"/>
        </w:rPr>
        <w:t xml:space="preserve"> للاتصالات الراديوية في اجتماعها المنعقد في </w:t>
      </w:r>
      <w:r w:rsidRPr="00FD1E27">
        <w:rPr>
          <w:spacing w:val="-2"/>
        </w:rPr>
        <w:t>4</w:t>
      </w:r>
      <w:r w:rsidRPr="00FD1E27">
        <w:rPr>
          <w:rFonts w:hint="cs"/>
          <w:spacing w:val="-2"/>
          <w:rtl/>
          <w:lang w:bidi="ar-EG"/>
        </w:rPr>
        <w:t xml:space="preserve"> و</w:t>
      </w:r>
      <w:r w:rsidRPr="00FD1E27">
        <w:rPr>
          <w:spacing w:val="-2"/>
        </w:rPr>
        <w:t>12</w:t>
      </w:r>
      <w:r w:rsidRPr="00FD1E27">
        <w:rPr>
          <w:rFonts w:hint="cs"/>
          <w:spacing w:val="-2"/>
          <w:rtl/>
          <w:lang w:bidi="ar-EG"/>
        </w:rPr>
        <w:t xml:space="preserve"> أبريل </w:t>
      </w:r>
      <w:r w:rsidRPr="00FD1E27">
        <w:rPr>
          <w:spacing w:val="-2"/>
        </w:rPr>
        <w:t>2017</w:t>
      </w:r>
      <w:r w:rsidRPr="00FD1E27">
        <w:rPr>
          <w:rFonts w:hint="cs"/>
          <w:spacing w:val="-2"/>
          <w:rtl/>
          <w:lang w:bidi="ar-EG"/>
        </w:rPr>
        <w:t xml:space="preserve">، نصوص مشروع توصية جديدة </w:t>
      </w:r>
      <w:r w:rsidR="00FD1E27" w:rsidRPr="00FD1E27">
        <w:rPr>
          <w:rFonts w:hint="cs"/>
          <w:spacing w:val="-2"/>
          <w:rtl/>
          <w:lang w:bidi="ar-EG"/>
        </w:rPr>
        <w:t xml:space="preserve">واحدة </w:t>
      </w:r>
      <w:r w:rsidRPr="00FD1E27">
        <w:rPr>
          <w:rFonts w:hint="cs"/>
          <w:spacing w:val="-2"/>
          <w:rtl/>
          <w:lang w:bidi="ar-EG"/>
        </w:rPr>
        <w:t xml:space="preserve">ومشاريع مراجعة </w:t>
      </w:r>
      <w:r w:rsidRPr="00FD1E27">
        <w:rPr>
          <w:spacing w:val="-2"/>
        </w:rPr>
        <w:t>8</w:t>
      </w:r>
      <w:r w:rsidRPr="00FD1E27">
        <w:rPr>
          <w:rFonts w:hint="cs"/>
          <w:spacing w:val="-2"/>
          <w:rtl/>
          <w:lang w:bidi="ar-EG"/>
        </w:rPr>
        <w:t xml:space="preserve"> توصيات لقطاع الاتصالات الراديوية واتفقت على تطبيق إجراء القرار</w:t>
      </w:r>
      <w:r w:rsidRPr="00FD1E27">
        <w:rPr>
          <w:rFonts w:hint="eastAsia"/>
          <w:spacing w:val="-2"/>
          <w:rtl/>
          <w:lang w:bidi="ar-EG"/>
        </w:rPr>
        <w:t> </w:t>
      </w:r>
      <w:r w:rsidRPr="00FD1E27">
        <w:rPr>
          <w:spacing w:val="-2"/>
          <w:lang w:val="en-GB"/>
        </w:rPr>
        <w:t>ITU</w:t>
      </w:r>
      <w:r w:rsidRPr="00FD1E27">
        <w:rPr>
          <w:spacing w:val="-2"/>
          <w:lang w:val="en-GB"/>
        </w:rPr>
        <w:noBreakHyphen/>
        <w:t>R 1</w:t>
      </w:r>
      <w:r w:rsidRPr="00FD1E27">
        <w:rPr>
          <w:spacing w:val="-2"/>
          <w:lang w:val="en-GB"/>
        </w:rPr>
        <w:noBreakHyphen/>
        <w:t>7</w:t>
      </w:r>
      <w:r w:rsidRPr="00FD1E27">
        <w:rPr>
          <w:rFonts w:hint="cs"/>
          <w:spacing w:val="-2"/>
          <w:rtl/>
          <w:lang w:bidi="ar-EG"/>
        </w:rPr>
        <w:t xml:space="preserve"> (انظر</w:t>
      </w:r>
      <w:r w:rsidRPr="00FD1E27">
        <w:rPr>
          <w:rFonts w:hint="eastAsia"/>
          <w:spacing w:val="-2"/>
          <w:rtl/>
          <w:lang w:bidi="ar-EG"/>
        </w:rPr>
        <w:t> </w:t>
      </w:r>
      <w:r w:rsidRPr="00FD1E27">
        <w:rPr>
          <w:rFonts w:hint="cs"/>
          <w:spacing w:val="-2"/>
          <w:rtl/>
          <w:lang w:bidi="ar-EG"/>
        </w:rPr>
        <w:t>الفقرة </w:t>
      </w:r>
      <w:r w:rsidRPr="00FD1E27">
        <w:rPr>
          <w:spacing w:val="-2"/>
        </w:rPr>
        <w:t>3.2.6.A2</w:t>
      </w:r>
      <w:r w:rsidRPr="00FD1E27">
        <w:rPr>
          <w:rFonts w:hint="cs"/>
          <w:spacing w:val="-2"/>
          <w:rtl/>
          <w:lang w:bidi="ar-EG"/>
        </w:rPr>
        <w:t>) المتعلق بالموافقة على التوصيات بالتشاور. وترد في الملحق بهذه الرسالة عناوين مشاريع التوصيات وملخصاتها. ويرجى من أي دولة عضو تعترض على الموافقة على مشروع توصية أن تخبر المدير ورئيس لجنة الدراسات بأسباب</w:t>
      </w:r>
      <w:r w:rsidRPr="00FD1E27">
        <w:rPr>
          <w:rFonts w:hint="eastAsia"/>
          <w:spacing w:val="-2"/>
          <w:rtl/>
          <w:lang w:bidi="ar-EG"/>
        </w:rPr>
        <w:t> </w:t>
      </w:r>
      <w:r w:rsidRPr="00FD1E27">
        <w:rPr>
          <w:rFonts w:hint="cs"/>
          <w:spacing w:val="-2"/>
          <w:rtl/>
          <w:lang w:bidi="ar-EG"/>
        </w:rPr>
        <w:t>اعتراضها.</w:t>
      </w:r>
    </w:p>
    <w:p w:rsidR="00E91979" w:rsidRPr="00E91979" w:rsidRDefault="00E91979" w:rsidP="00E91979">
      <w:pPr>
        <w:rPr>
          <w:rtl/>
          <w:lang w:bidi="ar-EG"/>
        </w:rPr>
      </w:pPr>
      <w:r w:rsidRPr="00E91979">
        <w:rPr>
          <w:rFonts w:hint="cs"/>
          <w:rtl/>
          <w:lang w:bidi="ar-EG"/>
        </w:rPr>
        <w:t>وبالنظر إلى أحكام الفقرة </w:t>
      </w:r>
      <w:r w:rsidRPr="00E91979">
        <w:t>3.2.6.A2</w:t>
      </w:r>
      <w:r w:rsidRPr="00E91979">
        <w:rPr>
          <w:rFonts w:hint="cs"/>
          <w:rtl/>
          <w:lang w:bidi="ar-EG"/>
        </w:rPr>
        <w:t xml:space="preserve"> من القرار </w:t>
      </w:r>
      <w:r w:rsidRPr="00E91979">
        <w:rPr>
          <w:lang w:val="en-GB"/>
        </w:rPr>
        <w:t>ITU</w:t>
      </w:r>
      <w:r w:rsidRPr="00E91979">
        <w:rPr>
          <w:lang w:val="en-GB"/>
        </w:rPr>
        <w:noBreakHyphen/>
        <w:t>R 1</w:t>
      </w:r>
      <w:r w:rsidRPr="00E91979">
        <w:rPr>
          <w:lang w:val="en-GB"/>
        </w:rPr>
        <w:noBreakHyphen/>
        <w:t>7</w:t>
      </w:r>
      <w:r w:rsidRPr="00E91979">
        <w:rPr>
          <w:rFonts w:hint="cs"/>
          <w:rtl/>
          <w:lang w:bidi="ar-EG"/>
        </w:rPr>
        <w:t>، يرجى من الدول الأعضاء إبلاغ الأمانة </w:t>
      </w:r>
      <w:r w:rsidRPr="00E91979">
        <w:t>(</w:t>
      </w:r>
      <w:hyperlink r:id="rId10" w:history="1">
        <w:r w:rsidRPr="00E91979">
          <w:rPr>
            <w:rStyle w:val="Hyperlink"/>
            <w:rFonts w:ascii="Calibri" w:hAnsi="Calibri"/>
            <w:lang w:val="en-GB"/>
          </w:rPr>
          <w:t>brsgd@itu.int</w:t>
        </w:r>
      </w:hyperlink>
      <w:r w:rsidRPr="00E91979">
        <w:t>)</w:t>
      </w:r>
      <w:r w:rsidRPr="00E91979">
        <w:rPr>
          <w:rFonts w:hint="cs"/>
          <w:rtl/>
          <w:lang w:bidi="ar-EG"/>
        </w:rPr>
        <w:t xml:space="preserve"> قبل </w:t>
      </w:r>
      <w:r w:rsidRPr="00E91979">
        <w:rPr>
          <w:u w:val="single"/>
        </w:rPr>
        <w:t>10</w:t>
      </w:r>
      <w:r w:rsidRPr="00E91979">
        <w:rPr>
          <w:rFonts w:hint="eastAsia"/>
          <w:u w:val="single"/>
          <w:rtl/>
          <w:lang w:bidi="ar-EG"/>
        </w:rPr>
        <w:t> </w:t>
      </w:r>
      <w:r w:rsidRPr="00E91979">
        <w:rPr>
          <w:rFonts w:hint="cs"/>
          <w:u w:val="single"/>
          <w:rtl/>
          <w:lang w:bidi="ar-EG"/>
        </w:rPr>
        <w:t>يوليو</w:t>
      </w:r>
      <w:r w:rsidRPr="00E91979">
        <w:rPr>
          <w:rFonts w:hint="eastAsia"/>
          <w:u w:val="single"/>
          <w:rtl/>
          <w:lang w:bidi="ar-EG"/>
        </w:rPr>
        <w:t> </w:t>
      </w:r>
      <w:r w:rsidRPr="00E91979">
        <w:rPr>
          <w:u w:val="single"/>
        </w:rPr>
        <w:t>2017</w:t>
      </w:r>
      <w:r w:rsidRPr="00E91979">
        <w:rPr>
          <w:rFonts w:hint="cs"/>
          <w:rtl/>
          <w:lang w:bidi="ar-EG"/>
        </w:rPr>
        <w:t xml:space="preserve"> ما إذا كانت توافق أو لا توافق على المقترحات أعلاه.</w:t>
      </w:r>
    </w:p>
    <w:p w:rsidR="00E91979" w:rsidRPr="00E91979" w:rsidRDefault="00E91979" w:rsidP="00E91979">
      <w:pPr>
        <w:rPr>
          <w:rtl/>
          <w:lang w:bidi="ar-EG"/>
        </w:rPr>
      </w:pPr>
      <w:r w:rsidRPr="00E91979">
        <w:rPr>
          <w:rFonts w:hint="cs"/>
          <w:rtl/>
          <w:lang w:bidi="ar-EG"/>
        </w:rPr>
        <w:t>وبعد المهلة المحددة أعلاه، ستعلن نتائج هذا التشاور في رسالة إدارية معممة وستنشر التوصيات الموافَق عليها بأسرع وقت ممكن عملياً (انظر </w:t>
      </w:r>
      <w:hyperlink r:id="rId11" w:history="1">
        <w:r w:rsidRPr="00E91979">
          <w:rPr>
            <w:rStyle w:val="Hyperlink"/>
            <w:rFonts w:ascii="Calibri" w:hAnsi="Calibri"/>
          </w:rPr>
          <w:t>http://www.itu.int/pub/R-REC</w:t>
        </w:r>
      </w:hyperlink>
      <w:r w:rsidRPr="00E91979">
        <w:rPr>
          <w:rFonts w:hint="cs"/>
          <w:rtl/>
          <w:lang w:bidi="ar-EG"/>
        </w:rPr>
        <w:t>).</w:t>
      </w:r>
    </w:p>
    <w:p w:rsidR="00AF70F6" w:rsidRDefault="00E91979" w:rsidP="00E91979">
      <w:pPr>
        <w:pageBreakBefore/>
        <w:rPr>
          <w:rtl/>
        </w:rPr>
      </w:pPr>
      <w:r w:rsidRPr="00E91979">
        <w:rPr>
          <w:rFonts w:hint="cs"/>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E91979">
        <w:t>(ITU</w:t>
      </w:r>
      <w:r w:rsidRPr="00E91979">
        <w:noBreakHyphen/>
        <w:t>T/ITU</w:t>
      </w:r>
      <w:r w:rsidRPr="00E91979">
        <w:noBreakHyphen/>
        <w:t>R/ISO/IEC)</w:t>
      </w:r>
      <w:r w:rsidRPr="00E91979">
        <w:rPr>
          <w:rFonts w:hint="cs"/>
          <w:rtl/>
          <w:lang w:bidi="ar-EG"/>
        </w:rPr>
        <w:t xml:space="preserve"> في</w:t>
      </w:r>
      <w:r w:rsidRPr="00E91979">
        <w:rPr>
          <w:rFonts w:hint="eastAsia"/>
          <w:rtl/>
          <w:lang w:bidi="ar-EG"/>
        </w:rPr>
        <w:t> </w:t>
      </w:r>
      <w:r w:rsidRPr="00E91979">
        <w:rPr>
          <w:rFonts w:hint="cs"/>
          <w:rtl/>
          <w:lang w:bidi="ar-EG"/>
        </w:rPr>
        <w:t>الموقع</w:t>
      </w:r>
      <w:r w:rsidRPr="00E91979">
        <w:rPr>
          <w:rFonts w:hint="eastAsia"/>
          <w:rtl/>
          <w:lang w:bidi="ar-EG"/>
        </w:rPr>
        <w:t> </w:t>
      </w:r>
      <w:hyperlink r:id="rId12" w:history="1">
        <w:r w:rsidRPr="00E91979">
          <w:rPr>
            <w:rStyle w:val="Hyperlink"/>
            <w:rFonts w:ascii="Calibri" w:hAnsi="Calibri"/>
          </w:rPr>
          <w:t>http://www.itu.int/en/ITU-T/ipr/Pages/policy.aspx</w:t>
        </w:r>
      </w:hyperlink>
      <w:r w:rsidRPr="00E91979">
        <w:rPr>
          <w:rFonts w:hint="cs"/>
          <w:rtl/>
          <w:lang w:bidi="ar-EG"/>
        </w:rPr>
        <w:t>.</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A10F8C">
      <w:pPr>
        <w:spacing w:before="840"/>
        <w:rPr>
          <w:rtl/>
          <w:lang w:bidi="ar-EG"/>
        </w:rPr>
      </w:pPr>
      <w:r w:rsidRPr="00AF70F6">
        <w:rPr>
          <w:b/>
          <w:bCs/>
          <w:rtl/>
          <w:lang w:bidi="ar-EG"/>
        </w:rPr>
        <w:t>الملحقات</w:t>
      </w:r>
      <w:r w:rsidRPr="00AF70F6">
        <w:rPr>
          <w:rtl/>
          <w:lang w:bidi="ar-EG"/>
        </w:rPr>
        <w:t xml:space="preserve">: </w:t>
      </w:r>
      <w:r w:rsidR="00E91979">
        <w:rPr>
          <w:rFonts w:hint="cs"/>
          <w:rtl/>
          <w:lang w:bidi="ar-EG"/>
        </w:rPr>
        <w:t>عناوين مشاريع التوصيات وملخصاتها</w:t>
      </w:r>
    </w:p>
    <w:p w:rsidR="00303021" w:rsidRPr="00A10F8C" w:rsidRDefault="00303021" w:rsidP="00A10F8C">
      <w:pPr>
        <w:spacing w:before="960"/>
        <w:rPr>
          <w:rtl/>
          <w:lang w:bidi="ar-EG"/>
        </w:rPr>
      </w:pPr>
      <w:r w:rsidRPr="00A10F8C">
        <w:rPr>
          <w:rFonts w:hint="cs"/>
          <w:b/>
          <w:bCs/>
          <w:rtl/>
          <w:lang w:bidi="ar-EG"/>
        </w:rPr>
        <w:t>الوثائق</w:t>
      </w:r>
      <w:r w:rsidRPr="00A10F8C">
        <w:rPr>
          <w:rtl/>
          <w:lang w:bidi="ar-EG"/>
        </w:rPr>
        <w:t>:</w:t>
      </w:r>
      <w:r w:rsidRPr="00A10F8C">
        <w:rPr>
          <w:rFonts w:hint="cs"/>
          <w:rtl/>
          <w:lang w:bidi="ar-EG"/>
        </w:rPr>
        <w:t xml:space="preserve"> </w:t>
      </w:r>
      <w:hyperlink r:id="rId13" w:history="1">
        <w:r w:rsidR="00A10F8C" w:rsidRPr="00A10F8C">
          <w:rPr>
            <w:rStyle w:val="Hyperlink"/>
            <w:rFonts w:ascii="Calibri" w:hAnsi="Calibri"/>
            <w:lang w:val="en-GB"/>
          </w:rPr>
          <w:t>7/24</w:t>
        </w:r>
      </w:hyperlink>
      <w:r w:rsidR="00A10F8C" w:rsidRPr="00A10F8C">
        <w:rPr>
          <w:color w:val="0000FF"/>
          <w:u w:val="single"/>
          <w:lang w:val="en-GB"/>
        </w:rPr>
        <w:t>(</w:t>
      </w:r>
      <w:r w:rsidR="00A10F8C" w:rsidRPr="00A10F8C">
        <w:rPr>
          <w:rStyle w:val="Hyperlink"/>
          <w:rFonts w:ascii="Calibri" w:hAnsi="Calibri"/>
        </w:rPr>
        <w:t>Rev.1)</w:t>
      </w:r>
      <w:r w:rsidR="00A10F8C" w:rsidRPr="00A10F8C">
        <w:rPr>
          <w:rStyle w:val="Hyperlink"/>
          <w:rFonts w:ascii="Calibri" w:hAnsi="Calibri" w:hint="cs"/>
          <w:color w:val="auto"/>
          <w:u w:val="none"/>
          <w:rtl/>
        </w:rPr>
        <w:t xml:space="preserve"> و</w:t>
      </w:r>
      <w:hyperlink r:id="rId14" w:history="1">
        <w:r w:rsidR="00A10F8C" w:rsidRPr="00A10F8C">
          <w:rPr>
            <w:rStyle w:val="Hyperlink"/>
            <w:rFonts w:ascii="Calibri" w:hAnsi="Calibri"/>
            <w:lang w:val="en-GB"/>
          </w:rPr>
          <w:t>7/11(Rev.1)</w:t>
        </w:r>
      </w:hyperlink>
      <w:r w:rsidR="00A10F8C" w:rsidRPr="00A10F8C">
        <w:rPr>
          <w:rFonts w:hint="cs"/>
          <w:rtl/>
          <w:lang w:val="en-GB"/>
        </w:rPr>
        <w:t xml:space="preserve"> و</w:t>
      </w:r>
      <w:hyperlink r:id="rId15" w:history="1">
        <w:r w:rsidR="00A10F8C" w:rsidRPr="00A10F8C">
          <w:rPr>
            <w:rStyle w:val="Hyperlink"/>
            <w:rFonts w:ascii="Calibri" w:hAnsi="Calibri"/>
            <w:lang w:val="en-GB"/>
          </w:rPr>
          <w:t>7/17(Rev.1)</w:t>
        </w:r>
      </w:hyperlink>
      <w:r w:rsidR="00A10F8C" w:rsidRPr="00A10F8C">
        <w:rPr>
          <w:rFonts w:hint="cs"/>
          <w:rtl/>
          <w:lang w:val="en-GB"/>
        </w:rPr>
        <w:t xml:space="preserve"> و</w:t>
      </w:r>
      <w:hyperlink r:id="rId16" w:history="1">
        <w:r w:rsidR="00A10F8C" w:rsidRPr="00A10F8C">
          <w:rPr>
            <w:rStyle w:val="Hyperlink"/>
            <w:rFonts w:ascii="Calibri" w:hAnsi="Calibri"/>
            <w:lang w:val="en-GB"/>
          </w:rPr>
          <w:t>7/18(Rev.1)</w:t>
        </w:r>
      </w:hyperlink>
      <w:r w:rsidR="00A10F8C" w:rsidRPr="00A10F8C">
        <w:rPr>
          <w:rFonts w:hint="cs"/>
          <w:rtl/>
          <w:lang w:val="en-GB"/>
        </w:rPr>
        <w:t xml:space="preserve"> و</w:t>
      </w:r>
      <w:hyperlink r:id="rId17" w:history="1">
        <w:r w:rsidR="00A10F8C" w:rsidRPr="00A10F8C">
          <w:rPr>
            <w:rStyle w:val="Hyperlink"/>
            <w:rFonts w:ascii="Calibri" w:hAnsi="Calibri"/>
            <w:lang w:val="en-GB"/>
          </w:rPr>
          <w:t>7/19(Rev.1)</w:t>
        </w:r>
      </w:hyperlink>
      <w:r w:rsidR="00A10F8C" w:rsidRPr="00A10F8C">
        <w:rPr>
          <w:rFonts w:hint="cs"/>
          <w:rtl/>
          <w:lang w:val="en-GB"/>
        </w:rPr>
        <w:t xml:space="preserve"> و</w:t>
      </w:r>
      <w:hyperlink r:id="rId18" w:history="1">
        <w:r w:rsidR="00A10F8C" w:rsidRPr="00A10F8C">
          <w:rPr>
            <w:rStyle w:val="Hyperlink"/>
            <w:rFonts w:ascii="Calibri" w:hAnsi="Calibri"/>
            <w:lang w:val="en-GB"/>
          </w:rPr>
          <w:t>7/25(Rev.1)</w:t>
        </w:r>
      </w:hyperlink>
      <w:r w:rsidR="00A10F8C" w:rsidRPr="00A10F8C">
        <w:rPr>
          <w:rFonts w:hint="cs"/>
          <w:rtl/>
          <w:lang w:val="en-GB"/>
        </w:rPr>
        <w:t xml:space="preserve"> و</w:t>
      </w:r>
      <w:hyperlink r:id="rId19" w:history="1">
        <w:r w:rsidR="00A10F8C" w:rsidRPr="00A10F8C">
          <w:rPr>
            <w:rStyle w:val="Hyperlink"/>
            <w:rFonts w:ascii="Calibri" w:hAnsi="Calibri"/>
            <w:lang w:val="en-GB"/>
          </w:rPr>
          <w:t>7/27(Rev.1)</w:t>
        </w:r>
      </w:hyperlink>
      <w:r w:rsidR="00A10F8C" w:rsidRPr="00A10F8C">
        <w:rPr>
          <w:rStyle w:val="Hyperlink"/>
          <w:rFonts w:ascii="Calibri" w:hAnsi="Calibri" w:hint="cs"/>
          <w:color w:val="auto"/>
          <w:u w:val="none"/>
          <w:rtl/>
          <w:lang w:val="en-GB"/>
        </w:rPr>
        <w:t xml:space="preserve"> و</w:t>
      </w:r>
      <w:hyperlink r:id="rId20" w:history="1">
        <w:r w:rsidR="00A10F8C" w:rsidRPr="00A10F8C">
          <w:rPr>
            <w:rStyle w:val="Hyperlink"/>
            <w:rFonts w:ascii="Calibri" w:hAnsi="Calibri"/>
            <w:lang w:val="en-GB"/>
          </w:rPr>
          <w:t>7/28(Rev.1)</w:t>
        </w:r>
      </w:hyperlink>
      <w:r w:rsidR="00A10F8C" w:rsidRPr="00A10F8C">
        <w:rPr>
          <w:rFonts w:hint="cs"/>
          <w:rtl/>
          <w:lang w:val="en-GB"/>
        </w:rPr>
        <w:t xml:space="preserve"> و</w:t>
      </w:r>
      <w:hyperlink r:id="rId21" w:history="1">
        <w:r w:rsidR="00A10F8C" w:rsidRPr="00A10F8C">
          <w:rPr>
            <w:rStyle w:val="Hyperlink"/>
            <w:rFonts w:ascii="Calibri" w:hAnsi="Calibri"/>
            <w:lang w:val="en-GB"/>
          </w:rPr>
          <w:t>7/23(Rev.1)</w:t>
        </w:r>
      </w:hyperlink>
    </w:p>
    <w:p w:rsidR="00303021" w:rsidRDefault="00303021" w:rsidP="008B0983">
      <w:pPr>
        <w:spacing w:before="240"/>
        <w:rPr>
          <w:rtl/>
          <w:lang w:bidi="ar-EG"/>
        </w:rPr>
      </w:pPr>
      <w:r w:rsidRPr="00A10F8C">
        <w:rPr>
          <w:rFonts w:hint="cs"/>
          <w:rtl/>
          <w:lang w:bidi="ar-EG"/>
        </w:rPr>
        <w:t xml:space="preserve">وتتاح نسخ إلكترونية من هذه الوثائق في الموقع: </w:t>
      </w:r>
      <w:hyperlink r:id="rId22" w:history="1">
        <w:r w:rsidRPr="00A10F8C">
          <w:rPr>
            <w:rStyle w:val="Hyperlink"/>
            <w:rFonts w:ascii="Calibri" w:hAnsi="Calibri"/>
          </w:rPr>
          <w:t>https://www.itu.int/md/R15-SG07-C/en</w:t>
        </w:r>
      </w:hyperlink>
    </w:p>
    <w:p w:rsidR="00AF70F6" w:rsidRPr="00E45690" w:rsidRDefault="00AF70F6" w:rsidP="00E95F9E">
      <w:pPr>
        <w:tabs>
          <w:tab w:val="left" w:pos="283"/>
        </w:tabs>
        <w:spacing w:before="384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415359" w:rsidRDefault="00AF70F6" w:rsidP="008B0983">
      <w:pPr>
        <w:tabs>
          <w:tab w:val="left" w:pos="425"/>
        </w:tabs>
        <w:spacing w:before="60" w:line="168"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sidR="00303021">
        <w:rPr>
          <w:sz w:val="18"/>
          <w:szCs w:val="24"/>
          <w:lang w:val="fr-CH" w:bidi="ar-EG"/>
        </w:rPr>
        <w:t>7</w:t>
      </w:r>
      <w:r w:rsidRPr="00415359">
        <w:rPr>
          <w:rFonts w:hint="cs"/>
          <w:sz w:val="18"/>
          <w:szCs w:val="24"/>
          <w:rtl/>
          <w:lang w:val="fr-CH" w:bidi="ar-EG"/>
        </w:rPr>
        <w:t xml:space="preserve"> للاتصالات الراديوية</w:t>
      </w:r>
    </w:p>
    <w:p w:rsidR="00AF70F6" w:rsidRPr="00415359" w:rsidRDefault="00AF70F6" w:rsidP="008B0983">
      <w:pPr>
        <w:tabs>
          <w:tab w:val="left" w:pos="425"/>
        </w:tabs>
        <w:spacing w:before="60" w:line="168"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sidR="00303021">
        <w:rPr>
          <w:sz w:val="18"/>
          <w:szCs w:val="24"/>
          <w:lang w:bidi="ar-EG"/>
        </w:rPr>
        <w:t>7</w:t>
      </w:r>
      <w:r w:rsidRPr="00415359">
        <w:rPr>
          <w:sz w:val="18"/>
          <w:szCs w:val="24"/>
          <w:rtl/>
          <w:lang w:bidi="ar-EG"/>
        </w:rPr>
        <w:t xml:space="preserve"> للاتصالات الراديوية</w:t>
      </w:r>
    </w:p>
    <w:p w:rsidR="00AF70F6" w:rsidRPr="00415359" w:rsidRDefault="00AF70F6" w:rsidP="008B0983">
      <w:pPr>
        <w:tabs>
          <w:tab w:val="left" w:pos="425"/>
        </w:tabs>
        <w:spacing w:before="60" w:line="168" w:lineRule="auto"/>
        <w:rPr>
          <w:sz w:val="18"/>
          <w:szCs w:val="24"/>
          <w:rtl/>
          <w:lang w:bidi="ar-EG"/>
        </w:rPr>
      </w:pPr>
      <w:r w:rsidRPr="00415359">
        <w:rPr>
          <w:rFonts w:hint="cs"/>
          <w:sz w:val="18"/>
          <w:szCs w:val="24"/>
          <w:rtl/>
          <w:lang w:bidi="ar-EG"/>
        </w:rPr>
        <w:t>-</w:t>
      </w:r>
      <w:r w:rsidRPr="00415359">
        <w:rPr>
          <w:rFonts w:hint="cs"/>
          <w:sz w:val="18"/>
          <w:szCs w:val="24"/>
          <w:rtl/>
          <w:lang w:bidi="ar-EG"/>
        </w:rPr>
        <w:tab/>
      </w:r>
      <w:r w:rsidRPr="00415359">
        <w:rPr>
          <w:rFonts w:hint="cs"/>
          <w:sz w:val="18"/>
          <w:szCs w:val="24"/>
          <w:rtl/>
        </w:rPr>
        <w:t xml:space="preserve">الهيئات الأكاديمية المنضمة إلى </w:t>
      </w:r>
      <w:r>
        <w:rPr>
          <w:rFonts w:hint="cs"/>
          <w:sz w:val="18"/>
          <w:szCs w:val="24"/>
          <w:rtl/>
        </w:rPr>
        <w:t>الاتحاد</w:t>
      </w:r>
    </w:p>
    <w:p w:rsidR="00AF70F6" w:rsidRPr="00415359" w:rsidRDefault="00AF70F6" w:rsidP="008B0983">
      <w:pPr>
        <w:tabs>
          <w:tab w:val="left" w:pos="425"/>
        </w:tabs>
        <w:spacing w:before="60" w:line="168" w:lineRule="auto"/>
        <w:rPr>
          <w:sz w:val="18"/>
          <w:szCs w:val="24"/>
          <w:rtl/>
          <w:lang w:bidi="ar-EG"/>
        </w:rPr>
      </w:pPr>
      <w:r w:rsidRPr="00415359">
        <w:rPr>
          <w:sz w:val="18"/>
          <w:szCs w:val="24"/>
          <w:rtl/>
          <w:lang w:bidi="ar-EG"/>
        </w:rPr>
        <w:t>-</w:t>
      </w:r>
      <w:r w:rsidRPr="00415359">
        <w:rPr>
          <w:sz w:val="18"/>
          <w:szCs w:val="24"/>
          <w:rtl/>
          <w:lang w:bidi="ar-EG"/>
        </w:rPr>
        <w:tab/>
        <w:t>رؤساء لجان دراسات الاتصالات الراديوية ونوابهم</w:t>
      </w:r>
    </w:p>
    <w:p w:rsidR="00AF70F6" w:rsidRPr="00415359" w:rsidRDefault="00AF70F6" w:rsidP="008B0983">
      <w:pPr>
        <w:tabs>
          <w:tab w:val="left" w:pos="425"/>
        </w:tabs>
        <w:spacing w:before="60" w:line="168"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AF70F6" w:rsidRPr="00415359" w:rsidRDefault="00AF70F6" w:rsidP="008B0983">
      <w:pPr>
        <w:tabs>
          <w:tab w:val="left" w:pos="425"/>
        </w:tabs>
        <w:spacing w:before="60" w:line="168" w:lineRule="auto"/>
        <w:rPr>
          <w:sz w:val="18"/>
          <w:szCs w:val="24"/>
          <w:rtl/>
          <w:lang w:bidi="ar-EG"/>
        </w:rPr>
      </w:pPr>
      <w:r w:rsidRPr="00415359">
        <w:rPr>
          <w:sz w:val="18"/>
          <w:szCs w:val="24"/>
          <w:rtl/>
          <w:lang w:bidi="ar-EG"/>
        </w:rPr>
        <w:t>-</w:t>
      </w:r>
      <w:r w:rsidRPr="00415359">
        <w:rPr>
          <w:sz w:val="18"/>
          <w:szCs w:val="24"/>
          <w:rtl/>
          <w:lang w:bidi="ar-EG"/>
        </w:rPr>
        <w:tab/>
        <w:t>أعضاء لجنة لوائح الراديو</w:t>
      </w:r>
    </w:p>
    <w:p w:rsidR="00AF70F6" w:rsidRPr="00415359" w:rsidRDefault="00AF70F6" w:rsidP="008B0983">
      <w:pPr>
        <w:tabs>
          <w:tab w:val="left" w:pos="425"/>
        </w:tabs>
        <w:spacing w:before="60" w:line="168" w:lineRule="auto"/>
        <w:rPr>
          <w:sz w:val="18"/>
          <w:szCs w:val="24"/>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p>
    <w:p w:rsidR="00AF70F6" w:rsidRDefault="00AF70F6">
      <w:pPr>
        <w:tabs>
          <w:tab w:val="clear" w:pos="1134"/>
        </w:tabs>
        <w:bidi w:val="0"/>
        <w:spacing w:before="0" w:after="160" w:line="259" w:lineRule="auto"/>
        <w:jc w:val="left"/>
        <w:rPr>
          <w:lang w:bidi="ar-EG"/>
        </w:rPr>
      </w:pPr>
      <w:r>
        <w:rPr>
          <w:rtl/>
          <w:lang w:bidi="ar-EG"/>
        </w:rPr>
        <w:br w:type="page"/>
      </w:r>
    </w:p>
    <w:p w:rsidR="00AF70F6" w:rsidRPr="00AF70F6" w:rsidRDefault="00041DED" w:rsidP="00041DED">
      <w:pPr>
        <w:pStyle w:val="AnnexNo"/>
        <w:rPr>
          <w:rFonts w:eastAsiaTheme="minorEastAsia"/>
          <w:rtl/>
          <w:lang w:eastAsia="zh-CN"/>
        </w:rPr>
      </w:pPr>
      <w:r>
        <w:rPr>
          <w:rFonts w:eastAsiaTheme="minorEastAsia" w:hint="cs"/>
          <w:rtl/>
          <w:lang w:eastAsia="zh-CN"/>
        </w:rPr>
        <w:lastRenderedPageBreak/>
        <w:t>الملحق</w:t>
      </w:r>
    </w:p>
    <w:p w:rsidR="00AF70F6" w:rsidRPr="00AF70F6" w:rsidRDefault="003C3763" w:rsidP="003C3763">
      <w:pPr>
        <w:pStyle w:val="Annextitle"/>
        <w:rPr>
          <w:rFonts w:eastAsiaTheme="minorEastAsia"/>
          <w:rtl/>
          <w:lang w:eastAsia="zh-CN" w:bidi="ar-SY"/>
        </w:rPr>
      </w:pPr>
      <w:r w:rsidRPr="003C3763">
        <w:rPr>
          <w:rFonts w:eastAsiaTheme="minorEastAsia" w:hint="cs"/>
          <w:rtl/>
          <w:lang w:eastAsia="zh-CN"/>
        </w:rPr>
        <w:t>عناوين وملخصات مشاريع التوصيات التي اعتمدتها</w:t>
      </w:r>
      <w:r w:rsidRPr="003C3763">
        <w:rPr>
          <w:rFonts w:eastAsiaTheme="minorEastAsia"/>
          <w:rtl/>
          <w:lang w:eastAsia="zh-CN"/>
        </w:rPr>
        <w:br/>
      </w:r>
      <w:r w:rsidRPr="003C3763">
        <w:rPr>
          <w:rFonts w:eastAsiaTheme="minorEastAsia" w:hint="cs"/>
          <w:rtl/>
          <w:lang w:eastAsia="zh-CN"/>
        </w:rPr>
        <w:t xml:space="preserve">لجنة الدراسات </w:t>
      </w:r>
      <w:r w:rsidRPr="003C3763">
        <w:rPr>
          <w:rFonts w:eastAsiaTheme="minorEastAsia"/>
          <w:lang w:eastAsia="zh-CN" w:bidi="ar-SY"/>
        </w:rPr>
        <w:t>7</w:t>
      </w:r>
      <w:r w:rsidRPr="003C3763">
        <w:rPr>
          <w:rFonts w:eastAsiaTheme="minorEastAsia" w:hint="cs"/>
          <w:rtl/>
          <w:lang w:eastAsia="zh-CN" w:bidi="ar-EG"/>
        </w:rPr>
        <w:t xml:space="preserve"> للاتصالات الراديوية</w:t>
      </w:r>
    </w:p>
    <w:p w:rsidR="00AF70F6" w:rsidRPr="00AF70F6" w:rsidRDefault="003C3763" w:rsidP="000B1602">
      <w:pPr>
        <w:tabs>
          <w:tab w:val="clear" w:pos="1134"/>
          <w:tab w:val="right" w:pos="9639"/>
        </w:tabs>
        <w:spacing w:before="480"/>
        <w:rPr>
          <w:rFonts w:eastAsiaTheme="minorEastAsia"/>
          <w:rtl/>
          <w:lang w:eastAsia="zh-CN" w:bidi="ar-EG"/>
        </w:rPr>
      </w:pPr>
      <w:r w:rsidRPr="003C3763">
        <w:rPr>
          <w:rFonts w:eastAsiaTheme="minorEastAsia" w:hint="cs"/>
          <w:u w:val="single"/>
          <w:rtl/>
          <w:lang w:eastAsia="zh-CN"/>
        </w:rPr>
        <w:t xml:space="preserve">مشروع التوصية الجديدة </w:t>
      </w:r>
      <w:r w:rsidRPr="003C3763">
        <w:rPr>
          <w:rFonts w:eastAsiaTheme="minorEastAsia"/>
          <w:u w:val="single"/>
          <w:lang w:eastAsia="zh-CN"/>
        </w:rPr>
        <w:t>ITU-R</w:t>
      </w:r>
      <w:r w:rsidR="000B1602">
        <w:rPr>
          <w:rFonts w:eastAsiaTheme="minorEastAsia"/>
          <w:u w:val="single"/>
          <w:lang w:eastAsia="zh-CN"/>
        </w:rPr>
        <w:t> </w:t>
      </w:r>
      <w:r w:rsidRPr="003C3763">
        <w:rPr>
          <w:rFonts w:eastAsiaTheme="minorEastAsia"/>
          <w:u w:val="single"/>
          <w:lang w:eastAsia="zh-CN"/>
        </w:rPr>
        <w:t>RS.[RFI-SENSOR_REPORTING]</w:t>
      </w:r>
      <w:r w:rsidR="00AF70F6" w:rsidRPr="00AF70F6">
        <w:rPr>
          <w:rFonts w:eastAsiaTheme="minorEastAsia"/>
          <w:rtl/>
          <w:lang w:eastAsia="zh-CN" w:bidi="ar-EG"/>
        </w:rPr>
        <w:tab/>
      </w:r>
      <w:r w:rsidR="00AF70F6" w:rsidRPr="00AF70F6">
        <w:rPr>
          <w:rFonts w:eastAsiaTheme="minorEastAsia" w:hint="cs"/>
          <w:rtl/>
          <w:lang w:eastAsia="zh-CN" w:bidi="ar-EG"/>
        </w:rPr>
        <w:t xml:space="preserve">الوثيقة </w:t>
      </w:r>
      <w:hyperlink r:id="rId23" w:history="1">
        <w:r w:rsidRPr="003C3763">
          <w:rPr>
            <w:rStyle w:val="Hyperlink"/>
            <w:rFonts w:ascii="Calibri" w:eastAsiaTheme="minorEastAsia" w:hAnsi="Calibri"/>
            <w:lang w:eastAsia="zh-CN" w:bidi="ar-EG"/>
          </w:rPr>
          <w:t>7/24(Rev.1)</w:t>
        </w:r>
      </w:hyperlink>
    </w:p>
    <w:p w:rsidR="00AF70F6" w:rsidRPr="00AF70F6" w:rsidRDefault="003C3763" w:rsidP="005C7381">
      <w:pPr>
        <w:pStyle w:val="Rectitle"/>
        <w:rPr>
          <w:rtl/>
          <w:lang w:bidi="ar-SY"/>
        </w:rPr>
      </w:pPr>
      <w:r w:rsidRPr="003C3763">
        <w:rPr>
          <w:rFonts w:hint="eastAsia"/>
          <w:rtl/>
        </w:rPr>
        <w:t>كشف</w:t>
      </w:r>
      <w:r w:rsidRPr="003C3763">
        <w:rPr>
          <w:rtl/>
        </w:rPr>
        <w:t xml:space="preserve"> </w:t>
      </w:r>
      <w:r w:rsidRPr="003C3763">
        <w:rPr>
          <w:rFonts w:hint="eastAsia"/>
          <w:rtl/>
        </w:rPr>
        <w:t>حالات</w:t>
      </w:r>
      <w:r w:rsidRPr="003C3763">
        <w:rPr>
          <w:rtl/>
        </w:rPr>
        <w:t xml:space="preserve"> </w:t>
      </w:r>
      <w:r w:rsidRPr="003C3763">
        <w:rPr>
          <w:rFonts w:hint="eastAsia"/>
          <w:rtl/>
        </w:rPr>
        <w:t>تداخل</w:t>
      </w:r>
      <w:r w:rsidRPr="003C3763">
        <w:rPr>
          <w:rtl/>
        </w:rPr>
        <w:t xml:space="preserve"> </w:t>
      </w:r>
      <w:r w:rsidRPr="003C3763">
        <w:rPr>
          <w:rFonts w:hint="eastAsia"/>
          <w:rtl/>
        </w:rPr>
        <w:t>الترددات</w:t>
      </w:r>
      <w:r w:rsidRPr="003C3763">
        <w:rPr>
          <w:rtl/>
        </w:rPr>
        <w:t xml:space="preserve"> </w:t>
      </w:r>
      <w:r w:rsidRPr="003C3763">
        <w:rPr>
          <w:rFonts w:hint="eastAsia"/>
          <w:rtl/>
        </w:rPr>
        <w:t>الراديوية</w:t>
      </w:r>
      <w:r w:rsidRPr="003C3763">
        <w:rPr>
          <w:rtl/>
        </w:rPr>
        <w:t xml:space="preserve"> </w:t>
      </w:r>
      <w:r w:rsidRPr="003C3763">
        <w:rPr>
          <w:rFonts w:hint="eastAsia"/>
          <w:rtl/>
        </w:rPr>
        <w:t>التي</w:t>
      </w:r>
      <w:r w:rsidRPr="003C3763">
        <w:rPr>
          <w:rtl/>
        </w:rPr>
        <w:t xml:space="preserve"> </w:t>
      </w:r>
      <w:r w:rsidRPr="003C3763">
        <w:rPr>
          <w:rFonts w:hint="eastAsia"/>
          <w:rtl/>
        </w:rPr>
        <w:t>تتعرض</w:t>
      </w:r>
      <w:r w:rsidRPr="003C3763">
        <w:rPr>
          <w:rtl/>
        </w:rPr>
        <w:t xml:space="preserve"> </w:t>
      </w:r>
      <w:r w:rsidRPr="003C3763">
        <w:rPr>
          <w:rFonts w:hint="eastAsia"/>
          <w:rtl/>
        </w:rPr>
        <w:t>لها</w:t>
      </w:r>
      <w:r w:rsidRPr="003C3763">
        <w:rPr>
          <w:rtl/>
        </w:rPr>
        <w:t xml:space="preserve"> </w:t>
      </w:r>
      <w:r w:rsidRPr="003C3763">
        <w:rPr>
          <w:rFonts w:hint="eastAsia"/>
          <w:rtl/>
        </w:rPr>
        <w:t>أجهزة</w:t>
      </w:r>
      <w:r w:rsidRPr="003C3763">
        <w:rPr>
          <w:rtl/>
        </w:rPr>
        <w:t xml:space="preserve"> </w:t>
      </w:r>
      <w:r w:rsidRPr="003C3763">
        <w:rPr>
          <w:rFonts w:hint="eastAsia"/>
          <w:rtl/>
        </w:rPr>
        <w:t>الاستشعار</w:t>
      </w:r>
      <w:r w:rsidR="00341D7A">
        <w:rPr>
          <w:rtl/>
        </w:rPr>
        <w:br/>
      </w:r>
      <w:r w:rsidRPr="003C3763">
        <w:rPr>
          <w:rtl/>
        </w:rPr>
        <w:t>في </w:t>
      </w:r>
      <w:r w:rsidRPr="003C3763">
        <w:rPr>
          <w:rFonts w:hint="eastAsia"/>
          <w:rtl/>
        </w:rPr>
        <w:t>خدمة</w:t>
      </w:r>
      <w:r w:rsidRPr="003C3763">
        <w:rPr>
          <w:rtl/>
        </w:rPr>
        <w:t xml:space="preserve"> </w:t>
      </w:r>
      <w:r w:rsidRPr="003C3763">
        <w:rPr>
          <w:rFonts w:hint="eastAsia"/>
          <w:rtl/>
        </w:rPr>
        <w:t>استكشاف</w:t>
      </w:r>
      <w:r w:rsidRPr="003C3763">
        <w:rPr>
          <w:rtl/>
        </w:rPr>
        <w:t xml:space="preserve"> </w:t>
      </w:r>
      <w:r w:rsidRPr="003C3763">
        <w:rPr>
          <w:rFonts w:hint="eastAsia"/>
          <w:rtl/>
        </w:rPr>
        <w:t>الأرض</w:t>
      </w:r>
      <w:r w:rsidRPr="003C3763">
        <w:rPr>
          <w:rtl/>
        </w:rPr>
        <w:t xml:space="preserve"> </w:t>
      </w:r>
      <w:r w:rsidRPr="003C3763">
        <w:rPr>
          <w:rFonts w:hint="eastAsia"/>
          <w:rtl/>
        </w:rPr>
        <w:t>الساتلية</w:t>
      </w:r>
      <w:r w:rsidRPr="003C3763">
        <w:rPr>
          <w:rtl/>
        </w:rPr>
        <w:t xml:space="preserve"> (المنفعلة) </w:t>
      </w:r>
      <w:r w:rsidRPr="003C3763">
        <w:rPr>
          <w:rFonts w:hint="eastAsia"/>
          <w:rtl/>
        </w:rPr>
        <w:t>وتسويتها</w:t>
      </w:r>
    </w:p>
    <w:p w:rsidR="007E0C8B" w:rsidRDefault="007E0C8B" w:rsidP="003343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E0C8B">
        <w:rPr>
          <w:rFonts w:eastAsiaTheme="minorEastAsia" w:hint="cs"/>
          <w:rtl/>
          <w:lang w:eastAsia="zh-CN" w:bidi="ar-EG"/>
        </w:rPr>
        <w:t>ينبغي للإدارات التي تشغِّل أجهزة الاستشعار في خدمة استكشاف الأرض الساتلية</w:t>
      </w:r>
      <w:r w:rsidR="00041DED">
        <w:rPr>
          <w:rFonts w:eastAsiaTheme="minorEastAsia" w:hint="cs"/>
          <w:rtl/>
          <w:lang w:eastAsia="zh-CN" w:bidi="ar-EG"/>
        </w:rPr>
        <w:t xml:space="preserve"> </w:t>
      </w:r>
      <w:r w:rsidR="00041DED">
        <w:rPr>
          <w:rFonts w:eastAsiaTheme="minorEastAsia"/>
          <w:lang w:eastAsia="zh-CN" w:bidi="ar-EG"/>
        </w:rPr>
        <w:t>(EESS)</w:t>
      </w:r>
      <w:r w:rsidRPr="007E0C8B">
        <w:rPr>
          <w:rFonts w:eastAsiaTheme="minorEastAsia" w:hint="cs"/>
          <w:rtl/>
          <w:lang w:eastAsia="zh-CN" w:bidi="ar-EG"/>
        </w:rPr>
        <w:t xml:space="preserve"> المنفعلة التي تتعرض لحالات التداخل الضار للترددات الراديوية أن تستخدم المعلومات الواردة في هذه التوصية واستمارتها للتبليغ عن تداخل الترددات الراديوية من أجل تسجيل حالات التداخل والإبلاغ عنها إلى الإدارة التي تخضع لسلطتها محطات الإرسال المسبِّبة للتداخل. وينبغي تقديم استمارة التبليغ عن تداخل الترددات الراديوية، الواردة في هذه التوصية، إلى جانب الاستمارة الواردة في التذييل </w:t>
      </w:r>
      <w:r w:rsidRPr="007E0C8B">
        <w:rPr>
          <w:rFonts w:eastAsiaTheme="minorEastAsia"/>
          <w:b/>
          <w:bCs/>
          <w:lang w:eastAsia="zh-CN" w:bidi="ar-EG"/>
        </w:rPr>
        <w:t>10</w:t>
      </w:r>
      <w:r w:rsidRPr="00F317AD">
        <w:rPr>
          <w:rFonts w:eastAsiaTheme="minorEastAsia" w:hint="cs"/>
          <w:rtl/>
          <w:lang w:eastAsia="zh-CN"/>
        </w:rPr>
        <w:t xml:space="preserve"> </w:t>
      </w:r>
      <w:r w:rsidRPr="007E0C8B">
        <w:rPr>
          <w:rFonts w:eastAsiaTheme="minorEastAsia" w:hint="cs"/>
          <w:rtl/>
          <w:lang w:eastAsia="zh-CN" w:bidi="ar-EG"/>
        </w:rPr>
        <w:t>من لوائح الراديو، والهدف منها أن تستعملها الإدارات للإدلاء بمعلومات تفصيلية إضافية بشأن التداخل ال</w:t>
      </w:r>
      <w:r w:rsidR="00041DED">
        <w:rPr>
          <w:rFonts w:eastAsiaTheme="minorEastAsia" w:hint="cs"/>
          <w:rtl/>
          <w:lang w:eastAsia="zh-CN" w:bidi="ar-EG"/>
        </w:rPr>
        <w:t>ذي</w:t>
      </w:r>
      <w:r w:rsidRPr="007E0C8B">
        <w:rPr>
          <w:rFonts w:eastAsiaTheme="minorEastAsia" w:hint="cs"/>
          <w:rtl/>
          <w:lang w:eastAsia="zh-CN" w:bidi="ar-EG"/>
        </w:rPr>
        <w:t xml:space="preserve"> تتعرض له أجهزة الاستشعار في</w:t>
      </w:r>
      <w:r w:rsidR="0033433B">
        <w:rPr>
          <w:rFonts w:eastAsiaTheme="minorEastAsia" w:hint="eastAsia"/>
          <w:rtl/>
          <w:lang w:eastAsia="zh-CN" w:bidi="ar-EG"/>
        </w:rPr>
        <w:t> </w:t>
      </w:r>
      <w:r w:rsidRPr="007E0C8B">
        <w:rPr>
          <w:rFonts w:eastAsiaTheme="minorEastAsia" w:hint="cs"/>
          <w:rtl/>
          <w:lang w:eastAsia="zh-CN" w:bidi="ar-EG"/>
        </w:rPr>
        <w:t>خدمة استكشاف الأرض الساتلية المنفعلة.</w:t>
      </w:r>
    </w:p>
    <w:p w:rsidR="007E0C8B" w:rsidRPr="00AF70F6" w:rsidRDefault="007E0C8B" w:rsidP="005C7381">
      <w:pPr>
        <w:tabs>
          <w:tab w:val="clear" w:pos="1134"/>
          <w:tab w:val="right" w:pos="9639"/>
        </w:tabs>
        <w:spacing w:before="480"/>
        <w:rPr>
          <w:rFonts w:eastAsiaTheme="minorEastAsia"/>
          <w:rtl/>
          <w:lang w:eastAsia="zh-CN" w:bidi="ar-EG"/>
        </w:rPr>
      </w:pPr>
      <w:r w:rsidRPr="007E0C8B">
        <w:rPr>
          <w:rFonts w:eastAsiaTheme="minorEastAsia" w:hint="cs"/>
          <w:u w:val="single"/>
          <w:rtl/>
          <w:lang w:eastAsia="zh-CN"/>
        </w:rPr>
        <w:t xml:space="preserve">مشروع مراجعة التوصية </w:t>
      </w:r>
      <w:r w:rsidRPr="007E0C8B">
        <w:rPr>
          <w:rFonts w:eastAsiaTheme="minorEastAsia"/>
          <w:u w:val="single"/>
          <w:lang w:eastAsia="zh-CN"/>
        </w:rPr>
        <w:t>ITU-R</w:t>
      </w:r>
      <w:r w:rsidR="005C7381">
        <w:rPr>
          <w:rFonts w:eastAsiaTheme="minorEastAsia"/>
          <w:u w:val="single"/>
          <w:lang w:eastAsia="zh-CN"/>
        </w:rPr>
        <w:t> </w:t>
      </w:r>
      <w:r w:rsidRPr="007E0C8B">
        <w:rPr>
          <w:rFonts w:eastAsiaTheme="minorEastAsia"/>
          <w:u w:val="single"/>
          <w:lang w:eastAsia="zh-CN"/>
        </w:rPr>
        <w:t>RS.SA.510-2</w:t>
      </w:r>
      <w:r w:rsidRPr="00AF70F6">
        <w:rPr>
          <w:rFonts w:eastAsiaTheme="minorEastAsia"/>
          <w:rtl/>
          <w:lang w:eastAsia="zh-CN" w:bidi="ar-EG"/>
        </w:rPr>
        <w:tab/>
      </w:r>
      <w:r w:rsidRPr="00AF70F6">
        <w:rPr>
          <w:rFonts w:eastAsiaTheme="minorEastAsia" w:hint="cs"/>
          <w:rtl/>
          <w:lang w:eastAsia="zh-CN" w:bidi="ar-EG"/>
        </w:rPr>
        <w:t xml:space="preserve">الوثيقة </w:t>
      </w:r>
      <w:hyperlink r:id="rId24" w:history="1">
        <w:r w:rsidRPr="007E0C8B">
          <w:rPr>
            <w:rStyle w:val="Hyperlink"/>
            <w:rFonts w:ascii="Calibri" w:eastAsiaTheme="minorEastAsia" w:hAnsi="Calibri"/>
            <w:lang w:eastAsia="zh-CN" w:bidi="ar-EG"/>
          </w:rPr>
          <w:t>7/11(Rev.1)</w:t>
        </w:r>
      </w:hyperlink>
    </w:p>
    <w:p w:rsidR="007E0C8B" w:rsidRPr="00AF70F6" w:rsidRDefault="007E0C8B" w:rsidP="005C7381">
      <w:pPr>
        <w:pStyle w:val="Rectitle"/>
        <w:rPr>
          <w:rtl/>
          <w:lang w:bidi="ar-SY"/>
        </w:rPr>
      </w:pPr>
      <w:r w:rsidRPr="007E0C8B">
        <w:rPr>
          <w:rtl/>
        </w:rPr>
        <w:t xml:space="preserve">إمكانية تقاسم الترددات بين خدمة </w:t>
      </w:r>
      <w:r w:rsidRPr="007E0C8B">
        <w:rPr>
          <w:rFonts w:hint="cs"/>
          <w:rtl/>
        </w:rPr>
        <w:t>الأبحاث</w:t>
      </w:r>
      <w:r w:rsidRPr="007E0C8B">
        <w:rPr>
          <w:rtl/>
        </w:rPr>
        <w:t xml:space="preserve"> الفضائي</w:t>
      </w:r>
      <w:r w:rsidRPr="007E0C8B">
        <w:rPr>
          <w:rFonts w:hint="cs"/>
          <w:rtl/>
        </w:rPr>
        <w:t>ة</w:t>
      </w:r>
      <w:r w:rsidRPr="007E0C8B">
        <w:rPr>
          <w:rtl/>
        </w:rPr>
        <w:t xml:space="preserve"> والخدمات الأخرى</w:t>
      </w:r>
      <w:r w:rsidRPr="007E0C8B">
        <w:rPr>
          <w:rFonts w:hint="cs"/>
          <w:rtl/>
        </w:rPr>
        <w:t xml:space="preserve"> </w:t>
      </w:r>
      <w:r w:rsidRPr="007E0C8B">
        <w:rPr>
          <w:rtl/>
        </w:rPr>
        <w:t xml:space="preserve">في نطاقات بالقرب من </w:t>
      </w:r>
      <w:r w:rsidRPr="007E0C8B">
        <w:t>14</w:t>
      </w:r>
      <w:r w:rsidRPr="007E0C8B">
        <w:rPr>
          <w:rtl/>
        </w:rPr>
        <w:t xml:space="preserve"> و</w:t>
      </w:r>
      <w:r w:rsidRPr="007E0C8B">
        <w:t>GHz 15</w:t>
      </w:r>
      <w:r w:rsidRPr="007E0C8B">
        <w:rPr>
          <w:rFonts w:hint="cs"/>
          <w:rtl/>
        </w:rPr>
        <w:t xml:space="preserve"> - </w:t>
      </w:r>
      <w:r w:rsidRPr="007E0C8B">
        <w:rPr>
          <w:rtl/>
        </w:rPr>
        <w:t xml:space="preserve">التداخل المحتمل من أنظمة ساتلية لترحيل </w:t>
      </w:r>
      <w:r w:rsidRPr="007E0C8B">
        <w:rPr>
          <w:rFonts w:hint="cs"/>
          <w:rtl/>
        </w:rPr>
        <w:t>البيانات</w:t>
      </w:r>
    </w:p>
    <w:p w:rsidR="007E0C8B" w:rsidRDefault="007E0C8B" w:rsidP="000B160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E0C8B">
        <w:rPr>
          <w:rFonts w:eastAsiaTheme="minorEastAsia" w:hint="cs"/>
          <w:rtl/>
          <w:lang w:eastAsia="zh-CN" w:bidi="ar-SY"/>
        </w:rPr>
        <w:t xml:space="preserve">تم إلغاء الإحالات إلى حدود كثافة تدفق القدرة </w:t>
      </w:r>
      <w:r w:rsidR="00E03FB7">
        <w:rPr>
          <w:rFonts w:eastAsiaTheme="minorEastAsia"/>
          <w:lang w:eastAsia="zh-CN" w:bidi="ar-SY"/>
        </w:rPr>
        <w:t>(</w:t>
      </w:r>
      <w:r w:rsidRPr="007E0C8B">
        <w:rPr>
          <w:rFonts w:eastAsiaTheme="minorEastAsia"/>
          <w:lang w:eastAsia="zh-CN" w:bidi="ar-EG"/>
        </w:rPr>
        <w:t>pfd</w:t>
      </w:r>
      <w:r w:rsidR="00E03FB7">
        <w:rPr>
          <w:rFonts w:eastAsiaTheme="minorEastAsia"/>
          <w:lang w:eastAsia="zh-CN" w:bidi="ar-SY"/>
        </w:rPr>
        <w:t>)</w:t>
      </w:r>
      <w:r w:rsidRPr="007E0C8B">
        <w:rPr>
          <w:rFonts w:eastAsiaTheme="minorEastAsia" w:hint="cs"/>
          <w:rtl/>
          <w:lang w:eastAsia="zh-CN" w:bidi="ar-SY"/>
        </w:rPr>
        <w:t xml:space="preserve"> الواردة في التوصية </w:t>
      </w:r>
      <w:r w:rsidRPr="007E0C8B">
        <w:rPr>
          <w:rFonts w:eastAsiaTheme="minorEastAsia"/>
          <w:lang w:eastAsia="zh-CN" w:bidi="ar-EG"/>
        </w:rPr>
        <w:t>ITU-R</w:t>
      </w:r>
      <w:r w:rsidR="000B1602">
        <w:rPr>
          <w:rFonts w:eastAsiaTheme="minorEastAsia"/>
          <w:lang w:eastAsia="zh-CN" w:bidi="ar-EG"/>
        </w:rPr>
        <w:t> </w:t>
      </w:r>
      <w:r w:rsidRPr="007E0C8B">
        <w:rPr>
          <w:rFonts w:eastAsiaTheme="minorEastAsia"/>
          <w:lang w:eastAsia="zh-CN" w:bidi="ar-EG"/>
        </w:rPr>
        <w:t>SF.358</w:t>
      </w:r>
      <w:r w:rsidRPr="007E0C8B">
        <w:rPr>
          <w:rFonts w:eastAsiaTheme="minorEastAsia" w:hint="cs"/>
          <w:rtl/>
          <w:lang w:eastAsia="zh-CN" w:bidi="ar-SY"/>
        </w:rPr>
        <w:t xml:space="preserve"> التي ألغيت وكذلك الحاشية التي تنص على إحاطة لجنتي الدراسات </w:t>
      </w:r>
      <w:r w:rsidRPr="007E0C8B">
        <w:rPr>
          <w:rFonts w:eastAsiaTheme="minorEastAsia"/>
          <w:lang w:eastAsia="zh-CN" w:bidi="ar-EG"/>
        </w:rPr>
        <w:t>8</w:t>
      </w:r>
      <w:r w:rsidRPr="007E0C8B">
        <w:rPr>
          <w:rFonts w:eastAsiaTheme="minorEastAsia" w:hint="cs"/>
          <w:rtl/>
          <w:lang w:eastAsia="zh-CN" w:bidi="ar-SY"/>
        </w:rPr>
        <w:t xml:space="preserve"> و</w:t>
      </w:r>
      <w:r w:rsidRPr="007E0C8B">
        <w:rPr>
          <w:rFonts w:eastAsiaTheme="minorEastAsia"/>
          <w:lang w:eastAsia="zh-CN" w:bidi="ar-EG"/>
        </w:rPr>
        <w:t>9</w:t>
      </w:r>
      <w:r w:rsidRPr="007E0C8B">
        <w:rPr>
          <w:rFonts w:eastAsiaTheme="minorEastAsia" w:hint="cs"/>
          <w:rtl/>
          <w:lang w:eastAsia="zh-CN" w:bidi="ar-SY"/>
        </w:rPr>
        <w:t xml:space="preserve"> علماً بالتوصية، إذ لم يعد هناك وجود لهاتين اللجنتين، وينبغي الآن إحاطة اللجنة</w:t>
      </w:r>
      <w:r w:rsidRPr="007E0C8B">
        <w:rPr>
          <w:rFonts w:eastAsiaTheme="minorEastAsia" w:hint="eastAsia"/>
          <w:rtl/>
          <w:lang w:eastAsia="zh-CN" w:bidi="ar-SY"/>
        </w:rPr>
        <w:t> </w:t>
      </w:r>
      <w:r w:rsidRPr="007E0C8B">
        <w:rPr>
          <w:rFonts w:eastAsiaTheme="minorEastAsia"/>
          <w:lang w:eastAsia="zh-CN" w:bidi="ar-EG"/>
        </w:rPr>
        <w:t>5</w:t>
      </w:r>
      <w:r w:rsidRPr="007E0C8B">
        <w:rPr>
          <w:rFonts w:eastAsiaTheme="minorEastAsia" w:hint="cs"/>
          <w:rtl/>
          <w:lang w:eastAsia="zh-CN" w:bidi="ar-SY"/>
        </w:rPr>
        <w:t xml:space="preserve"> علماً ب</w:t>
      </w:r>
      <w:r w:rsidR="00273E59">
        <w:rPr>
          <w:rFonts w:eastAsiaTheme="minorEastAsia" w:hint="cs"/>
          <w:rtl/>
          <w:lang w:eastAsia="zh-CN" w:bidi="ar-SY"/>
        </w:rPr>
        <w:t>ذ</w:t>
      </w:r>
      <w:r w:rsidRPr="007E0C8B">
        <w:rPr>
          <w:rFonts w:eastAsiaTheme="minorEastAsia" w:hint="cs"/>
          <w:rtl/>
          <w:lang w:eastAsia="zh-CN" w:bidi="ar-SY"/>
        </w:rPr>
        <w:t xml:space="preserve">لك. </w:t>
      </w:r>
      <w:r w:rsidRPr="007E0C8B">
        <w:rPr>
          <w:rFonts w:eastAsiaTheme="minorEastAsia" w:hint="cs"/>
          <w:rtl/>
          <w:lang w:eastAsia="zh-CN" w:bidi="ar-EG"/>
        </w:rPr>
        <w:t xml:space="preserve">إضافةً إلى ذلك، </w:t>
      </w:r>
      <w:r w:rsidR="00273E59">
        <w:rPr>
          <w:rFonts w:eastAsiaTheme="minorEastAsia" w:hint="cs"/>
          <w:rtl/>
          <w:lang w:eastAsia="zh-CN" w:bidi="ar-EG"/>
        </w:rPr>
        <w:t>استعيض عن فقرة</w:t>
      </w:r>
      <w:r w:rsidRPr="007E0C8B">
        <w:rPr>
          <w:rFonts w:eastAsiaTheme="minorEastAsia" w:hint="cs"/>
          <w:rtl/>
          <w:lang w:eastAsia="zh-CN" w:bidi="ar-EG"/>
        </w:rPr>
        <w:t xml:space="preserve"> "</w:t>
      </w:r>
      <w:r w:rsidR="000B1602">
        <w:rPr>
          <w:rFonts w:eastAsiaTheme="minorEastAsia" w:hint="eastAsia"/>
          <w:i/>
          <w:iCs/>
          <w:rtl/>
          <w:lang w:eastAsia="zh-CN" w:bidi="ar-EG"/>
        </w:rPr>
        <w:t> </w:t>
      </w:r>
      <w:r w:rsidRPr="007E0C8B">
        <w:rPr>
          <w:rFonts w:eastAsiaTheme="minorEastAsia" w:hint="cs"/>
          <w:i/>
          <w:iCs/>
          <w:rtl/>
          <w:lang w:eastAsia="zh-CN" w:bidi="ar-EG"/>
        </w:rPr>
        <w:t>توصي</w:t>
      </w:r>
      <w:r w:rsidRPr="007E0C8B">
        <w:rPr>
          <w:rFonts w:eastAsiaTheme="minorEastAsia" w:hint="cs"/>
          <w:rtl/>
          <w:lang w:eastAsia="zh-CN" w:bidi="ar-EG"/>
        </w:rPr>
        <w:t xml:space="preserve"> </w:t>
      </w:r>
      <w:r w:rsidRPr="007E0C8B">
        <w:rPr>
          <w:rFonts w:eastAsiaTheme="minorEastAsia"/>
          <w:lang w:eastAsia="zh-CN" w:bidi="ar-EG"/>
        </w:rPr>
        <w:t>1</w:t>
      </w:r>
      <w:r w:rsidRPr="007E0C8B">
        <w:rPr>
          <w:rFonts w:eastAsiaTheme="minorEastAsia" w:hint="cs"/>
          <w:rtl/>
          <w:lang w:eastAsia="zh-CN" w:bidi="ar-EG"/>
        </w:rPr>
        <w:t>" ب</w:t>
      </w:r>
      <w:r w:rsidR="00273E59">
        <w:rPr>
          <w:rFonts w:eastAsiaTheme="minorEastAsia" w:hint="cs"/>
          <w:rtl/>
          <w:lang w:eastAsia="zh-CN" w:bidi="ar-EG"/>
        </w:rPr>
        <w:t>فقرة</w:t>
      </w:r>
      <w:r w:rsidRPr="007E0C8B">
        <w:rPr>
          <w:rFonts w:eastAsiaTheme="minorEastAsia" w:hint="cs"/>
          <w:rtl/>
          <w:lang w:eastAsia="zh-CN" w:bidi="ar-EG"/>
        </w:rPr>
        <w:t xml:space="preserve"> "</w:t>
      </w:r>
      <w:r w:rsidR="000B1602">
        <w:rPr>
          <w:rFonts w:eastAsiaTheme="minorEastAsia" w:hint="eastAsia"/>
          <w:rtl/>
          <w:lang w:eastAsia="zh-CN" w:bidi="ar-EG"/>
        </w:rPr>
        <w:t> </w:t>
      </w:r>
      <w:r w:rsidRPr="007E0C8B">
        <w:rPr>
          <w:rFonts w:eastAsiaTheme="minorEastAsia" w:hint="cs"/>
          <w:i/>
          <w:iCs/>
          <w:rtl/>
          <w:lang w:eastAsia="zh-CN" w:bidi="ar-EG"/>
        </w:rPr>
        <w:t>إذ تقر</w:t>
      </w:r>
      <w:r w:rsidRPr="00DB0B81">
        <w:rPr>
          <w:rFonts w:eastAsiaTheme="minorEastAsia" w:hint="cs"/>
          <w:rtl/>
          <w:lang w:eastAsia="zh-CN" w:bidi="ar-EG"/>
        </w:rPr>
        <w:t xml:space="preserve">" </w:t>
      </w:r>
      <w:r w:rsidRPr="007E0C8B">
        <w:rPr>
          <w:rFonts w:eastAsiaTheme="minorEastAsia" w:hint="cs"/>
          <w:rtl/>
          <w:lang w:eastAsia="zh-CN" w:bidi="ar-EG"/>
        </w:rPr>
        <w:t>واستعيض عن الإحالات إلى خدمات محددة بإحالة عامة إلى "الخدمات الأخرى".</w:t>
      </w:r>
    </w:p>
    <w:p w:rsidR="007E0C8B" w:rsidRPr="00AF70F6" w:rsidRDefault="007E0C8B" w:rsidP="00F50DA6">
      <w:pPr>
        <w:tabs>
          <w:tab w:val="clear" w:pos="1134"/>
          <w:tab w:val="right" w:pos="9639"/>
        </w:tabs>
        <w:spacing w:before="480"/>
        <w:rPr>
          <w:rFonts w:eastAsiaTheme="minorEastAsia"/>
          <w:rtl/>
          <w:lang w:eastAsia="zh-CN" w:bidi="ar-EG"/>
        </w:rPr>
      </w:pPr>
      <w:r w:rsidRPr="007E0C8B">
        <w:rPr>
          <w:rFonts w:eastAsiaTheme="minorEastAsia" w:hint="cs"/>
          <w:u w:val="single"/>
          <w:rtl/>
          <w:lang w:eastAsia="zh-CN"/>
        </w:rPr>
        <w:t xml:space="preserve">مشروع مراجعة التوصية </w:t>
      </w:r>
      <w:r w:rsidRPr="007E0C8B">
        <w:rPr>
          <w:rFonts w:eastAsiaTheme="minorEastAsia"/>
          <w:u w:val="single"/>
          <w:lang w:eastAsia="zh-CN"/>
        </w:rPr>
        <w:t>ITU-R</w:t>
      </w:r>
      <w:r w:rsidR="00F50DA6">
        <w:rPr>
          <w:rFonts w:eastAsiaTheme="minorEastAsia"/>
          <w:u w:val="single"/>
          <w:lang w:eastAsia="zh-CN"/>
        </w:rPr>
        <w:t> </w:t>
      </w:r>
      <w:r w:rsidRPr="007E0C8B">
        <w:rPr>
          <w:rFonts w:eastAsiaTheme="minorEastAsia"/>
          <w:u w:val="single"/>
          <w:lang w:eastAsia="zh-CN"/>
        </w:rPr>
        <w:t>SA.1276-4</w:t>
      </w:r>
      <w:r w:rsidRPr="00AF70F6">
        <w:rPr>
          <w:rFonts w:eastAsiaTheme="minorEastAsia"/>
          <w:rtl/>
          <w:lang w:eastAsia="zh-CN" w:bidi="ar-EG"/>
        </w:rPr>
        <w:tab/>
      </w:r>
      <w:r w:rsidRPr="00AF70F6">
        <w:rPr>
          <w:rFonts w:eastAsiaTheme="minorEastAsia" w:hint="cs"/>
          <w:rtl/>
          <w:lang w:eastAsia="zh-CN" w:bidi="ar-EG"/>
        </w:rPr>
        <w:t xml:space="preserve">الوثيقة </w:t>
      </w:r>
      <w:hyperlink r:id="rId25" w:history="1">
        <w:r w:rsidRPr="007E0C8B">
          <w:rPr>
            <w:rStyle w:val="Hyperlink"/>
            <w:rFonts w:ascii="Calibri" w:eastAsiaTheme="minorEastAsia" w:hAnsi="Calibri"/>
            <w:lang w:eastAsia="zh-CN" w:bidi="ar-EG"/>
          </w:rPr>
          <w:t>7/17(Rev.1)</w:t>
        </w:r>
      </w:hyperlink>
    </w:p>
    <w:p w:rsidR="007E0C8B" w:rsidRPr="00AF70F6" w:rsidRDefault="007E0C8B" w:rsidP="00F50DA6">
      <w:pPr>
        <w:pStyle w:val="Rectitle"/>
        <w:rPr>
          <w:rtl/>
          <w:lang w:bidi="ar-SY"/>
        </w:rPr>
      </w:pPr>
      <w:r w:rsidRPr="007E0C8B">
        <w:rPr>
          <w:rFonts w:hint="cs"/>
          <w:rtl/>
        </w:rPr>
        <w:t>المواقع المدارية لسواتل ترحيل البيانات الواجب حمايتها من إرسالات</w:t>
      </w:r>
      <w:r w:rsidR="00F50DA6">
        <w:br/>
      </w:r>
      <w:r w:rsidRPr="007E0C8B">
        <w:rPr>
          <w:rFonts w:hint="cs"/>
          <w:rtl/>
        </w:rPr>
        <w:t>أنظمة الخدمة الثابتة العاملة في</w:t>
      </w:r>
      <w:r w:rsidRPr="007E0C8B">
        <w:t> </w:t>
      </w:r>
      <w:r w:rsidRPr="007E0C8B">
        <w:rPr>
          <w:rFonts w:hint="cs"/>
          <w:rtl/>
        </w:rPr>
        <w:t xml:space="preserve">النطاق </w:t>
      </w:r>
      <w:r w:rsidRPr="007E0C8B">
        <w:t>GHz 27,5</w:t>
      </w:r>
      <w:r w:rsidRPr="007E0C8B">
        <w:noBreakHyphen/>
        <w:t>25,25</w:t>
      </w:r>
    </w:p>
    <w:p w:rsidR="007E0C8B" w:rsidRDefault="007E0C8B" w:rsidP="00303F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r w:rsidRPr="007E0C8B">
        <w:rPr>
          <w:rFonts w:eastAsiaTheme="minorEastAsia" w:hint="cs"/>
          <w:rtl/>
          <w:lang w:eastAsia="zh-CN" w:bidi="ar-SY"/>
        </w:rPr>
        <w:t xml:space="preserve">روجعت </w:t>
      </w:r>
      <w:r w:rsidRPr="007E0C8B">
        <w:rPr>
          <w:rFonts w:eastAsiaTheme="minorEastAsia" w:hint="cs"/>
          <w:rtl/>
          <w:lang w:eastAsia="zh-CN"/>
        </w:rPr>
        <w:t xml:space="preserve">التوصية </w:t>
      </w:r>
      <w:r w:rsidRPr="007E0C8B">
        <w:rPr>
          <w:rFonts w:eastAsiaTheme="minorEastAsia"/>
          <w:lang w:eastAsia="zh-CN" w:bidi="ar-EG"/>
        </w:rPr>
        <w:t>ITU-R</w:t>
      </w:r>
      <w:r w:rsidR="00303F6B">
        <w:rPr>
          <w:rFonts w:eastAsiaTheme="minorEastAsia"/>
          <w:lang w:eastAsia="zh-CN" w:bidi="ar-EG"/>
        </w:rPr>
        <w:t> </w:t>
      </w:r>
      <w:r w:rsidRPr="007E0C8B">
        <w:rPr>
          <w:rFonts w:eastAsiaTheme="minorEastAsia"/>
          <w:lang w:eastAsia="zh-CN" w:bidi="ar-EG"/>
        </w:rPr>
        <w:t>SA.1276</w:t>
      </w:r>
      <w:r w:rsidR="00303F6B">
        <w:rPr>
          <w:rFonts w:eastAsiaTheme="minorEastAsia"/>
          <w:lang w:eastAsia="zh-CN" w:bidi="ar-EG"/>
        </w:rPr>
        <w:t>-4</w:t>
      </w:r>
      <w:r w:rsidRPr="007E0C8B">
        <w:rPr>
          <w:rFonts w:eastAsiaTheme="minorEastAsia" w:hint="cs"/>
          <w:rtl/>
          <w:lang w:eastAsia="zh-CN"/>
        </w:rPr>
        <w:t xml:space="preserve"> من أجل إضافة الموقعين المداريين </w:t>
      </w:r>
      <w:r w:rsidRPr="007E0C8B">
        <w:rPr>
          <w:rFonts w:eastAsiaTheme="minorEastAsia"/>
          <w:lang w:eastAsia="zh-CN" w:bidi="ar-EG"/>
        </w:rPr>
        <w:t>°9</w:t>
      </w:r>
      <w:r w:rsidRPr="007E0C8B">
        <w:rPr>
          <w:rFonts w:eastAsiaTheme="minorEastAsia" w:hint="cs"/>
          <w:rtl/>
          <w:lang w:eastAsia="zh-CN"/>
        </w:rPr>
        <w:t xml:space="preserve"> شرقاً و</w:t>
      </w:r>
      <w:r w:rsidRPr="007E0C8B">
        <w:rPr>
          <w:rFonts w:eastAsiaTheme="minorEastAsia"/>
          <w:lang w:eastAsia="zh-CN" w:bidi="ar-EG"/>
        </w:rPr>
        <w:t>°20,4</w:t>
      </w:r>
      <w:r w:rsidRPr="007E0C8B">
        <w:rPr>
          <w:rFonts w:eastAsiaTheme="minorEastAsia" w:hint="cs"/>
          <w:rtl/>
          <w:lang w:eastAsia="zh-CN"/>
        </w:rPr>
        <w:t xml:space="preserve"> شرقاً في الفقرة</w:t>
      </w:r>
      <w:r w:rsidRPr="00DB0B81">
        <w:rPr>
          <w:rFonts w:eastAsiaTheme="minorEastAsia" w:hint="cs"/>
          <w:rtl/>
          <w:lang w:eastAsia="zh-CN"/>
        </w:rPr>
        <w:t xml:space="preserve"> "</w:t>
      </w:r>
      <w:r w:rsidR="00303F6B">
        <w:rPr>
          <w:rFonts w:eastAsiaTheme="minorEastAsia" w:hint="eastAsia"/>
          <w:i/>
          <w:iCs/>
          <w:rtl/>
          <w:lang w:eastAsia="zh-CN" w:bidi="ar-EG"/>
        </w:rPr>
        <w:t> </w:t>
      </w:r>
      <w:r w:rsidRPr="007E0C8B">
        <w:rPr>
          <w:rFonts w:eastAsiaTheme="minorEastAsia" w:hint="cs"/>
          <w:i/>
          <w:iCs/>
          <w:rtl/>
          <w:lang w:eastAsia="zh-CN"/>
        </w:rPr>
        <w:t xml:space="preserve">توصي </w:t>
      </w:r>
      <w:r w:rsidRPr="007E0C8B">
        <w:rPr>
          <w:rFonts w:eastAsiaTheme="minorEastAsia"/>
          <w:i/>
          <w:iCs/>
          <w:lang w:eastAsia="zh-CN" w:bidi="ar-EG"/>
        </w:rPr>
        <w:t>1</w:t>
      </w:r>
      <w:r w:rsidRPr="00DB0B81">
        <w:rPr>
          <w:rFonts w:eastAsiaTheme="minorEastAsia" w:hint="cs"/>
          <w:rtl/>
          <w:lang w:eastAsia="zh-CN"/>
        </w:rPr>
        <w:t>".</w:t>
      </w:r>
    </w:p>
    <w:p w:rsidR="008E2A7F" w:rsidRDefault="008E2A7F" w:rsidP="007E0C8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r>
        <w:rPr>
          <w:rFonts w:eastAsiaTheme="minorEastAsia"/>
          <w:lang w:eastAsia="zh-CN"/>
        </w:rPr>
        <w:br w:type="page"/>
      </w:r>
    </w:p>
    <w:p w:rsidR="007E0C8B" w:rsidRPr="00AF70F6" w:rsidRDefault="007E0C8B" w:rsidP="00303F6B">
      <w:pPr>
        <w:tabs>
          <w:tab w:val="clear" w:pos="1134"/>
          <w:tab w:val="right" w:pos="9639"/>
        </w:tabs>
        <w:spacing w:before="480"/>
        <w:rPr>
          <w:rFonts w:eastAsiaTheme="minorEastAsia"/>
          <w:rtl/>
          <w:lang w:eastAsia="zh-CN" w:bidi="ar-EG"/>
        </w:rPr>
      </w:pPr>
      <w:r w:rsidRPr="007E0C8B">
        <w:rPr>
          <w:rFonts w:eastAsiaTheme="minorEastAsia" w:hint="cs"/>
          <w:u w:val="single"/>
          <w:rtl/>
          <w:lang w:eastAsia="zh-CN"/>
        </w:rPr>
        <w:lastRenderedPageBreak/>
        <w:t xml:space="preserve">مشروع مراجعة التوصية </w:t>
      </w:r>
      <w:r w:rsidRPr="007E0C8B">
        <w:rPr>
          <w:rFonts w:eastAsiaTheme="minorEastAsia"/>
          <w:u w:val="single"/>
          <w:lang w:eastAsia="zh-CN"/>
        </w:rPr>
        <w:t>ITU-R</w:t>
      </w:r>
      <w:r w:rsidR="00303F6B">
        <w:rPr>
          <w:rFonts w:eastAsiaTheme="minorEastAsia"/>
          <w:u w:val="single"/>
          <w:lang w:eastAsia="zh-CN"/>
        </w:rPr>
        <w:t> </w:t>
      </w:r>
      <w:r w:rsidRPr="007E0C8B">
        <w:rPr>
          <w:rFonts w:eastAsiaTheme="minorEastAsia"/>
          <w:u w:val="single"/>
          <w:lang w:eastAsia="zh-CN"/>
        </w:rPr>
        <w:t>SA.1026-4</w:t>
      </w:r>
      <w:r w:rsidRPr="00AF70F6">
        <w:rPr>
          <w:rFonts w:eastAsiaTheme="minorEastAsia"/>
          <w:rtl/>
          <w:lang w:eastAsia="zh-CN" w:bidi="ar-EG"/>
        </w:rPr>
        <w:tab/>
      </w:r>
      <w:r w:rsidRPr="00AF70F6">
        <w:rPr>
          <w:rFonts w:eastAsiaTheme="minorEastAsia" w:hint="cs"/>
          <w:rtl/>
          <w:lang w:eastAsia="zh-CN" w:bidi="ar-EG"/>
        </w:rPr>
        <w:t xml:space="preserve">الوثيقة </w:t>
      </w:r>
      <w:hyperlink r:id="rId26" w:history="1">
        <w:r w:rsidRPr="007E0C8B">
          <w:rPr>
            <w:rStyle w:val="Hyperlink"/>
            <w:rFonts w:ascii="Calibri" w:eastAsiaTheme="minorEastAsia" w:hAnsi="Calibri"/>
            <w:lang w:eastAsia="zh-CN" w:bidi="ar-EG"/>
          </w:rPr>
          <w:t>7/18(Rev.1)</w:t>
        </w:r>
      </w:hyperlink>
    </w:p>
    <w:p w:rsidR="007E0C8B" w:rsidRPr="00AF70F6" w:rsidRDefault="007E0C8B" w:rsidP="00EE151E">
      <w:pPr>
        <w:pStyle w:val="Rectitle"/>
        <w:rPr>
          <w:rtl/>
          <w:lang w:bidi="ar-SY"/>
        </w:rPr>
      </w:pPr>
      <w:r w:rsidRPr="007E0C8B">
        <w:rPr>
          <w:rFonts w:hint="cs"/>
          <w:rtl/>
        </w:rPr>
        <w:t xml:space="preserve">معايير التداخل الكلي </w:t>
      </w:r>
      <w:r w:rsidRPr="007E0C8B">
        <w:rPr>
          <w:rtl/>
        </w:rPr>
        <w:t xml:space="preserve">لأنظمة إرسال </w:t>
      </w:r>
      <w:r w:rsidRPr="007E0C8B">
        <w:rPr>
          <w:rFonts w:hint="cs"/>
          <w:rtl/>
        </w:rPr>
        <w:t>البيانات</w:t>
      </w:r>
      <w:r w:rsidRPr="007E0C8B">
        <w:rPr>
          <w:rtl/>
        </w:rPr>
        <w:t xml:space="preserve"> فضاء-أرض</w:t>
      </w:r>
      <w:r w:rsidRPr="007E0C8B">
        <w:rPr>
          <w:rFonts w:hint="cs"/>
          <w:rtl/>
        </w:rPr>
        <w:t xml:space="preserve"> </w:t>
      </w:r>
      <w:r w:rsidRPr="007E0C8B">
        <w:rPr>
          <w:rtl/>
        </w:rPr>
        <w:br/>
      </w:r>
      <w:r w:rsidRPr="007E0C8B">
        <w:rPr>
          <w:rFonts w:hint="cs"/>
          <w:rtl/>
        </w:rPr>
        <w:t>العاملة</w:t>
      </w:r>
      <w:r w:rsidRPr="007E0C8B">
        <w:rPr>
          <w:rtl/>
        </w:rPr>
        <w:t xml:space="preserve"> في </w:t>
      </w:r>
      <w:r w:rsidR="00303F6B">
        <w:rPr>
          <w:rFonts w:hint="cs"/>
          <w:rtl/>
        </w:rPr>
        <w:t>خدمة استكشاف</w:t>
      </w:r>
      <w:r w:rsidRPr="007E0C8B">
        <w:rPr>
          <w:rtl/>
        </w:rPr>
        <w:t xml:space="preserve"> الأرض</w:t>
      </w:r>
      <w:r w:rsidR="00303F6B">
        <w:rPr>
          <w:rFonts w:hint="cs"/>
          <w:rtl/>
        </w:rPr>
        <w:t xml:space="preserve"> الساتلية</w:t>
      </w:r>
      <w:r w:rsidRPr="007E0C8B">
        <w:rPr>
          <w:rtl/>
        </w:rPr>
        <w:t xml:space="preserve"> والخدم</w:t>
      </w:r>
      <w:r w:rsidRPr="007E0C8B">
        <w:rPr>
          <w:rFonts w:hint="cs"/>
          <w:rtl/>
        </w:rPr>
        <w:t>ة</w:t>
      </w:r>
      <w:r w:rsidRPr="007E0C8B">
        <w:rPr>
          <w:rtl/>
        </w:rPr>
        <w:t xml:space="preserve"> الساتلية </w:t>
      </w:r>
      <w:r w:rsidR="00EE151E">
        <w:rPr>
          <w:rFonts w:hint="cs"/>
          <w:rtl/>
        </w:rPr>
        <w:t xml:space="preserve"> </w:t>
      </w:r>
      <w:r w:rsidRPr="007E0C8B">
        <w:rPr>
          <w:rtl/>
        </w:rPr>
        <w:t>للأرصاد</w:t>
      </w:r>
      <w:r w:rsidRPr="007E0C8B">
        <w:rPr>
          <w:rFonts w:hint="cs"/>
          <w:rtl/>
        </w:rPr>
        <w:t xml:space="preserve"> </w:t>
      </w:r>
      <w:r w:rsidRPr="007E0C8B">
        <w:rPr>
          <w:rtl/>
        </w:rPr>
        <w:t>الجوية</w:t>
      </w:r>
      <w:r w:rsidR="00EE151E">
        <w:rPr>
          <w:rtl/>
        </w:rPr>
        <w:br/>
      </w:r>
      <w:r w:rsidRPr="007E0C8B">
        <w:rPr>
          <w:rFonts w:hint="cs"/>
          <w:rtl/>
        </w:rPr>
        <w:t>باستعمال سواتل</w:t>
      </w:r>
      <w:r w:rsidRPr="007E0C8B">
        <w:rPr>
          <w:rtl/>
        </w:rPr>
        <w:t xml:space="preserve"> </w:t>
      </w:r>
      <w:r w:rsidRPr="007E0C8B">
        <w:rPr>
          <w:rFonts w:hint="cs"/>
          <w:rtl/>
        </w:rPr>
        <w:t>في مدارات منخفضة بالنسبة إلى</w:t>
      </w:r>
      <w:r w:rsidRPr="007E0C8B">
        <w:rPr>
          <w:rFonts w:hint="eastAsia"/>
          <w:rtl/>
        </w:rPr>
        <w:t> </w:t>
      </w:r>
      <w:r w:rsidRPr="007E0C8B">
        <w:rPr>
          <w:rFonts w:hint="cs"/>
          <w:rtl/>
        </w:rPr>
        <w:t>الأرض</w:t>
      </w:r>
    </w:p>
    <w:p w:rsidR="007E0C8B" w:rsidRPr="00434DEF" w:rsidRDefault="0049549F" w:rsidP="00434D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34DEF">
        <w:rPr>
          <w:rFonts w:eastAsiaTheme="minorEastAsia" w:hint="cs"/>
          <w:rtl/>
          <w:lang w:eastAsia="zh-CN" w:bidi="ar-SY"/>
        </w:rPr>
        <w:t xml:space="preserve">تتضمن هذه الصيغة المراجَعة </w:t>
      </w:r>
      <w:r w:rsidRPr="00434DEF">
        <w:rPr>
          <w:rFonts w:eastAsiaTheme="minorEastAsia" w:hint="cs"/>
          <w:rtl/>
          <w:lang w:eastAsia="zh-CN"/>
        </w:rPr>
        <w:t>أنظمة مرجعية جديدة في</w:t>
      </w:r>
      <w:r w:rsidRPr="00434DEF">
        <w:rPr>
          <w:rFonts w:eastAsiaTheme="minorEastAsia" w:hint="eastAsia"/>
          <w:rtl/>
          <w:lang w:eastAsia="zh-CN"/>
        </w:rPr>
        <w:t> </w:t>
      </w:r>
      <w:r w:rsidRPr="00434DEF">
        <w:rPr>
          <w:rFonts w:eastAsiaTheme="minorEastAsia" w:hint="cs"/>
          <w:rtl/>
          <w:lang w:eastAsia="zh-CN"/>
        </w:rPr>
        <w:t>النطاقات</w:t>
      </w:r>
      <w:r w:rsidRPr="00434DEF">
        <w:rPr>
          <w:rFonts w:eastAsiaTheme="minorEastAsia" w:hint="eastAsia"/>
          <w:rtl/>
          <w:lang w:eastAsia="zh-CN"/>
        </w:rPr>
        <w:t> </w:t>
      </w:r>
      <w:r w:rsidRPr="00434DEF">
        <w:rPr>
          <w:rFonts w:eastAsiaTheme="minorEastAsia"/>
          <w:lang w:eastAsia="zh-CN" w:bidi="ar-EG"/>
        </w:rPr>
        <w:t>MHz 7 900</w:t>
      </w:r>
      <w:r w:rsidRPr="00434DEF">
        <w:rPr>
          <w:rFonts w:eastAsiaTheme="minorEastAsia"/>
          <w:lang w:eastAsia="zh-CN" w:bidi="ar-EG"/>
        </w:rPr>
        <w:noBreakHyphen/>
        <w:t>7 750</w:t>
      </w:r>
      <w:r w:rsidRPr="00434DEF">
        <w:rPr>
          <w:rFonts w:eastAsiaTheme="minorEastAsia" w:hint="cs"/>
          <w:rtl/>
          <w:lang w:eastAsia="zh-CN"/>
        </w:rPr>
        <w:t xml:space="preserve"> و</w:t>
      </w:r>
      <w:r w:rsidRPr="00434DEF">
        <w:rPr>
          <w:rFonts w:eastAsiaTheme="minorEastAsia"/>
          <w:lang w:eastAsia="zh-CN" w:bidi="ar-EG"/>
        </w:rPr>
        <w:t>MHz 8 400</w:t>
      </w:r>
      <w:r w:rsidRPr="00434DEF">
        <w:rPr>
          <w:rFonts w:eastAsiaTheme="minorEastAsia"/>
          <w:lang w:eastAsia="zh-CN" w:bidi="ar-EG"/>
        </w:rPr>
        <w:noBreakHyphen/>
        <w:t>8 025</w:t>
      </w:r>
      <w:r w:rsidRPr="00434DEF">
        <w:rPr>
          <w:rFonts w:eastAsiaTheme="minorEastAsia" w:hint="cs"/>
          <w:rtl/>
          <w:lang w:eastAsia="zh-CN"/>
        </w:rPr>
        <w:t xml:space="preserve"> و</w:t>
      </w:r>
      <w:r w:rsidRPr="00434DEF">
        <w:rPr>
          <w:rFonts w:eastAsiaTheme="minorEastAsia"/>
          <w:lang w:eastAsia="zh-CN" w:bidi="ar-EG"/>
        </w:rPr>
        <w:t>GHz 27</w:t>
      </w:r>
      <w:r w:rsidRPr="00434DEF">
        <w:rPr>
          <w:rFonts w:eastAsiaTheme="minorEastAsia"/>
          <w:lang w:eastAsia="zh-CN" w:bidi="ar-EG"/>
        </w:rPr>
        <w:noBreakHyphen/>
        <w:t>25,5</w:t>
      </w:r>
      <w:r w:rsidRPr="00434DEF">
        <w:rPr>
          <w:rFonts w:eastAsiaTheme="minorEastAsia" w:hint="cs"/>
          <w:rtl/>
          <w:lang w:eastAsia="zh-CN"/>
        </w:rPr>
        <w:t xml:space="preserve"> وتنطوي على تبسيط الأحكام الحالية من خلال اقتراح معيار واحد للتداخل الكلي لكل نطاق تردد.</w:t>
      </w:r>
    </w:p>
    <w:p w:rsidR="007E0C8B" w:rsidRPr="00AF70F6" w:rsidRDefault="0049549F" w:rsidP="00164390">
      <w:pPr>
        <w:tabs>
          <w:tab w:val="clear" w:pos="1134"/>
          <w:tab w:val="right" w:pos="9639"/>
        </w:tabs>
        <w:spacing w:before="480"/>
        <w:rPr>
          <w:rFonts w:eastAsiaTheme="minorEastAsia"/>
          <w:rtl/>
          <w:lang w:eastAsia="zh-CN" w:bidi="ar-EG"/>
        </w:rPr>
      </w:pPr>
      <w:r w:rsidRPr="0049549F">
        <w:rPr>
          <w:rFonts w:eastAsiaTheme="minorEastAsia" w:hint="cs"/>
          <w:u w:val="single"/>
          <w:rtl/>
          <w:lang w:eastAsia="zh-CN"/>
        </w:rPr>
        <w:t xml:space="preserve">مشروع مراجعة التوصية </w:t>
      </w:r>
      <w:r w:rsidRPr="0049549F">
        <w:rPr>
          <w:rFonts w:eastAsiaTheme="minorEastAsia"/>
          <w:u w:val="single"/>
          <w:lang w:eastAsia="zh-CN"/>
        </w:rPr>
        <w:t>ITU-R</w:t>
      </w:r>
      <w:r w:rsidR="00164390">
        <w:rPr>
          <w:rFonts w:eastAsiaTheme="minorEastAsia"/>
          <w:u w:val="single"/>
          <w:lang w:eastAsia="zh-CN"/>
        </w:rPr>
        <w:t> </w:t>
      </w:r>
      <w:r w:rsidRPr="0049549F">
        <w:rPr>
          <w:rFonts w:eastAsiaTheme="minorEastAsia"/>
          <w:u w:val="single"/>
          <w:lang w:eastAsia="zh-CN"/>
        </w:rPr>
        <w:t>SA.1027-4</w:t>
      </w:r>
      <w:r w:rsidR="007E0C8B" w:rsidRPr="00AF70F6">
        <w:rPr>
          <w:rFonts w:eastAsiaTheme="minorEastAsia"/>
          <w:rtl/>
          <w:lang w:eastAsia="zh-CN" w:bidi="ar-EG"/>
        </w:rPr>
        <w:tab/>
      </w:r>
      <w:r w:rsidR="007E0C8B" w:rsidRPr="00AF70F6">
        <w:rPr>
          <w:rFonts w:eastAsiaTheme="minorEastAsia" w:hint="cs"/>
          <w:rtl/>
          <w:lang w:eastAsia="zh-CN" w:bidi="ar-EG"/>
        </w:rPr>
        <w:t xml:space="preserve">الوثيقة </w:t>
      </w:r>
      <w:hyperlink r:id="rId27" w:history="1">
        <w:r w:rsidRPr="0049549F">
          <w:rPr>
            <w:rStyle w:val="Hyperlink"/>
            <w:rFonts w:ascii="Calibri" w:eastAsiaTheme="minorEastAsia" w:hAnsi="Calibri"/>
            <w:lang w:eastAsia="zh-CN" w:bidi="ar-EG"/>
          </w:rPr>
          <w:t>7/19(Rev.1)</w:t>
        </w:r>
      </w:hyperlink>
    </w:p>
    <w:p w:rsidR="007E0C8B" w:rsidRPr="00AF70F6" w:rsidRDefault="0047345A" w:rsidP="00EE151E">
      <w:pPr>
        <w:pStyle w:val="Rectitle"/>
        <w:rPr>
          <w:rtl/>
          <w:lang w:bidi="ar-SY"/>
        </w:rPr>
      </w:pPr>
      <w:r w:rsidRPr="0047345A">
        <w:rPr>
          <w:rFonts w:hint="cs"/>
          <w:rtl/>
        </w:rPr>
        <w:t xml:space="preserve">معايير التقاسم </w:t>
      </w:r>
      <w:r w:rsidRPr="0047345A">
        <w:rPr>
          <w:rtl/>
        </w:rPr>
        <w:t xml:space="preserve">لأنظمة إرسال </w:t>
      </w:r>
      <w:r w:rsidRPr="0047345A">
        <w:rPr>
          <w:rFonts w:hint="cs"/>
          <w:rtl/>
        </w:rPr>
        <w:t>البيانات</w:t>
      </w:r>
      <w:r w:rsidRPr="0047345A">
        <w:rPr>
          <w:rtl/>
        </w:rPr>
        <w:t xml:space="preserve"> فضاء-أرض</w:t>
      </w:r>
      <w:r w:rsidRPr="0047345A">
        <w:rPr>
          <w:rFonts w:hint="cs"/>
          <w:rtl/>
        </w:rPr>
        <w:t xml:space="preserve"> </w:t>
      </w:r>
      <w:r w:rsidRPr="0047345A">
        <w:rPr>
          <w:rtl/>
        </w:rPr>
        <w:br/>
      </w:r>
      <w:r w:rsidRPr="0047345A">
        <w:rPr>
          <w:rFonts w:hint="cs"/>
          <w:rtl/>
        </w:rPr>
        <w:t>العاملة</w:t>
      </w:r>
      <w:r w:rsidRPr="0047345A">
        <w:rPr>
          <w:rtl/>
        </w:rPr>
        <w:t xml:space="preserve"> في </w:t>
      </w:r>
      <w:r w:rsidR="00F11F59">
        <w:rPr>
          <w:rFonts w:hint="cs"/>
          <w:rtl/>
        </w:rPr>
        <w:t>خدمة استكشاف</w:t>
      </w:r>
      <w:r w:rsidRPr="0047345A">
        <w:rPr>
          <w:rtl/>
        </w:rPr>
        <w:t xml:space="preserve"> الأرض </w:t>
      </w:r>
      <w:r w:rsidR="00F11F59">
        <w:rPr>
          <w:rFonts w:hint="cs"/>
          <w:rtl/>
        </w:rPr>
        <w:t xml:space="preserve">الساتلية </w:t>
      </w:r>
      <w:r w:rsidRPr="0047345A">
        <w:rPr>
          <w:rtl/>
        </w:rPr>
        <w:t>والخدم</w:t>
      </w:r>
      <w:r w:rsidRPr="0047345A">
        <w:rPr>
          <w:rFonts w:hint="cs"/>
          <w:rtl/>
        </w:rPr>
        <w:t>ة</w:t>
      </w:r>
      <w:r w:rsidRPr="0047345A">
        <w:rPr>
          <w:rtl/>
        </w:rPr>
        <w:t xml:space="preserve"> الساتلية للأرصاد</w:t>
      </w:r>
      <w:r w:rsidRPr="0047345A">
        <w:rPr>
          <w:rFonts w:hint="cs"/>
          <w:rtl/>
        </w:rPr>
        <w:t xml:space="preserve"> </w:t>
      </w:r>
      <w:r w:rsidRPr="0047345A">
        <w:rPr>
          <w:rtl/>
        </w:rPr>
        <w:t>الجوية</w:t>
      </w:r>
      <w:r w:rsidR="00EE151E">
        <w:rPr>
          <w:rtl/>
        </w:rPr>
        <w:br/>
      </w:r>
      <w:r w:rsidRPr="0047345A">
        <w:rPr>
          <w:rFonts w:hint="cs"/>
          <w:rtl/>
        </w:rPr>
        <w:t>باستعمال سواتل</w:t>
      </w:r>
      <w:r w:rsidRPr="0047345A">
        <w:rPr>
          <w:rtl/>
        </w:rPr>
        <w:t xml:space="preserve"> </w:t>
      </w:r>
      <w:r w:rsidRPr="0047345A">
        <w:rPr>
          <w:rFonts w:hint="cs"/>
          <w:rtl/>
        </w:rPr>
        <w:t>في مدارات منخفضة بالنسبة إلى الأرض</w:t>
      </w:r>
    </w:p>
    <w:p w:rsidR="007E0C8B" w:rsidRDefault="00B600A1" w:rsidP="00F97B2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600A1">
        <w:rPr>
          <w:rFonts w:eastAsiaTheme="minorEastAsia" w:hint="cs"/>
          <w:rtl/>
          <w:lang w:eastAsia="zh-CN" w:bidi="ar-SY"/>
        </w:rPr>
        <w:t xml:space="preserve">تنطوي هذه الصيغة المراجَعة </w:t>
      </w:r>
      <w:r w:rsidRPr="00B600A1">
        <w:rPr>
          <w:rFonts w:eastAsiaTheme="minorEastAsia" w:hint="cs"/>
          <w:rtl/>
          <w:lang w:eastAsia="zh-CN"/>
        </w:rPr>
        <w:t xml:space="preserve">على تبسيط الأحكام الحالية من خلال اقتراح معيار واحد للتقاسم لكل نطاق تردد، بما يتفق مع الصيغة المراجَعة ذات الصلة للتوصية </w:t>
      </w:r>
      <w:r w:rsidRPr="00B600A1">
        <w:rPr>
          <w:rFonts w:eastAsiaTheme="minorEastAsia"/>
          <w:lang w:eastAsia="zh-CN" w:bidi="ar-EG"/>
        </w:rPr>
        <w:t>ITU-R</w:t>
      </w:r>
      <w:r w:rsidR="00F97B2C">
        <w:rPr>
          <w:rFonts w:eastAsiaTheme="minorEastAsia"/>
          <w:lang w:eastAsia="zh-CN" w:bidi="ar-EG"/>
        </w:rPr>
        <w:t> </w:t>
      </w:r>
      <w:r w:rsidRPr="00B600A1">
        <w:rPr>
          <w:rFonts w:eastAsiaTheme="minorEastAsia"/>
          <w:lang w:eastAsia="zh-CN" w:bidi="ar-EG"/>
        </w:rPr>
        <w:t>SA.1026</w:t>
      </w:r>
      <w:r w:rsidRPr="00B600A1">
        <w:rPr>
          <w:rFonts w:eastAsiaTheme="minorEastAsia" w:hint="cs"/>
          <w:rtl/>
          <w:lang w:eastAsia="zh-CN"/>
        </w:rPr>
        <w:t>.</w:t>
      </w:r>
    </w:p>
    <w:p w:rsidR="007E0C8B" w:rsidRPr="00AF70F6" w:rsidRDefault="00B600A1" w:rsidP="00807557">
      <w:pPr>
        <w:tabs>
          <w:tab w:val="clear" w:pos="1134"/>
          <w:tab w:val="right" w:pos="9639"/>
        </w:tabs>
        <w:spacing w:before="480"/>
        <w:rPr>
          <w:rFonts w:eastAsiaTheme="minorEastAsia"/>
          <w:rtl/>
          <w:lang w:eastAsia="zh-CN" w:bidi="ar-EG"/>
        </w:rPr>
      </w:pPr>
      <w:r w:rsidRPr="00B600A1">
        <w:rPr>
          <w:rFonts w:eastAsiaTheme="minorEastAsia" w:hint="cs"/>
          <w:u w:val="single"/>
          <w:rtl/>
          <w:lang w:eastAsia="zh-CN"/>
        </w:rPr>
        <w:t xml:space="preserve">مشروع مراجعة التوصية </w:t>
      </w:r>
      <w:r w:rsidRPr="00B600A1">
        <w:rPr>
          <w:rFonts w:eastAsiaTheme="minorEastAsia"/>
          <w:u w:val="single"/>
          <w:lang w:eastAsia="zh-CN"/>
        </w:rPr>
        <w:t>ITU-R</w:t>
      </w:r>
      <w:r w:rsidR="00807557">
        <w:rPr>
          <w:rFonts w:eastAsiaTheme="minorEastAsia"/>
          <w:u w:val="single"/>
          <w:lang w:eastAsia="zh-CN"/>
        </w:rPr>
        <w:t> </w:t>
      </w:r>
      <w:r w:rsidRPr="00B600A1">
        <w:rPr>
          <w:rFonts w:eastAsiaTheme="minorEastAsia"/>
          <w:u w:val="single"/>
          <w:lang w:eastAsia="zh-CN"/>
        </w:rPr>
        <w:t>SA.1014-2</w:t>
      </w:r>
      <w:r w:rsidR="007E0C8B" w:rsidRPr="00AF70F6">
        <w:rPr>
          <w:rFonts w:eastAsiaTheme="minorEastAsia"/>
          <w:rtl/>
          <w:lang w:eastAsia="zh-CN" w:bidi="ar-EG"/>
        </w:rPr>
        <w:tab/>
      </w:r>
      <w:r w:rsidR="007E0C8B" w:rsidRPr="00AF70F6">
        <w:rPr>
          <w:rFonts w:eastAsiaTheme="minorEastAsia" w:hint="cs"/>
          <w:rtl/>
          <w:lang w:eastAsia="zh-CN" w:bidi="ar-EG"/>
        </w:rPr>
        <w:t xml:space="preserve">الوثيقة </w:t>
      </w:r>
      <w:hyperlink r:id="rId28" w:history="1">
        <w:r w:rsidRPr="00B600A1">
          <w:rPr>
            <w:rStyle w:val="Hyperlink"/>
            <w:rFonts w:ascii="Calibri" w:eastAsiaTheme="minorEastAsia" w:hAnsi="Calibri"/>
            <w:lang w:eastAsia="zh-CN" w:bidi="ar-EG"/>
          </w:rPr>
          <w:t>7/25(Rev.1)</w:t>
        </w:r>
      </w:hyperlink>
    </w:p>
    <w:p w:rsidR="007E0C8B" w:rsidRPr="00AF70F6" w:rsidRDefault="00D75C1E" w:rsidP="005C7381">
      <w:pPr>
        <w:pStyle w:val="Rectitle"/>
        <w:rPr>
          <w:rtl/>
          <w:lang w:bidi="ar-SY"/>
        </w:rPr>
      </w:pPr>
      <w:r w:rsidRPr="00D75C1E">
        <w:rPr>
          <w:rFonts w:hint="cs"/>
          <w:rtl/>
        </w:rPr>
        <w:t>متطلبات الاتصالات لمركبات أبحاث الفضاء السحيق المأهولة وغير</w:t>
      </w:r>
      <w:r w:rsidRPr="00D75C1E">
        <w:rPr>
          <w:rFonts w:hint="eastAsia"/>
          <w:rtl/>
        </w:rPr>
        <w:t> </w:t>
      </w:r>
      <w:r w:rsidRPr="00D75C1E">
        <w:rPr>
          <w:rFonts w:hint="cs"/>
          <w:rtl/>
        </w:rPr>
        <w:t>المأهولة</w:t>
      </w:r>
    </w:p>
    <w:p w:rsidR="007E0C8B" w:rsidRDefault="00D75C1E" w:rsidP="008075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D75C1E">
        <w:rPr>
          <w:rFonts w:eastAsiaTheme="minorEastAsia" w:hint="cs"/>
          <w:rtl/>
          <w:lang w:eastAsia="zh-CN" w:bidi="ar-EG"/>
        </w:rPr>
        <w:t xml:space="preserve">جرت مواءمة معدلات البتات المطلوبة لخدمة الأبحاث الفضائية (الفضاء السحيق) مع التوصية </w:t>
      </w:r>
      <w:r w:rsidRPr="00D75C1E">
        <w:rPr>
          <w:rFonts w:eastAsiaTheme="minorEastAsia"/>
          <w:lang w:eastAsia="zh-CN" w:bidi="ar-EG"/>
        </w:rPr>
        <w:t>ITU-R</w:t>
      </w:r>
      <w:r w:rsidR="00807557">
        <w:rPr>
          <w:rFonts w:eastAsiaTheme="minorEastAsia"/>
          <w:lang w:eastAsia="zh-CN" w:bidi="ar-EG"/>
        </w:rPr>
        <w:t> </w:t>
      </w:r>
      <w:r w:rsidRPr="00D75C1E">
        <w:rPr>
          <w:rFonts w:eastAsiaTheme="minorEastAsia"/>
          <w:lang w:eastAsia="zh-CN" w:bidi="ar-EG"/>
        </w:rPr>
        <w:t>SA.1015</w:t>
      </w:r>
      <w:r w:rsidRPr="00D75C1E">
        <w:rPr>
          <w:rFonts w:eastAsiaTheme="minorEastAsia" w:hint="cs"/>
          <w:rtl/>
          <w:lang w:eastAsia="zh-CN" w:bidi="ar-EG"/>
        </w:rPr>
        <w:t>. وأضيف الموقعان</w:t>
      </w:r>
      <w:r w:rsidRPr="00D75C1E">
        <w:rPr>
          <w:rFonts w:eastAsiaTheme="minorEastAsia" w:hint="eastAsia"/>
          <w:rtl/>
          <w:lang w:eastAsia="zh-CN" w:bidi="ar-EG"/>
        </w:rPr>
        <w:t> </w:t>
      </w:r>
      <w:r w:rsidRPr="00D75C1E">
        <w:rPr>
          <w:rFonts w:eastAsiaTheme="minorEastAsia"/>
          <w:lang w:eastAsia="zh-CN" w:bidi="ar-EG"/>
        </w:rPr>
        <w:t>Uchinoura</w:t>
      </w:r>
      <w:r w:rsidRPr="00D75C1E">
        <w:rPr>
          <w:rFonts w:eastAsiaTheme="minorEastAsia" w:hint="cs"/>
          <w:rtl/>
          <w:lang w:eastAsia="zh-CN" w:bidi="ar-EG"/>
        </w:rPr>
        <w:t xml:space="preserve"> و</w:t>
      </w:r>
      <w:r w:rsidRPr="00D75C1E">
        <w:rPr>
          <w:rFonts w:eastAsiaTheme="minorEastAsia"/>
          <w:lang w:eastAsia="zh-CN" w:bidi="ar-EG"/>
        </w:rPr>
        <w:t>Byalalu</w:t>
      </w:r>
      <w:r w:rsidRPr="00D75C1E">
        <w:rPr>
          <w:rFonts w:eastAsiaTheme="minorEastAsia" w:hint="cs"/>
          <w:rtl/>
          <w:lang w:eastAsia="zh-CN" w:bidi="ar-EG"/>
        </w:rPr>
        <w:t xml:space="preserve"> إلى قائمة المحطات الأرضية الحالية في خدمة الأبحاث الفضائية</w:t>
      </w:r>
      <w:r w:rsidRPr="00D75C1E">
        <w:rPr>
          <w:rFonts w:eastAsiaTheme="minorEastAsia" w:hint="eastAsia"/>
          <w:rtl/>
          <w:lang w:eastAsia="zh-CN" w:bidi="ar-EG"/>
        </w:rPr>
        <w:t> </w:t>
      </w:r>
      <w:r w:rsidRPr="00D75C1E">
        <w:rPr>
          <w:rFonts w:eastAsiaTheme="minorEastAsia"/>
          <w:lang w:eastAsia="zh-CN" w:bidi="ar-EG"/>
        </w:rPr>
        <w:t>(SRS)</w:t>
      </w:r>
      <w:r w:rsidRPr="00D75C1E">
        <w:rPr>
          <w:rFonts w:eastAsiaTheme="minorEastAsia" w:hint="cs"/>
          <w:rtl/>
          <w:lang w:eastAsia="zh-CN" w:bidi="ar-EG"/>
        </w:rPr>
        <w:t>. وألغيت معلمات القياس من جدول متطلبات معدلات البتات</w:t>
      </w:r>
      <w:r w:rsidRPr="00D75C1E">
        <w:rPr>
          <w:rFonts w:eastAsiaTheme="minorEastAsia" w:hint="eastAsia"/>
          <w:rtl/>
          <w:lang w:eastAsia="zh-CN" w:bidi="ar-EG"/>
        </w:rPr>
        <w:t> </w:t>
      </w:r>
      <w:r w:rsidRPr="00D75C1E">
        <w:rPr>
          <w:rFonts w:eastAsiaTheme="minorEastAsia" w:hint="cs"/>
          <w:rtl/>
          <w:lang w:eastAsia="zh-CN" w:bidi="ar-EG"/>
        </w:rPr>
        <w:t>(الجدول</w:t>
      </w:r>
      <w:r w:rsidRPr="00D75C1E">
        <w:rPr>
          <w:rFonts w:eastAsiaTheme="minorEastAsia" w:hint="eastAsia"/>
          <w:rtl/>
          <w:lang w:eastAsia="zh-CN" w:bidi="ar-EG"/>
        </w:rPr>
        <w:t> </w:t>
      </w:r>
      <w:r w:rsidRPr="00D75C1E">
        <w:rPr>
          <w:rFonts w:eastAsiaTheme="minorEastAsia"/>
          <w:lang w:eastAsia="zh-CN" w:bidi="ar-EG"/>
        </w:rPr>
        <w:t>1</w:t>
      </w:r>
      <w:r w:rsidRPr="00D75C1E">
        <w:rPr>
          <w:rFonts w:eastAsiaTheme="minorEastAsia" w:hint="cs"/>
          <w:rtl/>
          <w:lang w:eastAsia="zh-CN" w:bidi="ar-EG"/>
        </w:rPr>
        <w:t>)، وتم نقلها إلى جدول متطلبات الملاحة والتتبع (الجدول</w:t>
      </w:r>
      <w:r w:rsidRPr="00D75C1E">
        <w:rPr>
          <w:rFonts w:eastAsiaTheme="minorEastAsia" w:hint="eastAsia"/>
          <w:rtl/>
          <w:lang w:eastAsia="zh-CN" w:bidi="ar-EG"/>
        </w:rPr>
        <w:t> </w:t>
      </w:r>
      <w:r w:rsidRPr="00D75C1E">
        <w:rPr>
          <w:rFonts w:eastAsiaTheme="minorEastAsia"/>
          <w:lang w:eastAsia="zh-CN" w:bidi="ar-EG"/>
        </w:rPr>
        <w:t>2</w:t>
      </w:r>
      <w:r w:rsidRPr="00D75C1E">
        <w:rPr>
          <w:rFonts w:eastAsiaTheme="minorEastAsia" w:hint="cs"/>
          <w:rtl/>
          <w:lang w:eastAsia="zh-CN" w:bidi="ar-EG"/>
        </w:rPr>
        <w:t>). وخضع للمراجعة وصف أنظمة القياس الواردة في</w:t>
      </w:r>
      <w:r w:rsidRPr="00D75C1E">
        <w:rPr>
          <w:rFonts w:eastAsiaTheme="minorEastAsia" w:hint="eastAsia"/>
          <w:rtl/>
          <w:lang w:eastAsia="zh-CN" w:bidi="ar-EG"/>
        </w:rPr>
        <w:t> </w:t>
      </w:r>
      <w:r w:rsidRPr="00D75C1E">
        <w:rPr>
          <w:rFonts w:eastAsiaTheme="minorEastAsia" w:hint="cs"/>
          <w:rtl/>
          <w:lang w:eastAsia="zh-CN" w:bidi="ar-EG"/>
        </w:rPr>
        <w:t>القسم</w:t>
      </w:r>
      <w:r w:rsidRPr="00D75C1E">
        <w:rPr>
          <w:rFonts w:eastAsiaTheme="minorEastAsia" w:hint="eastAsia"/>
          <w:rtl/>
          <w:lang w:eastAsia="zh-CN" w:bidi="ar-EG"/>
        </w:rPr>
        <w:t> </w:t>
      </w:r>
      <w:r w:rsidRPr="00D75C1E">
        <w:rPr>
          <w:rFonts w:eastAsiaTheme="minorEastAsia"/>
          <w:lang w:eastAsia="zh-CN" w:bidi="ar-EG"/>
        </w:rPr>
        <w:t>5.4</w:t>
      </w:r>
      <w:r w:rsidRPr="00D75C1E">
        <w:rPr>
          <w:rFonts w:eastAsiaTheme="minorEastAsia" w:hint="cs"/>
          <w:rtl/>
          <w:lang w:eastAsia="zh-CN" w:bidi="ar-EG"/>
        </w:rPr>
        <w:t xml:space="preserve">. وتمت مراجعة مواصفة قيم كسب الهوائي الواردة في الجدول </w:t>
      </w:r>
      <w:r w:rsidRPr="00D75C1E">
        <w:rPr>
          <w:rFonts w:eastAsiaTheme="minorEastAsia"/>
          <w:lang w:eastAsia="zh-CN" w:bidi="ar-EG"/>
        </w:rPr>
        <w:t>6</w:t>
      </w:r>
      <w:r w:rsidRPr="00D75C1E">
        <w:rPr>
          <w:rFonts w:eastAsiaTheme="minorEastAsia" w:hint="cs"/>
          <w:rtl/>
          <w:lang w:eastAsia="zh-CN" w:bidi="ar-EG"/>
        </w:rPr>
        <w:t xml:space="preserve"> لإدراج القيمة</w:t>
      </w:r>
      <w:r w:rsidRPr="00D75C1E">
        <w:rPr>
          <w:rFonts w:eastAsiaTheme="minorEastAsia" w:hint="eastAsia"/>
          <w:rtl/>
          <w:lang w:eastAsia="zh-CN" w:bidi="ar-EG"/>
        </w:rPr>
        <w:t> </w:t>
      </w:r>
      <w:r w:rsidRPr="00D75C1E">
        <w:rPr>
          <w:rFonts w:eastAsiaTheme="minorEastAsia"/>
          <w:lang w:eastAsia="zh-CN" w:bidi="ar-EG"/>
        </w:rPr>
        <w:t>GHz 34</w:t>
      </w:r>
      <w:r w:rsidRPr="00D75C1E">
        <w:rPr>
          <w:rFonts w:eastAsiaTheme="minorEastAsia" w:hint="cs"/>
          <w:rtl/>
          <w:lang w:eastAsia="zh-CN" w:bidi="ar-EG"/>
        </w:rPr>
        <w:t xml:space="preserve"> بدلاً من القيمتين</w:t>
      </w:r>
      <w:r w:rsidRPr="00D75C1E">
        <w:rPr>
          <w:rFonts w:eastAsiaTheme="minorEastAsia" w:hint="eastAsia"/>
          <w:rtl/>
          <w:lang w:eastAsia="zh-CN" w:bidi="ar-EG"/>
        </w:rPr>
        <w:t> </w:t>
      </w:r>
      <w:r w:rsidRPr="00D75C1E">
        <w:rPr>
          <w:rFonts w:eastAsiaTheme="minorEastAsia"/>
          <w:lang w:eastAsia="zh-CN" w:bidi="ar-EG"/>
        </w:rPr>
        <w:t>GHz 100</w:t>
      </w:r>
      <w:r w:rsidRPr="00D75C1E">
        <w:rPr>
          <w:rFonts w:eastAsiaTheme="minorEastAsia" w:hint="cs"/>
          <w:rtl/>
          <w:lang w:eastAsia="zh-CN" w:bidi="ar-EG"/>
        </w:rPr>
        <w:t xml:space="preserve"> و</w:t>
      </w:r>
      <w:r w:rsidRPr="00D75C1E">
        <w:rPr>
          <w:rFonts w:eastAsiaTheme="minorEastAsia"/>
          <w:lang w:eastAsia="zh-CN" w:bidi="ar-EG"/>
        </w:rPr>
        <w:t>GHz 37</w:t>
      </w:r>
      <w:r w:rsidRPr="00D75C1E">
        <w:rPr>
          <w:rFonts w:eastAsiaTheme="minorEastAsia" w:hint="cs"/>
          <w:rtl/>
          <w:lang w:eastAsia="zh-CN" w:bidi="ar-EG"/>
        </w:rPr>
        <w:t>.</w:t>
      </w:r>
    </w:p>
    <w:p w:rsidR="007E0C8B" w:rsidRPr="00AF70F6" w:rsidRDefault="00D75C1E" w:rsidP="00EB03E1">
      <w:pPr>
        <w:tabs>
          <w:tab w:val="clear" w:pos="1134"/>
          <w:tab w:val="right" w:pos="9639"/>
        </w:tabs>
        <w:spacing w:before="480"/>
        <w:rPr>
          <w:rFonts w:eastAsiaTheme="minorEastAsia"/>
          <w:rtl/>
          <w:lang w:eastAsia="zh-CN" w:bidi="ar-EG"/>
        </w:rPr>
      </w:pPr>
      <w:r w:rsidRPr="00D75C1E">
        <w:rPr>
          <w:rFonts w:eastAsiaTheme="minorEastAsia" w:hint="cs"/>
          <w:u w:val="single"/>
          <w:rtl/>
          <w:lang w:eastAsia="zh-CN"/>
        </w:rPr>
        <w:t xml:space="preserve">مشروع مراجعة التوصية </w:t>
      </w:r>
      <w:r w:rsidRPr="00D75C1E">
        <w:rPr>
          <w:rFonts w:eastAsiaTheme="minorEastAsia"/>
          <w:u w:val="single"/>
          <w:lang w:eastAsia="zh-CN"/>
        </w:rPr>
        <w:t>ITU-R</w:t>
      </w:r>
      <w:r w:rsidR="00EB03E1">
        <w:rPr>
          <w:rFonts w:eastAsiaTheme="minorEastAsia"/>
          <w:u w:val="single"/>
          <w:lang w:eastAsia="zh-CN"/>
        </w:rPr>
        <w:t> </w:t>
      </w:r>
      <w:r w:rsidRPr="00D75C1E">
        <w:rPr>
          <w:rFonts w:eastAsiaTheme="minorEastAsia"/>
          <w:u w:val="single"/>
          <w:lang w:eastAsia="zh-CN"/>
        </w:rPr>
        <w:t>SA.1018-0</w:t>
      </w:r>
      <w:r w:rsidR="007E0C8B" w:rsidRPr="00AF70F6">
        <w:rPr>
          <w:rFonts w:eastAsiaTheme="minorEastAsia"/>
          <w:rtl/>
          <w:lang w:eastAsia="zh-CN" w:bidi="ar-EG"/>
        </w:rPr>
        <w:tab/>
      </w:r>
      <w:r w:rsidR="007E0C8B" w:rsidRPr="00AF70F6">
        <w:rPr>
          <w:rFonts w:eastAsiaTheme="minorEastAsia" w:hint="cs"/>
          <w:rtl/>
          <w:lang w:eastAsia="zh-CN" w:bidi="ar-EG"/>
        </w:rPr>
        <w:t xml:space="preserve">الوثيقة </w:t>
      </w:r>
      <w:hyperlink r:id="rId29" w:history="1">
        <w:r w:rsidRPr="00D75C1E">
          <w:rPr>
            <w:rStyle w:val="Hyperlink"/>
            <w:rFonts w:ascii="Calibri" w:eastAsiaTheme="minorEastAsia" w:hAnsi="Calibri"/>
            <w:lang w:eastAsia="zh-CN" w:bidi="ar-EG"/>
          </w:rPr>
          <w:t>7/27(Rev.1)</w:t>
        </w:r>
      </w:hyperlink>
    </w:p>
    <w:p w:rsidR="007E0C8B" w:rsidRPr="00AF70F6" w:rsidRDefault="00D75C1E" w:rsidP="00E56FB1">
      <w:pPr>
        <w:pStyle w:val="Rectitle"/>
        <w:rPr>
          <w:rtl/>
          <w:lang w:bidi="ar-SY"/>
        </w:rPr>
      </w:pPr>
      <w:r w:rsidRPr="00D75C1E">
        <w:rPr>
          <w:rtl/>
        </w:rPr>
        <w:t xml:space="preserve">نظام مرجعي افتراضي للأنظمة التي تتضمن سواتل ترحيل </w:t>
      </w:r>
      <w:r w:rsidRPr="00D75C1E">
        <w:rPr>
          <w:rFonts w:hint="cs"/>
          <w:rtl/>
        </w:rPr>
        <w:t>للبيانات</w:t>
      </w:r>
      <w:r w:rsidR="00E56FB1">
        <w:br/>
      </w:r>
      <w:r w:rsidRPr="00D75C1E">
        <w:rPr>
          <w:rFonts w:hint="cs"/>
          <w:rtl/>
        </w:rPr>
        <w:t xml:space="preserve">في </w:t>
      </w:r>
      <w:r w:rsidRPr="00D75C1E">
        <w:rPr>
          <w:rtl/>
        </w:rPr>
        <w:t>المدار المستقر</w:t>
      </w:r>
      <w:r w:rsidRPr="00D75C1E">
        <w:rPr>
          <w:rFonts w:hint="cs"/>
          <w:rtl/>
        </w:rPr>
        <w:t xml:space="preserve"> </w:t>
      </w:r>
      <w:r w:rsidRPr="00D75C1E">
        <w:rPr>
          <w:rtl/>
        </w:rPr>
        <w:t>بالنسبة إلى الأرض والمركبات الفضائية</w:t>
      </w:r>
      <w:r w:rsidR="00E56FB1">
        <w:rPr>
          <w:rFonts w:hint="cs"/>
          <w:rtl/>
        </w:rPr>
        <w:t xml:space="preserve"> </w:t>
      </w:r>
      <w:r w:rsidRPr="00D75C1E">
        <w:rPr>
          <w:rFonts w:hint="cs"/>
          <w:rtl/>
        </w:rPr>
        <w:t>التي تستعملها</w:t>
      </w:r>
      <w:r w:rsidRPr="00D75C1E">
        <w:rPr>
          <w:rtl/>
        </w:rPr>
        <w:br/>
      </w:r>
      <w:r w:rsidRPr="00D75C1E">
        <w:rPr>
          <w:rFonts w:hint="cs"/>
          <w:rtl/>
        </w:rPr>
        <w:t>في مدارات منخفضة بالنسبة إلى الأرض</w:t>
      </w:r>
    </w:p>
    <w:p w:rsidR="007E0C8B" w:rsidRDefault="00D75C1E" w:rsidP="00D75C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D75C1E">
        <w:rPr>
          <w:rFonts w:eastAsiaTheme="minorEastAsia" w:hint="cs"/>
          <w:rtl/>
          <w:lang w:eastAsia="zh-CN" w:bidi="ar-EG"/>
        </w:rPr>
        <w:t xml:space="preserve">كانت المرة الأخيرة التي حصلت فيها هذه التوصية على الموافقة في عام </w:t>
      </w:r>
      <w:r w:rsidRPr="00D75C1E">
        <w:rPr>
          <w:rFonts w:eastAsiaTheme="minorEastAsia"/>
          <w:lang w:eastAsia="zh-CN" w:bidi="ar-EG"/>
        </w:rPr>
        <w:t>1994</w:t>
      </w:r>
      <w:r w:rsidRPr="00D75C1E">
        <w:rPr>
          <w:rFonts w:eastAsiaTheme="minorEastAsia" w:hint="cs"/>
          <w:rtl/>
          <w:lang w:eastAsia="zh-CN" w:bidi="ar-EG"/>
        </w:rPr>
        <w:t>، ولذا فمن المناسب أن تخضع للمراجعة. وتُعرض صيغة مراجَعة للتوصية مع أخذ التطورات الأخيرة في الاعتبار. وأضيف أيضاً ملحق يصف الشبكة/الأنظمة الساتلية لترحيل البيانات.</w:t>
      </w:r>
    </w:p>
    <w:p w:rsidR="007E0C8B" w:rsidRPr="00AF70F6" w:rsidRDefault="002005F0" w:rsidP="00FF7EDE">
      <w:pPr>
        <w:tabs>
          <w:tab w:val="clear" w:pos="1134"/>
          <w:tab w:val="right" w:pos="9639"/>
        </w:tabs>
        <w:spacing w:before="480"/>
        <w:rPr>
          <w:rFonts w:eastAsiaTheme="minorEastAsia"/>
          <w:rtl/>
          <w:lang w:eastAsia="zh-CN" w:bidi="ar-EG"/>
        </w:rPr>
      </w:pPr>
      <w:r w:rsidRPr="002005F0">
        <w:rPr>
          <w:rFonts w:eastAsiaTheme="minorEastAsia" w:hint="cs"/>
          <w:u w:val="single"/>
          <w:rtl/>
          <w:lang w:eastAsia="zh-CN"/>
        </w:rPr>
        <w:lastRenderedPageBreak/>
        <w:t xml:space="preserve">مشروع مراجعة التوصية </w:t>
      </w:r>
      <w:r w:rsidRPr="002005F0">
        <w:rPr>
          <w:rFonts w:eastAsiaTheme="minorEastAsia"/>
          <w:u w:val="single"/>
          <w:lang w:eastAsia="zh-CN"/>
        </w:rPr>
        <w:t>ITU-R</w:t>
      </w:r>
      <w:r w:rsidR="00FF7EDE">
        <w:rPr>
          <w:rFonts w:eastAsiaTheme="minorEastAsia"/>
          <w:u w:val="single"/>
          <w:lang w:eastAsia="zh-CN"/>
        </w:rPr>
        <w:t> </w:t>
      </w:r>
      <w:r w:rsidRPr="002005F0">
        <w:rPr>
          <w:rFonts w:eastAsiaTheme="minorEastAsia"/>
          <w:u w:val="single"/>
          <w:lang w:eastAsia="zh-CN"/>
        </w:rPr>
        <w:t>SA.1019-0</w:t>
      </w:r>
      <w:r w:rsidR="007E0C8B" w:rsidRPr="00AF70F6">
        <w:rPr>
          <w:rFonts w:eastAsiaTheme="minorEastAsia"/>
          <w:rtl/>
          <w:lang w:eastAsia="zh-CN" w:bidi="ar-EG"/>
        </w:rPr>
        <w:tab/>
      </w:r>
      <w:r w:rsidR="007E0C8B" w:rsidRPr="00AF70F6">
        <w:rPr>
          <w:rFonts w:eastAsiaTheme="minorEastAsia" w:hint="cs"/>
          <w:rtl/>
          <w:lang w:eastAsia="zh-CN" w:bidi="ar-EG"/>
        </w:rPr>
        <w:t xml:space="preserve">الوثيقة </w:t>
      </w:r>
      <w:hyperlink r:id="rId30" w:history="1">
        <w:r w:rsidR="00456879" w:rsidRPr="00456879">
          <w:rPr>
            <w:rStyle w:val="Hyperlink"/>
            <w:rFonts w:ascii="Calibri" w:eastAsiaTheme="minorEastAsia" w:hAnsi="Calibri"/>
            <w:lang w:eastAsia="zh-CN" w:bidi="ar-EG"/>
          </w:rPr>
          <w:t>7/28(Rev.1)</w:t>
        </w:r>
      </w:hyperlink>
    </w:p>
    <w:p w:rsidR="007E0C8B" w:rsidRPr="00AF70F6" w:rsidRDefault="00456879" w:rsidP="005C7381">
      <w:pPr>
        <w:pStyle w:val="Rectitle"/>
        <w:rPr>
          <w:rtl/>
          <w:lang w:bidi="ar-SY"/>
        </w:rPr>
      </w:pPr>
      <w:r w:rsidRPr="00456879">
        <w:rPr>
          <w:rtl/>
        </w:rPr>
        <w:t xml:space="preserve">نطاقات التردد </w:t>
      </w:r>
      <w:r w:rsidRPr="00456879">
        <w:rPr>
          <w:rFonts w:hint="cs"/>
          <w:rtl/>
        </w:rPr>
        <w:t xml:space="preserve">المفضلة </w:t>
      </w:r>
      <w:r w:rsidRPr="00456879">
        <w:rPr>
          <w:rtl/>
        </w:rPr>
        <w:t xml:space="preserve">واتجاهات </w:t>
      </w:r>
      <w:r w:rsidRPr="00456879">
        <w:rPr>
          <w:rFonts w:hint="cs"/>
          <w:rtl/>
        </w:rPr>
        <w:t>الإرسال للأنظمة</w:t>
      </w:r>
      <w:r w:rsidRPr="00456879">
        <w:rPr>
          <w:rtl/>
        </w:rPr>
        <w:t xml:space="preserve"> الساتلية لترحيل </w:t>
      </w:r>
      <w:r w:rsidRPr="00456879">
        <w:rPr>
          <w:rFonts w:hint="cs"/>
          <w:rtl/>
        </w:rPr>
        <w:t>البيانات</w:t>
      </w:r>
    </w:p>
    <w:p w:rsidR="007E0C8B" w:rsidRDefault="00456879" w:rsidP="004568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56879">
        <w:rPr>
          <w:rFonts w:eastAsiaTheme="minorEastAsia" w:hint="cs"/>
          <w:rtl/>
          <w:lang w:eastAsia="zh-CN" w:bidi="ar-EG"/>
        </w:rPr>
        <w:t>خضع للمراجعة الجدول الذي يتضمن نطاقات التردد واتجاهات الإرسال للأنظمة الساتلية لترحيل البيانات، فأدرجت فيه نطاقات تردد إضافية. وإضافة</w:t>
      </w:r>
      <w:r w:rsidR="00FF7EDE">
        <w:rPr>
          <w:rFonts w:eastAsiaTheme="minorEastAsia" w:hint="cs"/>
          <w:rtl/>
          <w:lang w:eastAsia="zh-CN" w:bidi="ar-EG"/>
        </w:rPr>
        <w:t>ً</w:t>
      </w:r>
      <w:r w:rsidRPr="00456879">
        <w:rPr>
          <w:rFonts w:eastAsiaTheme="minorEastAsia" w:hint="cs"/>
          <w:rtl/>
          <w:lang w:eastAsia="zh-CN" w:bidi="ar-EG"/>
        </w:rPr>
        <w:t xml:space="preserve"> إلى ذلك، تم إضفاء مزيد من الوضوح على بعض أجزاء النص.</w:t>
      </w:r>
    </w:p>
    <w:p w:rsidR="007E0C8B" w:rsidRPr="00AF70F6" w:rsidRDefault="00456879" w:rsidP="00C92A99">
      <w:pPr>
        <w:tabs>
          <w:tab w:val="clear" w:pos="1134"/>
          <w:tab w:val="right" w:pos="9639"/>
        </w:tabs>
        <w:spacing w:before="480"/>
        <w:rPr>
          <w:rFonts w:eastAsiaTheme="minorEastAsia"/>
          <w:rtl/>
          <w:lang w:eastAsia="zh-CN" w:bidi="ar-EG"/>
        </w:rPr>
      </w:pPr>
      <w:r w:rsidRPr="00456879">
        <w:rPr>
          <w:rFonts w:eastAsiaTheme="minorEastAsia" w:hint="cs"/>
          <w:u w:val="single"/>
          <w:rtl/>
          <w:lang w:eastAsia="zh-CN"/>
        </w:rPr>
        <w:t xml:space="preserve">مشروع مراجعة التوصية </w:t>
      </w:r>
      <w:r w:rsidRPr="00456879">
        <w:rPr>
          <w:rFonts w:eastAsiaTheme="minorEastAsia"/>
          <w:u w:val="single"/>
          <w:lang w:eastAsia="zh-CN"/>
        </w:rPr>
        <w:t>ITU-R</w:t>
      </w:r>
      <w:r w:rsidR="00C92A99">
        <w:rPr>
          <w:rFonts w:eastAsiaTheme="minorEastAsia"/>
          <w:u w:val="single"/>
          <w:lang w:eastAsia="zh-CN"/>
        </w:rPr>
        <w:t> </w:t>
      </w:r>
      <w:r w:rsidRPr="00456879">
        <w:rPr>
          <w:rFonts w:eastAsiaTheme="minorEastAsia"/>
          <w:u w:val="single"/>
          <w:lang w:eastAsia="zh-CN"/>
        </w:rPr>
        <w:t>TF.538-4</w:t>
      </w:r>
      <w:r w:rsidR="007E0C8B" w:rsidRPr="00AF70F6">
        <w:rPr>
          <w:rFonts w:eastAsiaTheme="minorEastAsia"/>
          <w:rtl/>
          <w:lang w:eastAsia="zh-CN" w:bidi="ar-EG"/>
        </w:rPr>
        <w:tab/>
      </w:r>
      <w:r w:rsidR="007E0C8B" w:rsidRPr="00AF70F6">
        <w:rPr>
          <w:rFonts w:eastAsiaTheme="minorEastAsia" w:hint="cs"/>
          <w:rtl/>
          <w:lang w:eastAsia="zh-CN" w:bidi="ar-EG"/>
        </w:rPr>
        <w:t xml:space="preserve">الوثيقة </w:t>
      </w:r>
      <w:hyperlink r:id="rId31" w:history="1">
        <w:r w:rsidRPr="00456879">
          <w:rPr>
            <w:rStyle w:val="Hyperlink"/>
            <w:rFonts w:ascii="Calibri" w:eastAsiaTheme="minorEastAsia" w:hAnsi="Calibri"/>
            <w:lang w:eastAsia="zh-CN" w:bidi="ar-EG"/>
          </w:rPr>
          <w:t>7/23(Rev.1)</w:t>
        </w:r>
      </w:hyperlink>
    </w:p>
    <w:p w:rsidR="007E0C8B" w:rsidRPr="00AF70F6" w:rsidRDefault="00456879" w:rsidP="005C7381">
      <w:pPr>
        <w:pStyle w:val="Rectitle"/>
        <w:rPr>
          <w:rtl/>
          <w:lang w:bidi="ar-SY"/>
        </w:rPr>
      </w:pPr>
      <w:r w:rsidRPr="00456879">
        <w:rPr>
          <w:rtl/>
        </w:rPr>
        <w:t>قياس</w:t>
      </w:r>
      <w:r w:rsidRPr="00456879">
        <w:rPr>
          <w:rFonts w:hint="cs"/>
          <w:rtl/>
        </w:rPr>
        <w:t>ات</w:t>
      </w:r>
      <w:r w:rsidRPr="00456879">
        <w:rPr>
          <w:rtl/>
        </w:rPr>
        <w:t xml:space="preserve"> عدم الاستقرار العشوائي للتردد </w:t>
      </w:r>
      <w:r w:rsidRPr="00456879">
        <w:rPr>
          <w:rFonts w:hint="cs"/>
          <w:rtl/>
        </w:rPr>
        <w:t>والتوقيت</w:t>
      </w:r>
      <w:r w:rsidRPr="00456879">
        <w:rPr>
          <w:rtl/>
        </w:rPr>
        <w:t xml:space="preserve"> (الطور)</w:t>
      </w:r>
    </w:p>
    <w:p w:rsidR="007E0C8B" w:rsidRPr="00AF70F6" w:rsidRDefault="00132D4C" w:rsidP="00132D4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32D4C">
        <w:rPr>
          <w:rFonts w:eastAsiaTheme="minorEastAsia" w:hint="cs"/>
          <w:rtl/>
          <w:lang w:eastAsia="zh-CN" w:bidi="ar-EG"/>
        </w:rPr>
        <w:t>تنطوي هذه الصيغة المراجَعة للتوصية على تحديث يبين التغييرات التي طرأت في قياس التوقيت وتحليله منذ اعتماد الصيغة الحالية. وهي تتضمن أساليب وتعاريف إضافية لتناول أوجه عدم الاستقرار في الميدان الزمني والتي تختلف مع الوقت، وتوسع من حساب عدم الاستقرار في الميدان الزمني ليشمل جزءاً أكبر من طول البيانات.</w:t>
      </w:r>
    </w:p>
    <w:p w:rsidR="00AF70F6" w:rsidRDefault="0083287F" w:rsidP="00AF70F6">
      <w:pPr>
        <w:spacing w:before="600"/>
        <w:jc w:val="center"/>
        <w:rPr>
          <w:rtl/>
          <w:lang w:bidi="ar-EG"/>
        </w:rPr>
      </w:pPr>
      <w:bookmarkStart w:id="0" w:name="_GoBack"/>
      <w:bookmarkEnd w:id="0"/>
      <w:r>
        <w:rPr>
          <w:rFonts w:hint="cs"/>
          <w:rtl/>
          <w:lang w:bidi="ar-EG"/>
        </w:rPr>
        <w:t>___________</w:t>
      </w:r>
    </w:p>
    <w:sectPr w:rsidR="00AF70F6" w:rsidSect="008B5B5D">
      <w:head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1E" w:rsidRDefault="00D3261E" w:rsidP="00E07379">
      <w:pPr>
        <w:spacing w:before="0" w:line="240" w:lineRule="auto"/>
      </w:pPr>
      <w:r>
        <w:separator/>
      </w:r>
    </w:p>
  </w:endnote>
  <w:endnote w:type="continuationSeparator" w:id="0">
    <w:p w:rsidR="00D3261E" w:rsidRDefault="00D3261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541EC6">
      <w:rPr>
        <w:rFonts w:cs="Calibri"/>
        <w:b/>
        <w:bCs/>
        <w:color w:val="1F4E79" w:themeColor="accent1" w:themeShade="80"/>
        <w:sz w:val="18"/>
        <w:szCs w:val="18"/>
      </w:rPr>
      <w:t>90</w:t>
    </w:r>
    <w:r w:rsidR="009734C8" w:rsidRPr="00541EC6">
      <w:rPr>
        <w:rFonts w:cs="Calibri"/>
        <w:b/>
        <w:bCs/>
        <w:color w:val="1F4E79" w:themeColor="accent1" w:themeShade="80"/>
        <w:sz w:val="18"/>
        <w:szCs w:val="18"/>
        <w:vertAlign w:val="superscript"/>
      </w:rPr>
      <w:t>th</w:t>
    </w:r>
    <w:r w:rsidR="009734C8" w:rsidRPr="00541EC6">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1E" w:rsidRDefault="00D3261E" w:rsidP="00E07379">
      <w:pPr>
        <w:spacing w:before="0" w:line="240" w:lineRule="auto"/>
      </w:pPr>
      <w:r>
        <w:separator/>
      </w:r>
    </w:p>
  </w:footnote>
  <w:footnote w:type="continuationSeparator" w:id="0">
    <w:p w:rsidR="00D3261E" w:rsidRDefault="00D3261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2237F4">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60213" w:rsidTr="002D117D">
      <w:tc>
        <w:tcPr>
          <w:tcW w:w="4814" w:type="dxa"/>
        </w:tcPr>
        <w:p w:rsidR="00460213" w:rsidRDefault="00460213" w:rsidP="00460213">
          <w:pPr>
            <w:pStyle w:val="Header"/>
            <w:spacing w:before="120"/>
            <w:jc w:val="left"/>
            <w:rPr>
              <w:rtl/>
            </w:rPr>
          </w:pPr>
          <w:r>
            <w:rPr>
              <w:b/>
              <w:bCs/>
              <w:noProof/>
              <w:lang w:val="en-GB" w:eastAsia="zh-CN"/>
            </w:rPr>
            <w:drawing>
              <wp:inline distT="0" distB="0" distL="0" distR="0" wp14:anchorId="7A897373" wp14:editId="061EF44C">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460213" w:rsidRDefault="00460213" w:rsidP="00460213">
          <w:pPr>
            <w:pStyle w:val="Header"/>
            <w:jc w:val="right"/>
            <w:rPr>
              <w:rtl/>
            </w:rPr>
          </w:pPr>
          <w:r w:rsidRPr="00A03501">
            <w:rPr>
              <w:noProof/>
              <w:lang w:val="en-GB" w:eastAsia="zh-CN"/>
            </w:rPr>
            <w:drawing>
              <wp:inline distT="0" distB="0" distL="0" distR="0" wp14:anchorId="6C8EC247" wp14:editId="3BC00040">
                <wp:extent cx="1238250" cy="942975"/>
                <wp:effectExtent l="0" t="0" r="0" b="9525"/>
                <wp:docPr id="4" name="Picture 4"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460213">
    <w:pPr>
      <w:spacing w:before="0"/>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1E"/>
    <w:rsid w:val="000124CC"/>
    <w:rsid w:val="00041DED"/>
    <w:rsid w:val="00041F8B"/>
    <w:rsid w:val="00046444"/>
    <w:rsid w:val="0006023B"/>
    <w:rsid w:val="0008638B"/>
    <w:rsid w:val="00090574"/>
    <w:rsid w:val="00092FC2"/>
    <w:rsid w:val="000A1677"/>
    <w:rsid w:val="000B1602"/>
    <w:rsid w:val="000B407F"/>
    <w:rsid w:val="000C13C2"/>
    <w:rsid w:val="000F0B1C"/>
    <w:rsid w:val="000F1D42"/>
    <w:rsid w:val="000F4D07"/>
    <w:rsid w:val="00102A03"/>
    <w:rsid w:val="001040A3"/>
    <w:rsid w:val="00132D4C"/>
    <w:rsid w:val="00164390"/>
    <w:rsid w:val="00173915"/>
    <w:rsid w:val="002005F0"/>
    <w:rsid w:val="0020109E"/>
    <w:rsid w:val="0022345D"/>
    <w:rsid w:val="002237F4"/>
    <w:rsid w:val="00225854"/>
    <w:rsid w:val="0023283D"/>
    <w:rsid w:val="0024189C"/>
    <w:rsid w:val="002520C7"/>
    <w:rsid w:val="00252E0C"/>
    <w:rsid w:val="00273E59"/>
    <w:rsid w:val="00276881"/>
    <w:rsid w:val="002916BE"/>
    <w:rsid w:val="002978BF"/>
    <w:rsid w:val="002978F4"/>
    <w:rsid w:val="002A430B"/>
    <w:rsid w:val="002B028D"/>
    <w:rsid w:val="002B435E"/>
    <w:rsid w:val="002C4DAE"/>
    <w:rsid w:val="002D4DD1"/>
    <w:rsid w:val="002D6669"/>
    <w:rsid w:val="002E6541"/>
    <w:rsid w:val="002F5560"/>
    <w:rsid w:val="002F7232"/>
    <w:rsid w:val="00303021"/>
    <w:rsid w:val="00303F6B"/>
    <w:rsid w:val="0030486B"/>
    <w:rsid w:val="003231B9"/>
    <w:rsid w:val="00324EF3"/>
    <w:rsid w:val="003275AC"/>
    <w:rsid w:val="00333D29"/>
    <w:rsid w:val="0033433B"/>
    <w:rsid w:val="003409F4"/>
    <w:rsid w:val="00341D7A"/>
    <w:rsid w:val="00357185"/>
    <w:rsid w:val="003C3763"/>
    <w:rsid w:val="003C475F"/>
    <w:rsid w:val="003E4132"/>
    <w:rsid w:val="003F678F"/>
    <w:rsid w:val="0042686F"/>
    <w:rsid w:val="00434DEF"/>
    <w:rsid w:val="004367CE"/>
    <w:rsid w:val="00443869"/>
    <w:rsid w:val="00456879"/>
    <w:rsid w:val="00460213"/>
    <w:rsid w:val="004712C6"/>
    <w:rsid w:val="0047345A"/>
    <w:rsid w:val="0049549F"/>
    <w:rsid w:val="00497703"/>
    <w:rsid w:val="004F0F06"/>
    <w:rsid w:val="004F4D4E"/>
    <w:rsid w:val="00501E0E"/>
    <w:rsid w:val="0051241A"/>
    <w:rsid w:val="005204D7"/>
    <w:rsid w:val="00530420"/>
    <w:rsid w:val="00541680"/>
    <w:rsid w:val="00541EC6"/>
    <w:rsid w:val="00546FDD"/>
    <w:rsid w:val="00552BC5"/>
    <w:rsid w:val="0055364C"/>
    <w:rsid w:val="0055516A"/>
    <w:rsid w:val="0056374C"/>
    <w:rsid w:val="0056614F"/>
    <w:rsid w:val="0057656F"/>
    <w:rsid w:val="00576731"/>
    <w:rsid w:val="0059285F"/>
    <w:rsid w:val="005A24B1"/>
    <w:rsid w:val="005B146B"/>
    <w:rsid w:val="005B6221"/>
    <w:rsid w:val="005B7B8A"/>
    <w:rsid w:val="005C7381"/>
    <w:rsid w:val="005D6476"/>
    <w:rsid w:val="005D6C0D"/>
    <w:rsid w:val="005E5283"/>
    <w:rsid w:val="005E58F5"/>
    <w:rsid w:val="00606660"/>
    <w:rsid w:val="006157A3"/>
    <w:rsid w:val="00620E60"/>
    <w:rsid w:val="0063315A"/>
    <w:rsid w:val="0065591D"/>
    <w:rsid w:val="00662C5A"/>
    <w:rsid w:val="00670AF5"/>
    <w:rsid w:val="00677269"/>
    <w:rsid w:val="006C1556"/>
    <w:rsid w:val="006F267F"/>
    <w:rsid w:val="006F63F7"/>
    <w:rsid w:val="006F6F03"/>
    <w:rsid w:val="00706D7A"/>
    <w:rsid w:val="00726AEC"/>
    <w:rsid w:val="007530CA"/>
    <w:rsid w:val="0075582A"/>
    <w:rsid w:val="00783A16"/>
    <w:rsid w:val="0079553D"/>
    <w:rsid w:val="007B01CC"/>
    <w:rsid w:val="007E0C8B"/>
    <w:rsid w:val="007E7C6C"/>
    <w:rsid w:val="007F6238"/>
    <w:rsid w:val="007F646C"/>
    <w:rsid w:val="008017F2"/>
    <w:rsid w:val="00801FCD"/>
    <w:rsid w:val="00803D7E"/>
    <w:rsid w:val="00803F08"/>
    <w:rsid w:val="00807557"/>
    <w:rsid w:val="008220E2"/>
    <w:rsid w:val="008235CD"/>
    <w:rsid w:val="00823A07"/>
    <w:rsid w:val="0083287F"/>
    <w:rsid w:val="00835FEC"/>
    <w:rsid w:val="008513CB"/>
    <w:rsid w:val="00874D9C"/>
    <w:rsid w:val="008A1810"/>
    <w:rsid w:val="008B0945"/>
    <w:rsid w:val="008B0983"/>
    <w:rsid w:val="008B5B5D"/>
    <w:rsid w:val="008E2A7F"/>
    <w:rsid w:val="00917694"/>
    <w:rsid w:val="00923199"/>
    <w:rsid w:val="009263CD"/>
    <w:rsid w:val="00930E6D"/>
    <w:rsid w:val="00933E83"/>
    <w:rsid w:val="00972CA2"/>
    <w:rsid w:val="009734C8"/>
    <w:rsid w:val="00982B28"/>
    <w:rsid w:val="00984EA5"/>
    <w:rsid w:val="00992593"/>
    <w:rsid w:val="009C17E1"/>
    <w:rsid w:val="009C35ED"/>
    <w:rsid w:val="009C6D8E"/>
    <w:rsid w:val="009D1BFE"/>
    <w:rsid w:val="009D4728"/>
    <w:rsid w:val="009F1C12"/>
    <w:rsid w:val="00A05211"/>
    <w:rsid w:val="00A10F8C"/>
    <w:rsid w:val="00A112C4"/>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885"/>
    <w:rsid w:val="00AE7244"/>
    <w:rsid w:val="00AF3FEE"/>
    <w:rsid w:val="00AF70F6"/>
    <w:rsid w:val="00B02F46"/>
    <w:rsid w:val="00B2000C"/>
    <w:rsid w:val="00B20ADE"/>
    <w:rsid w:val="00B600A1"/>
    <w:rsid w:val="00B66B9A"/>
    <w:rsid w:val="00B82089"/>
    <w:rsid w:val="00B970AE"/>
    <w:rsid w:val="00BA1427"/>
    <w:rsid w:val="00BB741B"/>
    <w:rsid w:val="00BE49D0"/>
    <w:rsid w:val="00BF2C38"/>
    <w:rsid w:val="00C23331"/>
    <w:rsid w:val="00C265DA"/>
    <w:rsid w:val="00C442F2"/>
    <w:rsid w:val="00C674FE"/>
    <w:rsid w:val="00C7297D"/>
    <w:rsid w:val="00C75633"/>
    <w:rsid w:val="00C8242E"/>
    <w:rsid w:val="00C82615"/>
    <w:rsid w:val="00C867DB"/>
    <w:rsid w:val="00C92A99"/>
    <w:rsid w:val="00C938A9"/>
    <w:rsid w:val="00CA2A38"/>
    <w:rsid w:val="00CA50FF"/>
    <w:rsid w:val="00CC3CD2"/>
    <w:rsid w:val="00CC43BE"/>
    <w:rsid w:val="00CD123C"/>
    <w:rsid w:val="00CD2085"/>
    <w:rsid w:val="00CE2EE1"/>
    <w:rsid w:val="00CF3FFD"/>
    <w:rsid w:val="00CF5ED3"/>
    <w:rsid w:val="00D0494C"/>
    <w:rsid w:val="00D14BEB"/>
    <w:rsid w:val="00D21C89"/>
    <w:rsid w:val="00D3261E"/>
    <w:rsid w:val="00D45542"/>
    <w:rsid w:val="00D75C1E"/>
    <w:rsid w:val="00D77D0F"/>
    <w:rsid w:val="00DA1CF0"/>
    <w:rsid w:val="00DB0B81"/>
    <w:rsid w:val="00DB2271"/>
    <w:rsid w:val="00DB5659"/>
    <w:rsid w:val="00DC24B4"/>
    <w:rsid w:val="00DC5E81"/>
    <w:rsid w:val="00DD7A05"/>
    <w:rsid w:val="00DE0003"/>
    <w:rsid w:val="00DF16DC"/>
    <w:rsid w:val="00DF5361"/>
    <w:rsid w:val="00E009A1"/>
    <w:rsid w:val="00E00D15"/>
    <w:rsid w:val="00E03FB7"/>
    <w:rsid w:val="00E071BE"/>
    <w:rsid w:val="00E07379"/>
    <w:rsid w:val="00E14494"/>
    <w:rsid w:val="00E17033"/>
    <w:rsid w:val="00E22744"/>
    <w:rsid w:val="00E32189"/>
    <w:rsid w:val="00E45211"/>
    <w:rsid w:val="00E56FB1"/>
    <w:rsid w:val="00E7380C"/>
    <w:rsid w:val="00E74BE7"/>
    <w:rsid w:val="00E80F03"/>
    <w:rsid w:val="00E86CC9"/>
    <w:rsid w:val="00E91979"/>
    <w:rsid w:val="00E95F9E"/>
    <w:rsid w:val="00E96624"/>
    <w:rsid w:val="00EB03E1"/>
    <w:rsid w:val="00EC1B29"/>
    <w:rsid w:val="00EE151E"/>
    <w:rsid w:val="00EE4A80"/>
    <w:rsid w:val="00F11F59"/>
    <w:rsid w:val="00F126F1"/>
    <w:rsid w:val="00F12D7A"/>
    <w:rsid w:val="00F2106A"/>
    <w:rsid w:val="00F317AD"/>
    <w:rsid w:val="00F36D8B"/>
    <w:rsid w:val="00F401D0"/>
    <w:rsid w:val="00F45F2B"/>
    <w:rsid w:val="00F50DA6"/>
    <w:rsid w:val="00F57AE4"/>
    <w:rsid w:val="00F67150"/>
    <w:rsid w:val="00F84366"/>
    <w:rsid w:val="00F85089"/>
    <w:rsid w:val="00F85564"/>
    <w:rsid w:val="00F86CFA"/>
    <w:rsid w:val="00F97B2C"/>
    <w:rsid w:val="00FD1E27"/>
    <w:rsid w:val="00FD58BD"/>
    <w:rsid w:val="00FF7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885BEDA-5156-4E41-8817-0D45856E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6B"/>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5C7381"/>
    <w:pPr>
      <w:spacing w:before="360" w:after="180"/>
    </w:pPr>
    <w:rPr>
      <w:rFonts w:eastAsiaTheme="minorEastAsia"/>
      <w:lang w:eastAsia="zh-CN" w:bidi="ar-EG"/>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7-C-0024/en" TargetMode="External"/><Relationship Id="rId18" Type="http://schemas.openxmlformats.org/officeDocument/2006/relationships/hyperlink" Target="https://www.itu.int/md/R15-SG07-C-0025/en" TargetMode="External"/><Relationship Id="rId26" Type="http://schemas.openxmlformats.org/officeDocument/2006/relationships/hyperlink" Target="https://www.itu.int/md/R15-SG07-C-0018/en" TargetMode="External"/><Relationship Id="rId3" Type="http://schemas.openxmlformats.org/officeDocument/2006/relationships/customXml" Target="../customXml/item3.xml"/><Relationship Id="rId21" Type="http://schemas.openxmlformats.org/officeDocument/2006/relationships/hyperlink" Target="https://www.itu.int/md/R15-SG07-C-0023/e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hyperlink" Target="https://www.itu.int/md/R15-SG07-C-0019/en" TargetMode="External"/><Relationship Id="rId25" Type="http://schemas.openxmlformats.org/officeDocument/2006/relationships/hyperlink" Target="https://www.itu.int/md/R15-SG07-C-0017/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15-SG07-C-0018/en" TargetMode="External"/><Relationship Id="rId20" Type="http://schemas.openxmlformats.org/officeDocument/2006/relationships/hyperlink" Target="https://www.itu.int/md/R15-SG07-C-0028/en" TargetMode="External"/><Relationship Id="rId29" Type="http://schemas.openxmlformats.org/officeDocument/2006/relationships/hyperlink" Target="https://www.itu.int/md/R15-SG07-C-002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24" Type="http://schemas.openxmlformats.org/officeDocument/2006/relationships/hyperlink" Target="https://www.itu.int/md/R15-SG07-C-0011/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R15-SG07-C-0017/en" TargetMode="External"/><Relationship Id="rId23" Type="http://schemas.openxmlformats.org/officeDocument/2006/relationships/hyperlink" Target="https://www.itu.int/md/R15-SG07-C-0024/en" TargetMode="External"/><Relationship Id="rId28" Type="http://schemas.openxmlformats.org/officeDocument/2006/relationships/hyperlink" Target="https://www.itu.int/md/R15-SG07-C-0025/en" TargetMode="External"/><Relationship Id="rId36" Type="http://schemas.openxmlformats.org/officeDocument/2006/relationships/theme" Target="theme/theme1.xml"/><Relationship Id="rId10" Type="http://schemas.openxmlformats.org/officeDocument/2006/relationships/hyperlink" Target="mailto:brsgd@itu.int" TargetMode="External"/><Relationship Id="rId19" Type="http://schemas.openxmlformats.org/officeDocument/2006/relationships/hyperlink" Target="https://www.itu.int/md/R15-SG07-C-0027/en" TargetMode="External"/><Relationship Id="rId31" Type="http://schemas.openxmlformats.org/officeDocument/2006/relationships/hyperlink" Target="https://www.itu.int/md/R15-SG07-C-002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7-C-0011/en" TargetMode="External"/><Relationship Id="rId22" Type="http://schemas.openxmlformats.org/officeDocument/2006/relationships/hyperlink" Target="https://www.itu.int/md/R15-SG07-C/en" TargetMode="External"/><Relationship Id="rId27" Type="http://schemas.openxmlformats.org/officeDocument/2006/relationships/hyperlink" Target="https://www.itu.int/md/R15-SG07-C-0019/en" TargetMode="External"/><Relationship Id="rId30" Type="http://schemas.openxmlformats.org/officeDocument/2006/relationships/hyperlink" Target="https://www.itu.int/md/R15-SG07-C-0028/e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996b2e75-67fd-4955-a3b0-5ab9934cb50b"/>
    <ds:schemaRef ds:uri="http://www.w3.org/XML/1998/namespace"/>
    <ds:schemaRef ds:uri="http://purl.org/dc/elements/1.1/"/>
    <ds:schemaRef ds:uri="http://schemas.openxmlformats.org/package/2006/metadata/core-properties"/>
    <ds:schemaRef ds:uri="http://purl.org/dc/terms/"/>
    <ds:schemaRef ds:uri="de10a323-94a9-4e93-88b4-ea964576960d"/>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3393E-C4AD-4DEB-AD8E-5F1B8606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70</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Song, Xiaojing</cp:lastModifiedBy>
  <cp:revision>70</cp:revision>
  <cp:lastPrinted>2016-06-07T13:25:00Z</cp:lastPrinted>
  <dcterms:created xsi:type="dcterms:W3CDTF">2017-05-05T15:20:00Z</dcterms:created>
  <dcterms:modified xsi:type="dcterms:W3CDTF">2017-05-09T06:04:00Z</dcterms:modified>
  <cp:category>Conference document</cp:category>
</cp:coreProperties>
</file>