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Default="00F36590" w:rsidP="008C2EDA">
            <w:pPr>
              <w:spacing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165021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16502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65021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16502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65021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165021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65021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  <w:p w:rsidR="00A62395" w:rsidRDefault="00A62395" w:rsidP="00A62395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  <w:p w:rsidR="00A62395" w:rsidRPr="00165021" w:rsidRDefault="00A62395" w:rsidP="00A62395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6C5227">
            <w:pPr>
              <w:spacing w:before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6F252C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8D5737" w:rsidP="006C5227">
            <w:pPr>
              <w:spacing w:before="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4E2A1E">
              <w:rPr>
                <w:b/>
                <w:bCs/>
                <w:lang w:bidi="ar-SY"/>
              </w:rPr>
              <w:t>808</w:t>
            </w:r>
          </w:p>
        </w:tc>
        <w:tc>
          <w:tcPr>
            <w:tcW w:w="2293" w:type="pct"/>
            <w:shd w:val="clear" w:color="auto" w:fill="auto"/>
          </w:tcPr>
          <w:p w:rsidR="00F36590" w:rsidRPr="004E2A1E" w:rsidRDefault="004E2A1E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5</w:t>
            </w:r>
            <w:r>
              <w:rPr>
                <w:rFonts w:hint="cs"/>
                <w:rtl/>
                <w:lang w:val="fr-FR"/>
              </w:rPr>
              <w:t xml:space="preserve"> مايو </w:t>
            </w:r>
            <w: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4E2A1E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165021">
              <w:rPr>
                <w:b/>
                <w:bCs/>
                <w:w w:val="115"/>
                <w:rtl/>
              </w:rPr>
              <w:t>إلى إدارات الدول الأعضاء في الات</w:t>
            </w:r>
            <w:r w:rsidRPr="00165021">
              <w:rPr>
                <w:rFonts w:hint="cs"/>
                <w:b/>
                <w:bCs/>
                <w:w w:val="115"/>
                <w:rtl/>
              </w:rPr>
              <w:t>‍</w:t>
            </w:r>
            <w:r w:rsidRPr="00165021">
              <w:rPr>
                <w:b/>
                <w:bCs/>
                <w:w w:val="115"/>
                <w:rtl/>
              </w:rPr>
              <w:t>حاد وأعضاء قطاع الاتصالات الراديوية</w:t>
            </w:r>
            <w:r w:rsidRPr="00165021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165021">
              <w:rPr>
                <w:b/>
                <w:bCs/>
                <w:w w:val="115"/>
                <w:rtl/>
              </w:rPr>
              <w:t>ال</w:t>
            </w:r>
            <w:r w:rsidRPr="00165021">
              <w:rPr>
                <w:rFonts w:hint="cs"/>
                <w:b/>
                <w:bCs/>
                <w:w w:val="115"/>
                <w:rtl/>
              </w:rPr>
              <w:t>‍</w:t>
            </w:r>
            <w:r w:rsidRPr="00165021">
              <w:rPr>
                <w:b/>
                <w:bCs/>
                <w:w w:val="115"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4E2A1E">
              <w:rPr>
                <w:b/>
                <w:bCs/>
                <w:lang w:val="en-GB" w:bidi="ar-SY"/>
              </w:rPr>
              <w:t>7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304EDC" w:rsidRPr="00241274" w:rsidTr="00DF0F10">
        <w:tc>
          <w:tcPr>
            <w:tcW w:w="5000" w:type="pct"/>
            <w:gridSpan w:val="3"/>
            <w:shd w:val="clear" w:color="auto" w:fill="auto"/>
          </w:tcPr>
          <w:p w:rsidR="00304EDC" w:rsidRPr="00241274" w:rsidRDefault="00304EDC" w:rsidP="00304ED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04EDC" w:rsidRPr="00241274" w:rsidTr="00DF0F10">
        <w:tc>
          <w:tcPr>
            <w:tcW w:w="5000" w:type="pct"/>
            <w:gridSpan w:val="3"/>
            <w:shd w:val="clear" w:color="auto" w:fill="auto"/>
          </w:tcPr>
          <w:p w:rsidR="00304EDC" w:rsidRPr="00241274" w:rsidRDefault="00304EDC" w:rsidP="00304ED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165F95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8D3F8E" w:rsidRDefault="008D3F8E" w:rsidP="001C4C7C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4E2A1E"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1C4C7C">
              <w:rPr>
                <w:rFonts w:hint="cs"/>
                <w:b/>
                <w:bCs/>
                <w:rtl/>
                <w:lang w:bidi="ar-EG"/>
              </w:rPr>
              <w:t>خدمات العلوم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8D3F8E" w:rsidRPr="008D3F8E" w:rsidRDefault="009541F1" w:rsidP="001C4C7C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8D3F8E" w:rsidRPr="008D3F8E">
              <w:rPr>
                <w:b/>
                <w:bCs/>
                <w:rtl/>
                <w:lang w:bidi="ar-EG"/>
              </w:rPr>
              <w:tab/>
            </w:r>
            <w:r w:rsidR="008D3F8E" w:rsidRPr="008D3F8E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8D3F8E" w:rsidRPr="008D3F8E">
              <w:rPr>
                <w:b/>
                <w:bCs/>
                <w:rtl/>
                <w:lang w:bidi="ar-EG"/>
              </w:rPr>
              <w:t>اعتماد</w:t>
            </w:r>
            <w:r w:rsidR="008D3F8E" w:rsidRPr="008D3F8E">
              <w:rPr>
                <w:rFonts w:hint="cs"/>
                <w:b/>
                <w:bCs/>
                <w:rtl/>
                <w:lang w:bidi="ar-EG"/>
              </w:rPr>
              <w:t xml:space="preserve"> مشروع </w:t>
            </w:r>
            <w:r w:rsidR="008D3F8E" w:rsidRPr="008D3F8E">
              <w:rPr>
                <w:rFonts w:hint="cs"/>
                <w:b/>
                <w:bCs/>
                <w:rtl/>
              </w:rPr>
              <w:t xml:space="preserve">توصية جديدة </w:t>
            </w:r>
            <w:r w:rsidR="001C4C7C">
              <w:rPr>
                <w:rFonts w:hint="cs"/>
                <w:b/>
                <w:bCs/>
                <w:rtl/>
              </w:rPr>
              <w:t>ومشاريع</w:t>
            </w:r>
            <w:r w:rsidR="008D3F8E" w:rsidRPr="008D3F8E">
              <w:rPr>
                <w:rFonts w:hint="cs"/>
                <w:b/>
                <w:bCs/>
                <w:rtl/>
              </w:rPr>
              <w:t xml:space="preserve"> مراجعة </w:t>
            </w:r>
            <w:r w:rsidR="001C4C7C">
              <w:rPr>
                <w:b/>
                <w:bCs/>
                <w:lang w:bidi="ar-SY"/>
              </w:rPr>
              <w:t>5</w:t>
            </w:r>
            <w:r w:rsidR="008D3F8E" w:rsidRPr="008D3F8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1C4C7C">
              <w:rPr>
                <w:rFonts w:hint="cs"/>
                <w:b/>
                <w:bCs/>
                <w:rtl/>
              </w:rPr>
              <w:t>توصيات</w:t>
            </w:r>
            <w:r w:rsidR="008D3F8E" w:rsidRPr="008D3F8E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="008D3F8E" w:rsidRPr="008D3F8E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="008D3F8E"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8D3F8E" w:rsidRPr="008D3F8E">
              <w:rPr>
                <w:b/>
                <w:bCs/>
                <w:rtl/>
                <w:lang w:bidi="ar-EG"/>
              </w:rPr>
              <w:t>نفس الوقت</w:t>
            </w:r>
            <w:r w:rsidR="008D3F8E" w:rsidRPr="008D3F8E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="008D3F8E" w:rsidRPr="008D3F8E">
              <w:rPr>
                <w:b/>
                <w:bCs/>
                <w:rtl/>
                <w:lang w:bidi="ar-EG"/>
              </w:rPr>
              <w:t xml:space="preserve"> وفقاً للفقرة</w:t>
            </w:r>
            <w:r w:rsidR="008D3F8E" w:rsidRPr="008D3F8E">
              <w:rPr>
                <w:rFonts w:hint="cs"/>
                <w:b/>
                <w:bCs/>
                <w:rtl/>
                <w:lang w:bidi="ar-EG"/>
              </w:rPr>
              <w:t> </w:t>
            </w:r>
            <w:r w:rsidR="00295722">
              <w:rPr>
                <w:b/>
                <w:bCs/>
                <w:lang w:val="fr-FR" w:bidi="ar-SY"/>
              </w:rPr>
              <w:t>4.2.6.A2</w:t>
            </w:r>
            <w:r w:rsidR="008D3F8E" w:rsidRPr="008D3F8E">
              <w:rPr>
                <w:b/>
                <w:bCs/>
                <w:rtl/>
                <w:lang w:bidi="ar-EG"/>
              </w:rPr>
              <w:t xml:space="preserve"> من القرار </w:t>
            </w:r>
            <w:r w:rsidR="008D3F8E" w:rsidRPr="008D3F8E">
              <w:rPr>
                <w:b/>
                <w:bCs/>
                <w:lang w:val="fr-FR" w:bidi="ar-SY"/>
              </w:rPr>
              <w:t>ITU-R 1-</w:t>
            </w:r>
            <w:r w:rsidR="00295722">
              <w:rPr>
                <w:b/>
                <w:bCs/>
                <w:lang w:val="fr-FR" w:bidi="ar-SY"/>
              </w:rPr>
              <w:t>7</w:t>
            </w:r>
            <w:r w:rsidR="008D3F8E" w:rsidRPr="008D3F8E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8D3F8E"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8D3F8E" w:rsidRPr="008D3F8E">
              <w:rPr>
                <w:b/>
                <w:bCs/>
                <w:rtl/>
                <w:lang w:bidi="ar-EG"/>
              </w:rPr>
              <w:t xml:space="preserve">نفس الوقت 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="008D3F8E" w:rsidRPr="008D3F8E">
              <w:rPr>
                <w:b/>
                <w:bCs/>
                <w:rtl/>
                <w:lang w:bidi="ar-EG"/>
              </w:rPr>
              <w:t>)</w:t>
            </w:r>
          </w:p>
          <w:p w:rsidR="008D3F8E" w:rsidRPr="00E96F8D" w:rsidRDefault="008D3F8E" w:rsidP="001C4C7C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9541F1">
              <w:rPr>
                <w:rFonts w:hint="cs"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  <w:t xml:space="preserve">اقتراح إلغاء </w:t>
            </w:r>
            <w:r w:rsidR="001C4C7C">
              <w:rPr>
                <w:rFonts w:hint="cs"/>
                <w:b/>
                <w:bCs/>
                <w:rtl/>
              </w:rPr>
              <w:t>توصيتين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E45690" w:rsidRDefault="008D3F8E" w:rsidP="008F21ED">
      <w:pPr>
        <w:spacing w:before="840"/>
        <w:rPr>
          <w:rtl/>
          <w:lang w:bidi="ar-EG"/>
        </w:rPr>
      </w:pPr>
      <w:r w:rsidRPr="008D3F8E">
        <w:rPr>
          <w:rtl/>
          <w:lang w:bidi="ar-EG"/>
        </w:rPr>
        <w:t xml:space="preserve">قررت </w:t>
      </w:r>
      <w:r w:rsidR="006F252C">
        <w:rPr>
          <w:rFonts w:hint="cs"/>
          <w:rtl/>
          <w:lang w:bidi="ar-EG"/>
        </w:rPr>
        <w:t>لجنة</w:t>
      </w:r>
      <w:r w:rsidRPr="008D3F8E">
        <w:rPr>
          <w:rtl/>
          <w:lang w:bidi="ar-EG"/>
        </w:rPr>
        <w:t xml:space="preserve"> الدراسات</w:t>
      </w:r>
      <w:r w:rsidRPr="008D3F8E">
        <w:rPr>
          <w:rFonts w:hint="cs"/>
          <w:rtl/>
          <w:lang w:bidi="ar-EG"/>
        </w:rPr>
        <w:t> </w:t>
      </w:r>
      <w:r w:rsidR="001C4C7C">
        <w:rPr>
          <w:lang w:val="en-GB"/>
        </w:rPr>
        <w:t>7</w:t>
      </w:r>
      <w:r w:rsidRPr="008D3F8E">
        <w:rPr>
          <w:rtl/>
          <w:lang w:bidi="ar-EG"/>
        </w:rPr>
        <w:t xml:space="preserve"> للاتصالات الراديوية في </w:t>
      </w:r>
      <w:r w:rsidR="006F252C">
        <w:rPr>
          <w:rFonts w:hint="cs"/>
          <w:rtl/>
          <w:lang w:bidi="ar-EG"/>
        </w:rPr>
        <w:t>اجتماعها</w:t>
      </w:r>
      <w:r w:rsidRPr="008D3F8E">
        <w:rPr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المنعقد</w:t>
      </w:r>
      <w:r w:rsidRPr="008D3F8E">
        <w:rPr>
          <w:rtl/>
          <w:lang w:bidi="ar-EG"/>
        </w:rPr>
        <w:t xml:space="preserve"> </w:t>
      </w:r>
      <w:r w:rsidRPr="008D3F8E">
        <w:rPr>
          <w:rFonts w:hint="cs"/>
          <w:rtl/>
          <w:lang w:bidi="ar-EG"/>
        </w:rPr>
        <w:t xml:space="preserve">في </w:t>
      </w:r>
      <w:r w:rsidR="001C4C7C">
        <w:t>12</w:t>
      </w:r>
      <w:r w:rsidRPr="008D3F8E">
        <w:rPr>
          <w:rFonts w:hint="eastAsia"/>
          <w:rtl/>
          <w:lang w:bidi="ar-EG"/>
        </w:rPr>
        <w:t> </w:t>
      </w:r>
      <w:r w:rsidR="001C4C7C">
        <w:rPr>
          <w:rFonts w:hint="cs"/>
          <w:rtl/>
          <w:lang w:bidi="ar-EG"/>
        </w:rPr>
        <w:t>أبريل</w:t>
      </w:r>
      <w:r w:rsidRPr="008D3F8E">
        <w:rPr>
          <w:rFonts w:hint="eastAsia"/>
          <w:rtl/>
          <w:lang w:bidi="ar-EG"/>
        </w:rPr>
        <w:t> </w:t>
      </w:r>
      <w:r w:rsidR="001C4C7C">
        <w:t>2017</w:t>
      </w:r>
      <w:r w:rsidRPr="008D3F8E">
        <w:rPr>
          <w:rtl/>
          <w:lang w:bidi="ar-EG"/>
        </w:rPr>
        <w:t xml:space="preserve"> أن </w:t>
      </w:r>
      <w:r w:rsidR="00EF2CDF">
        <w:rPr>
          <w:rFonts w:hint="cs"/>
          <w:rtl/>
          <w:lang w:bidi="ar-EG"/>
        </w:rPr>
        <w:t>تلتمس</w:t>
      </w:r>
      <w:r w:rsidRPr="008D3F8E">
        <w:rPr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اعتماد</w:t>
      </w:r>
      <w:r w:rsidRPr="008D3F8E">
        <w:rPr>
          <w:rtl/>
          <w:lang w:bidi="ar-EG"/>
        </w:rPr>
        <w:t xml:space="preserve"> </w:t>
      </w:r>
      <w:r w:rsidRPr="008D3F8E">
        <w:rPr>
          <w:rFonts w:hint="cs"/>
          <w:rtl/>
          <w:lang w:bidi="ar-EG"/>
        </w:rPr>
        <w:t xml:space="preserve">مشروع توصية جديدة </w:t>
      </w:r>
      <w:r w:rsidR="001C4C7C">
        <w:rPr>
          <w:rFonts w:hint="cs"/>
          <w:rtl/>
          <w:lang w:bidi="ar-EG"/>
        </w:rPr>
        <w:t>ومشاريع</w:t>
      </w:r>
      <w:r w:rsidRPr="008D3F8E">
        <w:rPr>
          <w:rFonts w:hint="cs"/>
          <w:rtl/>
          <w:lang w:bidi="ar-EG"/>
        </w:rPr>
        <w:t xml:space="preserve"> مراج</w:t>
      </w:r>
      <w:r w:rsidR="00385ABA">
        <w:rPr>
          <w:rFonts w:hint="cs"/>
          <w:rtl/>
          <w:lang w:bidi="ar-EG"/>
        </w:rPr>
        <w:t>َ</w:t>
      </w:r>
      <w:r w:rsidRPr="008D3F8E">
        <w:rPr>
          <w:rFonts w:hint="cs"/>
          <w:rtl/>
          <w:lang w:bidi="ar-EG"/>
        </w:rPr>
        <w:t xml:space="preserve">عة </w:t>
      </w:r>
      <w:r w:rsidR="001C4C7C">
        <w:t>5</w:t>
      </w:r>
      <w:r w:rsidRPr="008D3F8E">
        <w:rPr>
          <w:rFonts w:hint="cs"/>
          <w:rtl/>
          <w:lang w:bidi="ar-SY"/>
        </w:rPr>
        <w:t xml:space="preserve"> </w:t>
      </w:r>
      <w:r w:rsidRPr="008D3F8E">
        <w:rPr>
          <w:rFonts w:hint="cs"/>
          <w:rtl/>
          <w:lang w:bidi="ar-EG"/>
        </w:rPr>
        <w:t xml:space="preserve">توصيات </w:t>
      </w:r>
      <w:r w:rsidR="007C7FBB">
        <w:rPr>
          <w:rFonts w:hint="cs"/>
          <w:rtl/>
          <w:lang w:bidi="ar-EG"/>
        </w:rPr>
        <w:t xml:space="preserve">لقطاع الاتصالات الراديوية </w:t>
      </w:r>
      <w:r w:rsidRPr="008D3F8E">
        <w:rPr>
          <w:rFonts w:hint="cs"/>
          <w:rtl/>
          <w:lang w:bidi="ar-EG"/>
        </w:rPr>
        <w:t xml:space="preserve">عن طريق </w:t>
      </w:r>
      <w:r w:rsidR="006F252C">
        <w:rPr>
          <w:rFonts w:hint="cs"/>
          <w:rtl/>
          <w:lang w:bidi="ar-EG"/>
        </w:rPr>
        <w:t>المراسلة</w:t>
      </w:r>
      <w:r w:rsidRPr="008D3F8E">
        <w:rPr>
          <w:rFonts w:hint="cs"/>
          <w:rtl/>
          <w:lang w:bidi="ar-EG"/>
        </w:rPr>
        <w:t xml:space="preserve"> (الفقرة</w:t>
      </w:r>
      <w:r w:rsidRPr="008D3F8E">
        <w:rPr>
          <w:rFonts w:hint="eastAsia"/>
          <w:rtl/>
          <w:lang w:bidi="ar-EG"/>
        </w:rPr>
        <w:t> </w:t>
      </w:r>
      <w:r w:rsidR="00E45690">
        <w:t>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 w:rsidR="00E45690">
        <w:t>7</w:t>
      </w:r>
      <w:r w:rsidRPr="008D3F8E">
        <w:rPr>
          <w:rFonts w:hint="cs"/>
          <w:rtl/>
          <w:lang w:bidi="ar-EG"/>
        </w:rPr>
        <w:t xml:space="preserve">) وقررت كذلك تطبيق إجراء </w:t>
      </w:r>
      <w:r w:rsidR="006F252C">
        <w:rPr>
          <w:rFonts w:hint="cs"/>
          <w:rtl/>
          <w:lang w:bidi="ar-EG"/>
        </w:rPr>
        <w:t>الاعتماد</w:t>
      </w:r>
      <w:r w:rsidRPr="008D3F8E">
        <w:rPr>
          <w:rFonts w:hint="cs"/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والموافقة</w:t>
      </w:r>
      <w:r w:rsidRPr="008D3F8E">
        <w:rPr>
          <w:rFonts w:hint="cs"/>
          <w:rtl/>
          <w:lang w:bidi="ar-EG"/>
        </w:rPr>
        <w:t xml:space="preserve"> في نفس الوقت عن طريق </w:t>
      </w:r>
      <w:r w:rsidR="006F252C">
        <w:rPr>
          <w:rFonts w:hint="cs"/>
          <w:rtl/>
          <w:lang w:bidi="ar-EG"/>
        </w:rPr>
        <w:t>المراسلة</w:t>
      </w:r>
      <w:r w:rsidRPr="008D3F8E">
        <w:rPr>
          <w:rFonts w:hint="eastAsia"/>
          <w:rtl/>
          <w:lang w:bidi="ar-EG"/>
        </w:rPr>
        <w:t> </w:t>
      </w:r>
      <w:r w:rsidRPr="008D3F8E">
        <w:t>(PSAA)</w:t>
      </w:r>
      <w:r w:rsidRPr="008D3F8E">
        <w:rPr>
          <w:rFonts w:hint="cs"/>
          <w:rtl/>
          <w:lang w:bidi="ar-EG"/>
        </w:rPr>
        <w:t xml:space="preserve"> (الفقرة </w:t>
      </w:r>
      <w:r w:rsidR="00E45690">
        <w:t>4.2.6.A2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 w:rsidR="00E45690">
        <w:t>7</w:t>
      </w:r>
      <w:r w:rsidRPr="008D3F8E">
        <w:rPr>
          <w:rFonts w:hint="cs"/>
          <w:rtl/>
          <w:lang w:bidi="ar-EG"/>
        </w:rPr>
        <w:t>). ويرد</w:t>
      </w:r>
      <w:r w:rsidR="00883EBE">
        <w:rPr>
          <w:rFonts w:hint="eastAsia"/>
          <w:rtl/>
          <w:lang w:bidi="ar-EG"/>
        </w:rPr>
        <w:t> </w:t>
      </w:r>
      <w:r w:rsidRPr="008D3F8E">
        <w:rPr>
          <w:rFonts w:hint="cs"/>
          <w:rtl/>
          <w:lang w:bidi="ar-EG"/>
        </w:rPr>
        <w:t>في</w:t>
      </w:r>
      <w:r w:rsidR="006F252C">
        <w:rPr>
          <w:rFonts w:hint="eastAsia"/>
          <w:rtl/>
          <w:lang w:bidi="ar-EG"/>
        </w:rPr>
        <w:t> </w:t>
      </w:r>
      <w:r w:rsidR="006F252C">
        <w:rPr>
          <w:rFonts w:hint="cs"/>
          <w:rtl/>
          <w:lang w:bidi="ar-EG"/>
        </w:rPr>
        <w:t>الملحق</w:t>
      </w:r>
      <w:r w:rsidR="006F252C">
        <w:rPr>
          <w:rFonts w:hint="eastAsia"/>
          <w:rtl/>
          <w:lang w:bidi="ar-EG"/>
        </w:rPr>
        <w:t> </w:t>
      </w:r>
      <w:r w:rsidRPr="008D3F8E">
        <w:t>1</w:t>
      </w:r>
      <w:r w:rsidR="007C7FBB">
        <w:rPr>
          <w:rFonts w:hint="cs"/>
          <w:rtl/>
        </w:rPr>
        <w:t xml:space="preserve"> بهذه الرسالة</w:t>
      </w:r>
      <w:r w:rsidRPr="008D3F8E">
        <w:rPr>
          <w:rFonts w:hint="cs"/>
          <w:rtl/>
          <w:lang w:bidi="ar-EG"/>
        </w:rPr>
        <w:t xml:space="preserve"> عناوين </w:t>
      </w:r>
      <w:r w:rsidR="001C4C7C">
        <w:rPr>
          <w:rFonts w:hint="cs"/>
          <w:rtl/>
          <w:lang w:bidi="ar-EG"/>
        </w:rPr>
        <w:t>و</w:t>
      </w:r>
      <w:r w:rsidRPr="008D3F8E">
        <w:rPr>
          <w:rFonts w:hint="cs"/>
          <w:rtl/>
          <w:lang w:bidi="ar-EG"/>
        </w:rPr>
        <w:t xml:space="preserve">ملخصات </w:t>
      </w:r>
      <w:r w:rsidR="00E45690">
        <w:rPr>
          <w:rFonts w:hint="cs"/>
          <w:rtl/>
          <w:lang w:bidi="ar-EG"/>
        </w:rPr>
        <w:t>مشاريع التوصيات.</w:t>
      </w:r>
      <w:r w:rsidR="00295722">
        <w:rPr>
          <w:rFonts w:hint="cs"/>
          <w:rtl/>
          <w:lang w:bidi="ar-EG"/>
        </w:rPr>
        <w:t xml:space="preserve"> ويرجى من أي دولة عضو تعترض على اعتماد مشروع توصية أن </w:t>
      </w:r>
      <w:r w:rsidR="006F252C">
        <w:rPr>
          <w:rFonts w:hint="cs"/>
          <w:rtl/>
          <w:lang w:bidi="ar-EG"/>
        </w:rPr>
        <w:t>تخبر</w:t>
      </w:r>
      <w:r w:rsidR="00295722">
        <w:rPr>
          <w:rFonts w:hint="cs"/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المدير</w:t>
      </w:r>
      <w:r w:rsidR="00295722">
        <w:rPr>
          <w:rFonts w:hint="cs"/>
          <w:rtl/>
          <w:lang w:bidi="ar-EG"/>
        </w:rPr>
        <w:t xml:space="preserve"> ورئيس </w:t>
      </w:r>
      <w:r w:rsidR="006F252C">
        <w:rPr>
          <w:rFonts w:hint="cs"/>
          <w:rtl/>
          <w:lang w:bidi="ar-EG"/>
        </w:rPr>
        <w:t>لجنة</w:t>
      </w:r>
      <w:r w:rsidR="00295722">
        <w:rPr>
          <w:rFonts w:hint="cs"/>
          <w:rtl/>
          <w:lang w:bidi="ar-EG"/>
        </w:rPr>
        <w:t xml:space="preserve"> الدراسات بأسباب</w:t>
      </w:r>
      <w:r w:rsidR="00395FDB">
        <w:rPr>
          <w:rFonts w:hint="eastAsia"/>
          <w:rtl/>
          <w:lang w:bidi="ar-EG"/>
        </w:rPr>
        <w:t> </w:t>
      </w:r>
      <w:r w:rsidR="00295722">
        <w:rPr>
          <w:rFonts w:hint="cs"/>
          <w:rtl/>
          <w:lang w:bidi="ar-EG"/>
        </w:rPr>
        <w:t>اعتراضها.</w:t>
      </w:r>
    </w:p>
    <w:p w:rsidR="006946DF" w:rsidRPr="002841F3" w:rsidRDefault="006F252C" w:rsidP="00FE0D68">
      <w:pPr>
        <w:rPr>
          <w:spacing w:val="2"/>
          <w:rtl/>
          <w:lang w:bidi="ar-EG"/>
        </w:rPr>
      </w:pPr>
      <w:r>
        <w:rPr>
          <w:rFonts w:hint="cs"/>
          <w:spacing w:val="2"/>
          <w:rtl/>
          <w:lang w:bidi="ar-EG"/>
        </w:rPr>
        <w:t>وتمتد</w:t>
      </w:r>
      <w:r w:rsidR="006946DF" w:rsidRPr="002841F3">
        <w:rPr>
          <w:spacing w:val="2"/>
          <w:rtl/>
          <w:lang w:bidi="ar-EG"/>
        </w:rPr>
        <w:t xml:space="preserve"> فترة النظر </w:t>
      </w:r>
      <w:r>
        <w:rPr>
          <w:rFonts w:hint="cs"/>
          <w:spacing w:val="2"/>
          <w:rtl/>
          <w:lang w:bidi="ar-EG"/>
        </w:rPr>
        <w:t>لمدة</w:t>
      </w:r>
      <w:r w:rsidR="006946DF" w:rsidRPr="002841F3">
        <w:rPr>
          <w:rFonts w:hint="cs"/>
          <w:spacing w:val="2"/>
          <w:rtl/>
          <w:lang w:bidi="ar-EG"/>
        </w:rPr>
        <w:t xml:space="preserve"> شهرين </w:t>
      </w:r>
      <w:r w:rsidR="006946DF" w:rsidRPr="002841F3">
        <w:rPr>
          <w:spacing w:val="2"/>
          <w:rtl/>
          <w:lang w:bidi="ar-EG"/>
        </w:rPr>
        <w:t>تنتهي في</w:t>
      </w:r>
      <w:r w:rsidR="006946DF" w:rsidRPr="002841F3">
        <w:rPr>
          <w:rFonts w:hint="cs"/>
          <w:spacing w:val="2"/>
          <w:rtl/>
          <w:lang w:bidi="ar-EG"/>
        </w:rPr>
        <w:t xml:space="preserve"> </w:t>
      </w:r>
      <w:r w:rsidR="001C4C7C">
        <w:rPr>
          <w:spacing w:val="2"/>
          <w:u w:val="single"/>
          <w:lang w:bidi="ar-EG"/>
        </w:rPr>
        <w:t>5</w:t>
      </w:r>
      <w:r w:rsidR="006946DF" w:rsidRPr="00CB652E">
        <w:rPr>
          <w:rFonts w:hint="cs"/>
          <w:spacing w:val="2"/>
          <w:u w:val="single"/>
          <w:rtl/>
          <w:lang w:bidi="ar-EG"/>
        </w:rPr>
        <w:t xml:space="preserve"> </w:t>
      </w:r>
      <w:r w:rsidR="001C4C7C">
        <w:rPr>
          <w:rFonts w:hint="cs"/>
          <w:spacing w:val="2"/>
          <w:u w:val="single"/>
          <w:rtl/>
          <w:lang w:bidi="ar-EG"/>
        </w:rPr>
        <w:t>يوليو</w:t>
      </w:r>
      <w:r w:rsidR="006946DF" w:rsidRPr="00CB652E">
        <w:rPr>
          <w:rFonts w:hint="cs"/>
          <w:spacing w:val="2"/>
          <w:u w:val="single"/>
          <w:rtl/>
          <w:lang w:bidi="ar-EG"/>
        </w:rPr>
        <w:t xml:space="preserve"> </w:t>
      </w:r>
      <w:r w:rsidR="001C4C7C">
        <w:rPr>
          <w:spacing w:val="2"/>
          <w:u w:val="single"/>
        </w:rPr>
        <w:t>2017</w:t>
      </w:r>
      <w:r w:rsidR="006946DF" w:rsidRPr="002841F3">
        <w:rPr>
          <w:spacing w:val="2"/>
          <w:rtl/>
          <w:lang w:bidi="ar-EG"/>
        </w:rPr>
        <w:t xml:space="preserve">. وإذا </w:t>
      </w:r>
      <w:r w:rsidR="00FE0D68">
        <w:rPr>
          <w:rFonts w:hint="cs"/>
          <w:spacing w:val="2"/>
          <w:rtl/>
          <w:lang w:bidi="ar-EG"/>
        </w:rPr>
        <w:t>لم</w:t>
      </w:r>
      <w:r w:rsidR="006946DF" w:rsidRPr="002841F3">
        <w:rPr>
          <w:spacing w:val="2"/>
          <w:rtl/>
          <w:lang w:bidi="ar-EG"/>
        </w:rPr>
        <w:t xml:space="preserve"> ترد أي اعتراضات من الدول الأعضاء خلال هذه الفترة فإن</w:t>
      </w:r>
      <w:r w:rsidR="00692FB9">
        <w:rPr>
          <w:rFonts w:hint="cs"/>
          <w:spacing w:val="2"/>
          <w:rtl/>
          <w:lang w:bidi="ar-EG"/>
        </w:rPr>
        <w:t> </w:t>
      </w:r>
      <w:r w:rsidR="006946DF" w:rsidRPr="002841F3">
        <w:rPr>
          <w:rFonts w:hint="cs"/>
          <w:spacing w:val="2"/>
          <w:rtl/>
          <w:lang w:bidi="ar-EG"/>
        </w:rPr>
        <w:t xml:space="preserve">مشاريع التوصيات </w:t>
      </w:r>
      <w:r w:rsidR="001C4C7C">
        <w:rPr>
          <w:rFonts w:hint="cs"/>
          <w:spacing w:val="2"/>
          <w:rtl/>
          <w:lang w:bidi="ar-EG"/>
        </w:rPr>
        <w:t>تعتبر</w:t>
      </w:r>
      <w:r w:rsidR="006946DF" w:rsidRPr="002841F3">
        <w:rPr>
          <w:rFonts w:hint="cs"/>
          <w:spacing w:val="2"/>
          <w:rtl/>
          <w:lang w:bidi="ar-EG"/>
        </w:rPr>
        <w:t xml:space="preserve"> قد اعتمدتها</w:t>
      </w:r>
      <w:r w:rsidR="006946DF" w:rsidRPr="002841F3">
        <w:rPr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  <w:lang w:bidi="ar-EG"/>
        </w:rPr>
        <w:t>لجنة</w:t>
      </w:r>
      <w:r w:rsidR="006946DF" w:rsidRPr="002841F3">
        <w:rPr>
          <w:spacing w:val="2"/>
          <w:rtl/>
          <w:lang w:bidi="ar-EG"/>
        </w:rPr>
        <w:t xml:space="preserve"> الدراسات</w:t>
      </w:r>
      <w:r w:rsidR="006946DF" w:rsidRPr="002841F3">
        <w:rPr>
          <w:rFonts w:hint="eastAsia"/>
          <w:spacing w:val="2"/>
          <w:rtl/>
          <w:lang w:bidi="ar-EG"/>
        </w:rPr>
        <w:t> </w:t>
      </w:r>
      <w:r w:rsidR="001C4C7C">
        <w:rPr>
          <w:spacing w:val="2"/>
        </w:rPr>
        <w:t>7</w:t>
      </w:r>
      <w:r w:rsidR="006946DF" w:rsidRPr="002841F3">
        <w:rPr>
          <w:spacing w:val="2"/>
          <w:rtl/>
          <w:lang w:bidi="ar-EG"/>
        </w:rPr>
        <w:t xml:space="preserve">. </w:t>
      </w:r>
      <w:r w:rsidR="006946DF" w:rsidRPr="002841F3">
        <w:rPr>
          <w:rFonts w:hint="cs"/>
          <w:spacing w:val="2"/>
          <w:rtl/>
          <w:lang w:bidi="ar-EG"/>
        </w:rPr>
        <w:t>وعلاوة</w:t>
      </w:r>
      <w:r w:rsidR="006946DF">
        <w:rPr>
          <w:rFonts w:hint="cs"/>
          <w:spacing w:val="2"/>
          <w:rtl/>
          <w:lang w:bidi="ar-EG"/>
        </w:rPr>
        <w:t>ً</w:t>
      </w:r>
      <w:r w:rsidR="006946DF" w:rsidRPr="002841F3">
        <w:rPr>
          <w:rFonts w:hint="cs"/>
          <w:spacing w:val="2"/>
          <w:rtl/>
          <w:lang w:bidi="ar-EG"/>
        </w:rPr>
        <w:t xml:space="preserve"> على</w:t>
      </w:r>
      <w:r w:rsidR="006946DF" w:rsidRPr="002841F3">
        <w:rPr>
          <w:spacing w:val="2"/>
          <w:rtl/>
          <w:lang w:bidi="ar-EG"/>
        </w:rPr>
        <w:t xml:space="preserve"> ذلك، </w:t>
      </w:r>
      <w:r w:rsidR="00883EBE">
        <w:rPr>
          <w:rFonts w:hint="cs"/>
          <w:spacing w:val="2"/>
          <w:rtl/>
          <w:lang w:bidi="ar-EG"/>
        </w:rPr>
        <w:t>ولما</w:t>
      </w:r>
      <w:r w:rsidR="006946DF" w:rsidRPr="002841F3">
        <w:rPr>
          <w:spacing w:val="2"/>
          <w:rtl/>
          <w:lang w:bidi="ar-EG"/>
        </w:rPr>
        <w:t xml:space="preserve"> كان قد</w:t>
      </w:r>
      <w:r w:rsidR="006946DF">
        <w:rPr>
          <w:rFonts w:hint="cs"/>
          <w:spacing w:val="2"/>
          <w:rtl/>
          <w:lang w:bidi="ar-EG"/>
        </w:rPr>
        <w:t> </w:t>
      </w:r>
      <w:r w:rsidR="00883EBE">
        <w:rPr>
          <w:rFonts w:hint="cs"/>
          <w:spacing w:val="2"/>
          <w:rtl/>
          <w:lang w:bidi="ar-EG"/>
        </w:rPr>
        <w:t>تم</w:t>
      </w:r>
      <w:r w:rsidR="006946DF" w:rsidRPr="002841F3">
        <w:rPr>
          <w:spacing w:val="2"/>
          <w:rtl/>
          <w:lang w:bidi="ar-EG"/>
        </w:rPr>
        <w:t xml:space="preserve"> اتباع إجراء </w:t>
      </w:r>
      <w:r w:rsidR="00883EBE">
        <w:rPr>
          <w:rFonts w:hint="cs"/>
          <w:spacing w:val="2"/>
          <w:rtl/>
          <w:lang w:bidi="ar-EG"/>
        </w:rPr>
        <w:t>الاعتماد</w:t>
      </w:r>
      <w:r w:rsidR="006946DF" w:rsidRPr="002841F3">
        <w:rPr>
          <w:spacing w:val="2"/>
          <w:rtl/>
          <w:lang w:bidi="ar-EG"/>
        </w:rPr>
        <w:t xml:space="preserve"> </w:t>
      </w:r>
      <w:r w:rsidR="00883EBE">
        <w:rPr>
          <w:rFonts w:hint="cs"/>
          <w:spacing w:val="2"/>
          <w:rtl/>
          <w:lang w:bidi="ar-EG"/>
        </w:rPr>
        <w:t>والموافقة</w:t>
      </w:r>
      <w:r w:rsidR="006946DF" w:rsidRPr="002841F3">
        <w:rPr>
          <w:spacing w:val="2"/>
          <w:rtl/>
          <w:lang w:bidi="ar-EG"/>
        </w:rPr>
        <w:t xml:space="preserve"> في</w:t>
      </w:r>
      <w:r w:rsidR="006946DF" w:rsidRPr="002841F3">
        <w:rPr>
          <w:rFonts w:hint="cs"/>
          <w:spacing w:val="2"/>
          <w:rtl/>
          <w:lang w:bidi="ar-EG"/>
        </w:rPr>
        <w:t> </w:t>
      </w:r>
      <w:r w:rsidR="006946DF" w:rsidRPr="002841F3">
        <w:rPr>
          <w:spacing w:val="2"/>
          <w:rtl/>
          <w:lang w:bidi="ar-EG"/>
        </w:rPr>
        <w:t xml:space="preserve">نفس الوقت عن طريق </w:t>
      </w:r>
      <w:r>
        <w:rPr>
          <w:rFonts w:hint="cs"/>
          <w:spacing w:val="2"/>
          <w:rtl/>
          <w:lang w:bidi="ar-EG"/>
        </w:rPr>
        <w:t>المراسلة</w:t>
      </w:r>
      <w:r w:rsidR="006946DF" w:rsidRPr="002841F3">
        <w:rPr>
          <w:spacing w:val="2"/>
          <w:rtl/>
          <w:lang w:bidi="ar-EG"/>
        </w:rPr>
        <w:t xml:space="preserve">، فإن </w:t>
      </w:r>
      <w:r w:rsidR="006946DF" w:rsidRPr="002841F3">
        <w:rPr>
          <w:rFonts w:hint="cs"/>
          <w:spacing w:val="2"/>
          <w:rtl/>
          <w:lang w:bidi="ar-EG"/>
        </w:rPr>
        <w:t xml:space="preserve">مشاريع التوصيات </w:t>
      </w:r>
      <w:r w:rsidR="00354D7E">
        <w:rPr>
          <w:rFonts w:hint="cs"/>
          <w:spacing w:val="2"/>
          <w:rtl/>
          <w:lang w:bidi="ar-EG"/>
        </w:rPr>
        <w:t>ستعتبر</w:t>
      </w:r>
      <w:r w:rsidR="006946DF" w:rsidRPr="002841F3">
        <w:rPr>
          <w:rFonts w:hint="cs"/>
          <w:spacing w:val="2"/>
          <w:rtl/>
          <w:lang w:bidi="ar-EG"/>
        </w:rPr>
        <w:t xml:space="preserve"> </w:t>
      </w:r>
      <w:r w:rsidR="006946DF" w:rsidRPr="002841F3">
        <w:rPr>
          <w:spacing w:val="2"/>
          <w:rtl/>
          <w:lang w:bidi="ar-EG"/>
        </w:rPr>
        <w:t xml:space="preserve">أيضاً </w:t>
      </w:r>
      <w:r>
        <w:rPr>
          <w:rFonts w:hint="cs"/>
          <w:spacing w:val="2"/>
          <w:rtl/>
          <w:lang w:bidi="ar-EG"/>
        </w:rPr>
        <w:t>بحكم</w:t>
      </w:r>
      <w:r w:rsidR="006946DF" w:rsidRPr="002841F3">
        <w:rPr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  <w:lang w:bidi="ar-EG"/>
        </w:rPr>
        <w:t>الموافَق</w:t>
      </w:r>
      <w:r w:rsidR="006946DF" w:rsidRPr="002841F3">
        <w:rPr>
          <w:spacing w:val="2"/>
          <w:rtl/>
          <w:lang w:bidi="ar-EG"/>
        </w:rPr>
        <w:t xml:space="preserve"> </w:t>
      </w:r>
      <w:r w:rsidR="006946DF" w:rsidRPr="002841F3">
        <w:rPr>
          <w:rFonts w:hint="cs"/>
          <w:spacing w:val="2"/>
          <w:rtl/>
          <w:lang w:bidi="ar-EG"/>
        </w:rPr>
        <w:t>عليها</w:t>
      </w:r>
      <w:r w:rsidR="006946DF" w:rsidRPr="002841F3">
        <w:rPr>
          <w:spacing w:val="2"/>
          <w:rtl/>
          <w:lang w:bidi="ar-EG"/>
        </w:rPr>
        <w:t>.</w:t>
      </w:r>
    </w:p>
    <w:p w:rsidR="00706D7A" w:rsidRDefault="00326D69" w:rsidP="006F252C">
      <w:pPr>
        <w:rPr>
          <w:rtl/>
          <w:lang w:bidi="ar-EG"/>
        </w:rPr>
      </w:pPr>
      <w:r>
        <w:rPr>
          <w:rFonts w:hint="cs"/>
          <w:rtl/>
          <w:lang w:bidi="ar-EG"/>
        </w:rPr>
        <w:t>وإضافةً</w:t>
      </w:r>
      <w:r w:rsidR="006946DF">
        <w:rPr>
          <w:rFonts w:hint="cs"/>
          <w:rtl/>
          <w:lang w:bidi="ar-EG"/>
        </w:rPr>
        <w:t xml:space="preserve"> إلى ذلك</w:t>
      </w:r>
      <w:r w:rsidR="008D3F8E" w:rsidRPr="008D3F8E">
        <w:rPr>
          <w:rFonts w:hint="cs"/>
          <w:rtl/>
          <w:lang w:bidi="ar-EG"/>
        </w:rPr>
        <w:t xml:space="preserve">، اقترحت </w:t>
      </w:r>
      <w:r w:rsidR="006F252C">
        <w:rPr>
          <w:rFonts w:hint="cs"/>
          <w:rtl/>
          <w:lang w:bidi="ar-EG"/>
        </w:rPr>
        <w:t>لجنة</w:t>
      </w:r>
      <w:r w:rsidR="008D3F8E" w:rsidRPr="008D3F8E">
        <w:rPr>
          <w:rFonts w:hint="cs"/>
          <w:rtl/>
          <w:lang w:bidi="ar-EG"/>
        </w:rPr>
        <w:t xml:space="preserve"> الدراسات إلغاء </w:t>
      </w:r>
      <w:r w:rsidR="00354D7E">
        <w:rPr>
          <w:rFonts w:hint="cs"/>
          <w:rtl/>
          <w:lang w:bidi="ar-EG"/>
        </w:rPr>
        <w:t>التوصيتين</w:t>
      </w:r>
      <w:r w:rsidR="008D3F8E" w:rsidRPr="008D3F8E">
        <w:rPr>
          <w:rFonts w:hint="cs"/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المبينتين</w:t>
      </w:r>
      <w:r w:rsidR="008D3F8E" w:rsidRPr="008D3F8E">
        <w:rPr>
          <w:rFonts w:hint="cs"/>
          <w:rtl/>
          <w:lang w:bidi="ar-EG"/>
        </w:rPr>
        <w:t xml:space="preserve"> في </w:t>
      </w:r>
      <w:r w:rsidR="006F252C">
        <w:rPr>
          <w:rFonts w:hint="cs"/>
          <w:rtl/>
          <w:lang w:bidi="ar-EG"/>
        </w:rPr>
        <w:t>الملحق</w:t>
      </w:r>
      <w:r w:rsidR="004547CA">
        <w:rPr>
          <w:rFonts w:hint="eastAsia"/>
          <w:rtl/>
          <w:lang w:bidi="ar-EG"/>
        </w:rPr>
        <w:t> </w:t>
      </w:r>
      <w:r w:rsidR="008D3F8E" w:rsidRPr="008D3F8E">
        <w:t>2</w:t>
      </w:r>
      <w:r w:rsidR="008D3F8E" w:rsidRPr="008D3F8E">
        <w:rPr>
          <w:rFonts w:hint="cs"/>
          <w:rtl/>
          <w:lang w:bidi="ar-EG"/>
        </w:rPr>
        <w:t>.</w:t>
      </w:r>
      <w:r w:rsidR="00E45690">
        <w:rPr>
          <w:rFonts w:hint="cs"/>
          <w:rtl/>
          <w:lang w:bidi="ar-EG"/>
        </w:rPr>
        <w:t xml:space="preserve"> ويرجى من أي دولة عضو تعترض على إلغاء توصية أن </w:t>
      </w:r>
      <w:r w:rsidR="006F252C">
        <w:rPr>
          <w:rFonts w:hint="cs"/>
          <w:rtl/>
          <w:lang w:bidi="ar-EG"/>
        </w:rPr>
        <w:t>تخبر</w:t>
      </w:r>
      <w:r w:rsidR="00E45690">
        <w:rPr>
          <w:rFonts w:hint="cs"/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المدير</w:t>
      </w:r>
      <w:r w:rsidR="00E45690">
        <w:rPr>
          <w:rFonts w:hint="cs"/>
          <w:rtl/>
          <w:lang w:bidi="ar-EG"/>
        </w:rPr>
        <w:t xml:space="preserve"> ورئيس </w:t>
      </w:r>
      <w:r w:rsidR="006F252C">
        <w:rPr>
          <w:rFonts w:hint="cs"/>
          <w:rtl/>
          <w:lang w:bidi="ar-EG"/>
        </w:rPr>
        <w:t>لجنة</w:t>
      </w:r>
      <w:r w:rsidR="00E45690">
        <w:rPr>
          <w:rFonts w:hint="cs"/>
          <w:rtl/>
          <w:lang w:bidi="ar-EG"/>
        </w:rPr>
        <w:t xml:space="preserve"> الدراسات بأسباب اعتراضها.</w:t>
      </w:r>
    </w:p>
    <w:p w:rsidR="002D18BB" w:rsidRDefault="00FE0D68" w:rsidP="009049C9">
      <w:pPr>
        <w:rPr>
          <w:rtl/>
          <w:lang w:bidi="ar-EG"/>
        </w:rPr>
      </w:pPr>
      <w:r>
        <w:rPr>
          <w:rFonts w:hint="cs"/>
          <w:rtl/>
          <w:lang w:bidi="ar-EG"/>
        </w:rPr>
        <w:t>وتمتد</w:t>
      </w:r>
      <w:r w:rsidR="002D18BB">
        <w:rPr>
          <w:rFonts w:hint="cs"/>
          <w:rtl/>
          <w:lang w:bidi="ar-EG"/>
        </w:rPr>
        <w:t xml:space="preserve"> فترة النظر </w:t>
      </w:r>
      <w:r w:rsidR="006F252C">
        <w:rPr>
          <w:rFonts w:hint="cs"/>
          <w:rtl/>
          <w:lang w:bidi="ar-EG"/>
        </w:rPr>
        <w:t>لمدة</w:t>
      </w:r>
      <w:r w:rsidR="002D18BB">
        <w:rPr>
          <w:rFonts w:hint="cs"/>
          <w:rtl/>
          <w:lang w:bidi="ar-EG"/>
        </w:rPr>
        <w:t xml:space="preserve"> شهرين تنتهي في </w:t>
      </w:r>
      <w:r w:rsidR="00354D7E">
        <w:rPr>
          <w:spacing w:val="2"/>
          <w:u w:val="single"/>
          <w:lang w:bidi="ar-EG"/>
        </w:rPr>
        <w:t>5</w:t>
      </w:r>
      <w:r w:rsidR="00354D7E" w:rsidRPr="00CB652E">
        <w:rPr>
          <w:rFonts w:hint="cs"/>
          <w:spacing w:val="2"/>
          <w:u w:val="single"/>
          <w:rtl/>
          <w:lang w:bidi="ar-EG"/>
        </w:rPr>
        <w:t xml:space="preserve"> </w:t>
      </w:r>
      <w:r w:rsidR="00354D7E">
        <w:rPr>
          <w:rFonts w:hint="cs"/>
          <w:spacing w:val="2"/>
          <w:u w:val="single"/>
          <w:rtl/>
          <w:lang w:bidi="ar-EG"/>
        </w:rPr>
        <w:t>يوليو</w:t>
      </w:r>
      <w:r w:rsidR="00354D7E" w:rsidRPr="00CB652E">
        <w:rPr>
          <w:rFonts w:hint="cs"/>
          <w:spacing w:val="2"/>
          <w:u w:val="single"/>
          <w:rtl/>
          <w:lang w:bidi="ar-EG"/>
        </w:rPr>
        <w:t xml:space="preserve"> </w:t>
      </w:r>
      <w:r w:rsidR="00354D7E">
        <w:rPr>
          <w:spacing w:val="2"/>
          <w:u w:val="single"/>
        </w:rPr>
        <w:t>2017</w:t>
      </w:r>
      <w:r w:rsidR="002D18BB">
        <w:rPr>
          <w:rFonts w:hint="cs"/>
          <w:rtl/>
          <w:lang w:bidi="ar-EG"/>
        </w:rPr>
        <w:t xml:space="preserve">. وإذا </w:t>
      </w:r>
      <w:r w:rsidR="009049C9">
        <w:rPr>
          <w:rFonts w:hint="cs"/>
          <w:rtl/>
          <w:lang w:bidi="ar-EG"/>
        </w:rPr>
        <w:t>لم</w:t>
      </w:r>
      <w:r w:rsidR="002D18BB">
        <w:rPr>
          <w:rFonts w:hint="cs"/>
          <w:rtl/>
          <w:lang w:bidi="ar-EG"/>
        </w:rPr>
        <w:t xml:space="preserve"> ترد أي اعتراضات من الدول الأعضاء خلال هذه الفترة على </w:t>
      </w:r>
      <w:r w:rsidR="00467360">
        <w:rPr>
          <w:rFonts w:hint="cs"/>
          <w:rtl/>
          <w:lang w:bidi="ar-EG"/>
        </w:rPr>
        <w:t>الإلغائين المقترحين</w:t>
      </w:r>
      <w:r w:rsidR="002D18BB">
        <w:rPr>
          <w:rFonts w:hint="cs"/>
          <w:rtl/>
          <w:lang w:bidi="ar-EG"/>
        </w:rPr>
        <w:t>، فإن</w:t>
      </w:r>
      <w:r w:rsidR="002D18BB">
        <w:rPr>
          <w:rFonts w:hint="eastAsia"/>
          <w:rtl/>
          <w:lang w:bidi="ar-EG"/>
        </w:rPr>
        <w:t> </w:t>
      </w:r>
      <w:r w:rsidR="00467360">
        <w:rPr>
          <w:rFonts w:hint="cs"/>
          <w:rtl/>
          <w:lang w:bidi="ar-EG"/>
        </w:rPr>
        <w:t xml:space="preserve">التوصيتين </w:t>
      </w:r>
      <w:r w:rsidR="002D18BB">
        <w:rPr>
          <w:rFonts w:hint="cs"/>
          <w:rtl/>
          <w:lang w:bidi="ar-EG"/>
        </w:rPr>
        <w:t>ستعتب</w:t>
      </w:r>
      <w:r w:rsidR="00467360">
        <w:rPr>
          <w:rFonts w:hint="cs"/>
          <w:rtl/>
          <w:lang w:bidi="ar-EG"/>
        </w:rPr>
        <w:t xml:space="preserve">ران في حكم </w:t>
      </w:r>
      <w:r w:rsidR="006F252C">
        <w:rPr>
          <w:rFonts w:hint="cs"/>
          <w:rtl/>
          <w:lang w:bidi="ar-EG"/>
        </w:rPr>
        <w:t>الملغيتين</w:t>
      </w:r>
      <w:r w:rsidR="002D18BB">
        <w:rPr>
          <w:rFonts w:hint="cs"/>
          <w:rtl/>
          <w:lang w:bidi="ar-EG"/>
        </w:rPr>
        <w:t>.</w:t>
      </w:r>
    </w:p>
    <w:p w:rsidR="008D3F8E" w:rsidRDefault="008D3F8E" w:rsidP="006F252C">
      <w:pPr>
        <w:rPr>
          <w:rtl/>
        </w:rPr>
      </w:pPr>
      <w:r w:rsidRPr="008D3F8E">
        <w:rPr>
          <w:rtl/>
          <w:lang w:bidi="ar-EG"/>
        </w:rPr>
        <w:t xml:space="preserve">وبعد </w:t>
      </w:r>
      <w:r w:rsidR="006F252C">
        <w:rPr>
          <w:rFonts w:hint="cs"/>
          <w:rtl/>
          <w:lang w:bidi="ar-EG"/>
        </w:rPr>
        <w:t>المهلة</w:t>
      </w:r>
      <w:r w:rsidRPr="008D3F8E">
        <w:rPr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المحددة</w:t>
      </w:r>
      <w:r w:rsidRPr="008D3F8E">
        <w:rPr>
          <w:rtl/>
          <w:lang w:bidi="ar-EG"/>
        </w:rPr>
        <w:t xml:space="preserve">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ستعلن نتائج </w:t>
      </w:r>
      <w:r w:rsidR="00CC4CBC">
        <w:rPr>
          <w:rFonts w:hint="cs"/>
          <w:rtl/>
          <w:lang w:bidi="ar-EG"/>
        </w:rPr>
        <w:t>الإجراءات</w:t>
      </w:r>
      <w:r w:rsidR="00A86605">
        <w:rPr>
          <w:rFonts w:hint="cs"/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المذكورة</w:t>
      </w:r>
      <w:r w:rsidR="00CC4CBC">
        <w:rPr>
          <w:rFonts w:hint="cs"/>
          <w:rtl/>
          <w:lang w:bidi="ar-EG"/>
        </w:rPr>
        <w:t xml:space="preserve"> أعلاه</w:t>
      </w:r>
      <w:r w:rsidRPr="008D3F8E">
        <w:rPr>
          <w:rtl/>
          <w:lang w:bidi="ar-EG"/>
        </w:rPr>
        <w:t xml:space="preserve"> في </w:t>
      </w:r>
      <w:r w:rsidR="00C93A88"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وستنشر التوص</w:t>
      </w:r>
      <w:r w:rsidRPr="008D3F8E">
        <w:rPr>
          <w:rFonts w:hint="cs"/>
          <w:rtl/>
          <w:lang w:bidi="ar-EG"/>
        </w:rPr>
        <w:t>يات</w:t>
      </w:r>
      <w:r w:rsidRPr="008D3F8E">
        <w:rPr>
          <w:rtl/>
          <w:lang w:bidi="ar-EG"/>
        </w:rPr>
        <w:t xml:space="preserve"> </w:t>
      </w:r>
      <w:r w:rsidR="006F252C">
        <w:rPr>
          <w:rFonts w:hint="cs"/>
          <w:rtl/>
          <w:lang w:bidi="ar-EG"/>
        </w:rPr>
        <w:t>الموافَق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="006F252C">
        <w:rPr>
          <w:rFonts w:hint="cs"/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 w:rsidR="00E45690">
        <w:rPr>
          <w:rFonts w:hint="cs"/>
          <w:rtl/>
          <w:lang w:bidi="ar-EG"/>
        </w:rPr>
        <w:t xml:space="preserve"> </w:t>
      </w:r>
      <w:hyperlink r:id="rId8" w:history="1">
        <w:r w:rsidR="00E45690"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:rsidR="00A0706D" w:rsidRDefault="008D3F8E" w:rsidP="009049C9">
      <w:pPr>
        <w:keepNext/>
        <w:keepLines/>
        <w:rPr>
          <w:rtl/>
          <w:lang w:bidi="ar-EG"/>
        </w:rPr>
      </w:pPr>
      <w:r w:rsidRPr="008D3F8E">
        <w:rPr>
          <w:rtl/>
          <w:lang w:bidi="ar-EG"/>
        </w:rPr>
        <w:lastRenderedPageBreak/>
        <w:t xml:space="preserve">ويرجى من أي منظمة عضو في </w:t>
      </w:r>
      <w:r w:rsidR="00883EBE">
        <w:rPr>
          <w:rFonts w:hint="cs"/>
          <w:rtl/>
          <w:lang w:bidi="ar-EG"/>
        </w:rPr>
        <w:t>الاتحاد</w:t>
      </w:r>
      <w:r w:rsidRPr="008D3F8E">
        <w:rPr>
          <w:rtl/>
          <w:lang w:bidi="ar-EG"/>
        </w:rPr>
        <w:t xml:space="preserve"> تعلم بوجود براءة اختراع لديها أو لدى غيرها تغطي كلياً أو جزئياً عناصر مشاريع التوصيات </w:t>
      </w:r>
      <w:r w:rsidR="00883EBE">
        <w:rPr>
          <w:rFonts w:hint="cs"/>
          <w:rtl/>
          <w:lang w:bidi="ar-EG"/>
        </w:rPr>
        <w:t>المذكورة</w:t>
      </w:r>
      <w:r w:rsidRPr="008D3F8E">
        <w:rPr>
          <w:rtl/>
          <w:lang w:bidi="ar-EG"/>
        </w:rPr>
        <w:t xml:space="preserve"> في هذه الرسالة أن تبلغ الأمانة بهذه </w:t>
      </w:r>
      <w:r w:rsidR="009049C9">
        <w:rPr>
          <w:rFonts w:hint="cs"/>
          <w:rtl/>
          <w:lang w:bidi="ar-EG"/>
        </w:rPr>
        <w:t>المعلومات</w:t>
      </w:r>
      <w:r w:rsidRPr="008D3F8E">
        <w:rPr>
          <w:rtl/>
          <w:lang w:bidi="ar-EG"/>
        </w:rPr>
        <w:t xml:space="preserve"> بأسرع ما </w:t>
      </w:r>
      <w:r w:rsidR="00883EBE">
        <w:rPr>
          <w:rFonts w:hint="cs"/>
          <w:rtl/>
          <w:lang w:bidi="ar-EG"/>
        </w:rPr>
        <w:t>يمكن</w:t>
      </w:r>
      <w:r w:rsidRPr="008D3F8E">
        <w:rPr>
          <w:rtl/>
          <w:lang w:bidi="ar-EG"/>
        </w:rPr>
        <w:t xml:space="preserve">. </w:t>
      </w:r>
      <w:r w:rsidR="009049C9">
        <w:rPr>
          <w:rFonts w:hint="cs"/>
          <w:rtl/>
          <w:lang w:bidi="ar-EG"/>
        </w:rPr>
        <w:t>ويمكن</w:t>
      </w:r>
      <w:r w:rsidRPr="008D3F8E">
        <w:rPr>
          <w:rtl/>
          <w:lang w:bidi="ar-EG"/>
        </w:rPr>
        <w:t xml:space="preserve"> الاطلاع على السياسة </w:t>
      </w:r>
      <w:r w:rsidR="00883EBE">
        <w:rPr>
          <w:rFonts w:hint="cs"/>
          <w:rtl/>
          <w:lang w:bidi="ar-EG"/>
        </w:rPr>
        <w:t>المشتركة</w:t>
      </w:r>
      <w:r w:rsidRPr="008D3F8E">
        <w:rPr>
          <w:rtl/>
          <w:lang w:bidi="ar-EG"/>
        </w:rPr>
        <w:t xml:space="preserve"> للبراءات</w:t>
      </w:r>
      <w:r w:rsidR="00CE7EC0">
        <w:rPr>
          <w:rFonts w:hint="cs"/>
          <w:rtl/>
          <w:lang w:bidi="ar-EG"/>
        </w:rPr>
        <w:t> </w:t>
      </w:r>
      <w:r w:rsidRPr="008D3F8E">
        <w:t>"ITU</w:t>
      </w:r>
      <w:r w:rsidRPr="008D3F8E">
        <w:noBreakHyphen/>
        <w:t>T/ITU</w:t>
      </w:r>
      <w:r w:rsidRPr="008D3F8E">
        <w:noBreakHyphen/>
        <w:t>R/ISO/IEC"</w:t>
      </w:r>
      <w:r w:rsidRPr="008D3F8E">
        <w:rPr>
          <w:rtl/>
          <w:lang w:bidi="ar-EG"/>
        </w:rPr>
        <w:t xml:space="preserve"> في </w:t>
      </w:r>
      <w:r w:rsidR="00883EBE">
        <w:rPr>
          <w:rFonts w:hint="cs"/>
          <w:rtl/>
          <w:lang w:bidi="ar-EG"/>
        </w:rPr>
        <w:t>الموقع</w:t>
      </w:r>
      <w:r w:rsidRPr="008D3F8E">
        <w:rPr>
          <w:rtl/>
          <w:lang w:bidi="ar-EG"/>
        </w:rPr>
        <w:t xml:space="preserve"> الإلكتروني</w:t>
      </w:r>
      <w:r w:rsidRPr="008D3F8E">
        <w:rPr>
          <w:rFonts w:hint="cs"/>
          <w:rtl/>
          <w:lang w:bidi="ar-EG"/>
        </w:rPr>
        <w:t>:</w:t>
      </w:r>
      <w:r w:rsidR="00E45690">
        <w:rPr>
          <w:rFonts w:hint="cs"/>
          <w:rtl/>
          <w:lang w:bidi="ar-EG"/>
        </w:rPr>
        <w:t xml:space="preserve"> </w:t>
      </w:r>
      <w:hyperlink r:id="rId9" w:history="1">
        <w:r w:rsidR="00E45690" w:rsidRPr="00E45690">
          <w:rPr>
            <w:rStyle w:val="Hyperlink"/>
            <w:lang w:bidi="ar-EG"/>
          </w:rPr>
          <w:t>http://www.itu.int/en/ITU-T/ipr/Pages/policy.aspx</w:t>
        </w:r>
      </w:hyperlink>
      <w:r w:rsidRPr="008D3F8E">
        <w:rPr>
          <w:rtl/>
          <w:lang w:bidi="ar-EG"/>
        </w:rPr>
        <w:t>.</w:t>
      </w:r>
    </w:p>
    <w:p w:rsidR="00E02604" w:rsidRDefault="00E02604" w:rsidP="006F252C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 w:rsidR="006F252C">
        <w:rPr>
          <w:rFonts w:hint="cs"/>
          <w:rtl/>
        </w:rPr>
        <w:t>المدير</w:t>
      </w:r>
    </w:p>
    <w:p w:rsidR="008D3F8E" w:rsidRDefault="008D3F8E" w:rsidP="00AA7538">
      <w:pPr>
        <w:spacing w:before="1080"/>
        <w:jc w:val="left"/>
        <w:rPr>
          <w:rtl/>
          <w:lang w:bidi="ar-EG"/>
        </w:rPr>
      </w:pPr>
      <w:r w:rsidRPr="008D3F8E">
        <w:rPr>
          <w:b/>
          <w:bCs/>
          <w:rtl/>
          <w:lang w:bidi="ar-EG"/>
        </w:rPr>
        <w:t>الملحق</w:t>
      </w:r>
      <w:r w:rsidRPr="008D3F8E">
        <w:rPr>
          <w:rFonts w:hint="cs"/>
          <w:b/>
          <w:bCs/>
          <w:rtl/>
          <w:lang w:bidi="ar-EG"/>
        </w:rPr>
        <w:t xml:space="preserve"> </w:t>
      </w:r>
      <w:proofErr w:type="gramStart"/>
      <w:r w:rsidRPr="008D3F8E">
        <w:rPr>
          <w:b/>
          <w:bCs/>
        </w:rPr>
        <w:t>1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proofErr w:type="gramEnd"/>
      <w:r w:rsidR="00467360">
        <w:rPr>
          <w:rFonts w:hint="cs"/>
          <w:rtl/>
          <w:lang w:bidi="ar-EG"/>
        </w:rPr>
        <w:t>عناوين</w:t>
      </w:r>
      <w:r w:rsidRPr="008D3F8E">
        <w:rPr>
          <w:rFonts w:hint="cs"/>
          <w:rtl/>
          <w:lang w:bidi="ar-EG"/>
        </w:rPr>
        <w:t xml:space="preserve"> </w:t>
      </w:r>
      <w:r w:rsidR="00467360">
        <w:rPr>
          <w:rFonts w:hint="cs"/>
          <w:rtl/>
          <w:lang w:bidi="ar-EG"/>
        </w:rPr>
        <w:t>وملخصات</w:t>
      </w:r>
      <w:r w:rsidRPr="008D3F8E">
        <w:rPr>
          <w:rFonts w:hint="cs"/>
          <w:rtl/>
          <w:lang w:bidi="ar-EG"/>
        </w:rPr>
        <w:t xml:space="preserve"> </w:t>
      </w:r>
      <w:r w:rsidR="00C93A88">
        <w:rPr>
          <w:rFonts w:hint="cs"/>
          <w:rtl/>
          <w:lang w:bidi="ar-EG"/>
        </w:rPr>
        <w:t>مشاريع التوصيات</w:t>
      </w:r>
    </w:p>
    <w:p w:rsidR="008D3F8E" w:rsidRDefault="008D3F8E" w:rsidP="00467360">
      <w:pPr>
        <w:jc w:val="left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 xml:space="preserve">الملحق </w:t>
      </w:r>
      <w:proofErr w:type="gramStart"/>
      <w:r w:rsidRPr="008D3F8E">
        <w:rPr>
          <w:b/>
          <w:bCs/>
        </w:rPr>
        <w:t>2</w:t>
      </w:r>
      <w:r w:rsidRPr="008D3F8E">
        <w:rPr>
          <w:rFonts w:hint="cs"/>
          <w:b/>
          <w:bCs/>
          <w:rtl/>
          <w:lang w:bidi="ar-EG"/>
        </w:rPr>
        <w:t>:</w:t>
      </w:r>
      <w:r w:rsidR="00467360">
        <w:rPr>
          <w:rFonts w:hint="cs"/>
          <w:rtl/>
          <w:lang w:bidi="ar-EG"/>
        </w:rPr>
        <w:tab/>
      </w:r>
      <w:proofErr w:type="gramEnd"/>
      <w:r w:rsidR="00467360">
        <w:rPr>
          <w:rFonts w:hint="cs"/>
          <w:rtl/>
          <w:lang w:bidi="ar-EG"/>
        </w:rPr>
        <w:t xml:space="preserve">التوصيتان </w:t>
      </w:r>
      <w:r w:rsidRPr="008D3F8E">
        <w:rPr>
          <w:rFonts w:hint="cs"/>
          <w:rtl/>
          <w:lang w:bidi="ar-EG"/>
        </w:rPr>
        <w:t>ال</w:t>
      </w:r>
      <w:r w:rsidR="00AE743C">
        <w:rPr>
          <w:rFonts w:hint="cs"/>
          <w:rtl/>
          <w:lang w:bidi="ar-EG"/>
        </w:rPr>
        <w:t>‍</w:t>
      </w:r>
      <w:r w:rsidRPr="008D3F8E">
        <w:rPr>
          <w:rFonts w:hint="cs"/>
          <w:rtl/>
          <w:lang w:bidi="ar-EG"/>
        </w:rPr>
        <w:t>مقترح إلغاؤه</w:t>
      </w:r>
      <w:r w:rsidR="00467360">
        <w:rPr>
          <w:rFonts w:hint="cs"/>
          <w:rtl/>
          <w:lang w:bidi="ar-EG"/>
        </w:rPr>
        <w:t>م</w:t>
      </w:r>
      <w:r w:rsidRPr="008D3F8E">
        <w:rPr>
          <w:rFonts w:hint="cs"/>
          <w:rtl/>
          <w:lang w:bidi="ar-EG"/>
        </w:rPr>
        <w:t>ا</w:t>
      </w:r>
    </w:p>
    <w:p w:rsidR="008D3F8E" w:rsidRPr="00AD3687" w:rsidRDefault="008D3F8E" w:rsidP="00AA7538">
      <w:pPr>
        <w:spacing w:before="1080"/>
        <w:jc w:val="left"/>
        <w:rPr>
          <w:rtl/>
        </w:rPr>
      </w:pPr>
      <w:proofErr w:type="gramStart"/>
      <w:r w:rsidRPr="00AD3687">
        <w:rPr>
          <w:rFonts w:hint="cs"/>
          <w:b/>
          <w:bCs/>
          <w:rtl/>
          <w:lang w:bidi="ar-EG"/>
        </w:rPr>
        <w:t>الوثائق</w:t>
      </w:r>
      <w:r w:rsidRPr="00AD3687">
        <w:rPr>
          <w:b/>
          <w:bCs/>
          <w:rtl/>
          <w:lang w:bidi="ar-EG"/>
        </w:rPr>
        <w:t>:</w:t>
      </w:r>
      <w:r w:rsidRPr="00AD3687">
        <w:rPr>
          <w:rFonts w:hint="cs"/>
          <w:rtl/>
          <w:lang w:bidi="ar-EG"/>
        </w:rPr>
        <w:tab/>
      </w:r>
      <w:proofErr w:type="gramEnd"/>
      <w:r w:rsidR="00467360" w:rsidRPr="00AD3687">
        <w:rPr>
          <w:rFonts w:hint="cs"/>
          <w:rtl/>
          <w:lang w:bidi="ar-EG"/>
        </w:rPr>
        <w:t>الوثائق</w:t>
      </w:r>
      <w:r w:rsidRPr="00AD3687">
        <w:rPr>
          <w:rFonts w:hint="cs"/>
          <w:rtl/>
          <w:lang w:bidi="ar-EG"/>
        </w:rPr>
        <w:t xml:space="preserve"> </w:t>
      </w:r>
      <w:r w:rsidR="00467360" w:rsidRPr="00AD3687">
        <w:t>7/53</w:t>
      </w:r>
      <w:r w:rsidR="00467360" w:rsidRPr="00AD3687">
        <w:rPr>
          <w:rFonts w:hint="cs"/>
          <w:rtl/>
        </w:rPr>
        <w:t xml:space="preserve"> و</w:t>
      </w:r>
      <w:r w:rsidR="00467360" w:rsidRPr="00AD3687">
        <w:t>7/54</w:t>
      </w:r>
      <w:r w:rsidR="00467360" w:rsidRPr="00AD3687">
        <w:rPr>
          <w:rFonts w:hint="cs"/>
          <w:rtl/>
        </w:rPr>
        <w:t xml:space="preserve"> و</w:t>
      </w:r>
      <w:r w:rsidR="00467360" w:rsidRPr="00AD3687">
        <w:t>7/55</w:t>
      </w:r>
      <w:r w:rsidR="00467360" w:rsidRPr="00AD3687">
        <w:rPr>
          <w:rFonts w:hint="cs"/>
          <w:rtl/>
        </w:rPr>
        <w:t xml:space="preserve"> و</w:t>
      </w:r>
      <w:r w:rsidR="00467360" w:rsidRPr="00AD3687">
        <w:t>7/57</w:t>
      </w:r>
      <w:r w:rsidR="00467360" w:rsidRPr="00AD3687">
        <w:rPr>
          <w:rFonts w:hint="cs"/>
          <w:rtl/>
        </w:rPr>
        <w:t xml:space="preserve"> و</w:t>
      </w:r>
      <w:r w:rsidR="00467360" w:rsidRPr="00AD3687">
        <w:t>7/58</w:t>
      </w:r>
      <w:r w:rsidR="00467360" w:rsidRPr="00AD3687">
        <w:rPr>
          <w:rFonts w:hint="cs"/>
          <w:rtl/>
        </w:rPr>
        <w:t xml:space="preserve"> و</w:t>
      </w:r>
      <w:r w:rsidR="00467360" w:rsidRPr="00AD3687">
        <w:t>7/60(Rev.1)</w:t>
      </w:r>
    </w:p>
    <w:p w:rsidR="00E45690" w:rsidRPr="00467360" w:rsidRDefault="00E45690" w:rsidP="00467360">
      <w:pPr>
        <w:rPr>
          <w:rtl/>
        </w:rPr>
      </w:pPr>
      <w:r>
        <w:rPr>
          <w:rFonts w:hint="cs"/>
          <w:rtl/>
        </w:rPr>
        <w:t>وتتاح هذه الوثائق في نسق إلكتروني في:</w:t>
      </w:r>
      <w:r w:rsidR="00CC4CBC">
        <w:rPr>
          <w:rFonts w:hint="cs"/>
          <w:rtl/>
        </w:rPr>
        <w:t xml:space="preserve"> </w:t>
      </w:r>
      <w:hyperlink r:id="rId10" w:history="1">
        <w:r w:rsidR="00467360" w:rsidRPr="00467360">
          <w:rPr>
            <w:rStyle w:val="Hyperlink"/>
            <w:szCs w:val="22"/>
          </w:rPr>
          <w:t>https://www.itu.int/md/R15-SG07-C/en</w:t>
        </w:r>
      </w:hyperlink>
    </w:p>
    <w:p w:rsidR="008D3F8E" w:rsidRPr="00E45690" w:rsidRDefault="008D3F8E" w:rsidP="00AA7538">
      <w:pPr>
        <w:tabs>
          <w:tab w:val="clear" w:pos="794"/>
          <w:tab w:val="left" w:pos="283"/>
        </w:tabs>
        <w:spacing w:before="456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8D3F8E" w:rsidRPr="00E45690" w:rsidRDefault="008D3F8E" w:rsidP="000E4572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Pr="00E45690">
        <w:rPr>
          <w:rFonts w:hint="cs"/>
          <w:sz w:val="16"/>
          <w:szCs w:val="22"/>
          <w:rtl/>
          <w:lang w:bidi="ar-EG"/>
        </w:rPr>
        <w:t xml:space="preserve"> في </w:t>
      </w:r>
      <w:r w:rsidR="000E4572">
        <w:rPr>
          <w:rFonts w:hint="cs"/>
          <w:sz w:val="16"/>
          <w:szCs w:val="22"/>
          <w:rtl/>
          <w:lang w:bidi="ar-EG"/>
        </w:rPr>
        <w:t>الاتحاد</w:t>
      </w:r>
      <w:r w:rsidRPr="00E45690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E45690">
        <w:rPr>
          <w:rFonts w:hint="cs"/>
          <w:sz w:val="16"/>
          <w:szCs w:val="22"/>
          <w:rtl/>
          <w:lang w:bidi="ar-EG"/>
        </w:rPr>
        <w:t xml:space="preserve"> </w:t>
      </w:r>
      <w:r w:rsidR="000E4572">
        <w:rPr>
          <w:rFonts w:hint="cs"/>
          <w:sz w:val="16"/>
          <w:szCs w:val="22"/>
          <w:rtl/>
          <w:lang w:bidi="ar-EG"/>
        </w:rPr>
        <w:t>المشاركون</w:t>
      </w:r>
      <w:r w:rsidRPr="00E45690">
        <w:rPr>
          <w:rFonts w:hint="cs"/>
          <w:sz w:val="16"/>
          <w:szCs w:val="22"/>
          <w:rtl/>
          <w:lang w:bidi="ar-EG"/>
        </w:rPr>
        <w:t xml:space="preserve"> في </w:t>
      </w:r>
      <w:r w:rsidR="000E4572">
        <w:rPr>
          <w:rFonts w:hint="cs"/>
          <w:sz w:val="16"/>
          <w:szCs w:val="22"/>
          <w:rtl/>
          <w:lang w:bidi="ar-EG"/>
        </w:rPr>
        <w:t>أعمال</w:t>
      </w:r>
      <w:r w:rsidRPr="00E45690">
        <w:rPr>
          <w:rFonts w:hint="cs"/>
          <w:sz w:val="16"/>
          <w:szCs w:val="22"/>
          <w:rtl/>
          <w:lang w:bidi="ar-EG"/>
        </w:rPr>
        <w:t xml:space="preserve"> </w:t>
      </w:r>
      <w:r w:rsidR="000E4572">
        <w:rPr>
          <w:rFonts w:hint="cs"/>
          <w:sz w:val="16"/>
          <w:szCs w:val="22"/>
          <w:rtl/>
          <w:lang w:bidi="ar-EG"/>
        </w:rPr>
        <w:t>لجنة</w:t>
      </w:r>
      <w:r w:rsidRPr="00E45690">
        <w:rPr>
          <w:rFonts w:hint="cs"/>
          <w:sz w:val="16"/>
          <w:szCs w:val="22"/>
          <w:rtl/>
          <w:lang w:bidi="ar-EG"/>
        </w:rPr>
        <w:t xml:space="preserve"> الدراسات </w:t>
      </w:r>
      <w:r w:rsidR="00B667EB">
        <w:rPr>
          <w:sz w:val="16"/>
          <w:szCs w:val="22"/>
          <w:lang w:val="fr-CH"/>
        </w:rPr>
        <w:t>7</w:t>
      </w:r>
      <w:r w:rsidRPr="00E45690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8D3F8E" w:rsidRPr="00E45690" w:rsidRDefault="008D3F8E" w:rsidP="000E457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</w:r>
      <w:r w:rsidR="000E4572">
        <w:rPr>
          <w:rFonts w:hint="cs"/>
          <w:sz w:val="16"/>
          <w:szCs w:val="22"/>
          <w:rtl/>
          <w:lang w:bidi="ar-EG"/>
        </w:rPr>
        <w:t>المنتسبون</w:t>
      </w:r>
      <w:r w:rsidRPr="00E45690">
        <w:rPr>
          <w:sz w:val="16"/>
          <w:szCs w:val="22"/>
          <w:rtl/>
          <w:lang w:bidi="ar-EG"/>
        </w:rPr>
        <w:t xml:space="preserve"> إلى قطاع الاتصالات الراديوية </w:t>
      </w:r>
      <w:r w:rsidR="000E4572">
        <w:rPr>
          <w:rFonts w:hint="cs"/>
          <w:sz w:val="16"/>
          <w:szCs w:val="22"/>
          <w:rtl/>
          <w:lang w:bidi="ar-EG"/>
        </w:rPr>
        <w:t>المشاركون</w:t>
      </w:r>
      <w:r w:rsidRPr="00E45690">
        <w:rPr>
          <w:sz w:val="16"/>
          <w:szCs w:val="22"/>
          <w:rtl/>
          <w:lang w:bidi="ar-EG"/>
        </w:rPr>
        <w:t xml:space="preserve"> في </w:t>
      </w:r>
      <w:r w:rsidR="000E4572">
        <w:rPr>
          <w:rFonts w:hint="cs"/>
          <w:sz w:val="16"/>
          <w:szCs w:val="22"/>
          <w:rtl/>
          <w:lang w:bidi="ar-EG"/>
        </w:rPr>
        <w:t>أعمال</w:t>
      </w:r>
      <w:r w:rsidRPr="00E45690">
        <w:rPr>
          <w:sz w:val="16"/>
          <w:szCs w:val="22"/>
          <w:rtl/>
          <w:lang w:bidi="ar-EG"/>
        </w:rPr>
        <w:t xml:space="preserve"> </w:t>
      </w:r>
      <w:r w:rsidR="000E4572">
        <w:rPr>
          <w:rFonts w:hint="cs"/>
          <w:sz w:val="16"/>
          <w:szCs w:val="22"/>
          <w:rtl/>
          <w:lang w:bidi="ar-EG"/>
        </w:rPr>
        <w:t>لجنة</w:t>
      </w:r>
      <w:r w:rsidRPr="00E45690">
        <w:rPr>
          <w:sz w:val="16"/>
          <w:szCs w:val="22"/>
          <w:rtl/>
          <w:lang w:bidi="ar-EG"/>
        </w:rPr>
        <w:t xml:space="preserve"> الدراسات </w:t>
      </w:r>
      <w:r w:rsidR="00B667EB">
        <w:rPr>
          <w:sz w:val="16"/>
          <w:szCs w:val="22"/>
        </w:rPr>
        <w:t>7</w:t>
      </w:r>
      <w:r w:rsidRPr="00E45690">
        <w:rPr>
          <w:sz w:val="16"/>
          <w:szCs w:val="22"/>
          <w:rtl/>
          <w:lang w:bidi="ar-EG"/>
        </w:rPr>
        <w:t xml:space="preserve"> للاتصالات الراديوية</w:t>
      </w:r>
    </w:p>
    <w:p w:rsidR="008D3F8E" w:rsidRPr="00E45690" w:rsidRDefault="008D3F8E" w:rsidP="000E457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rFonts w:hint="cs"/>
          <w:sz w:val="16"/>
          <w:szCs w:val="22"/>
          <w:rtl/>
        </w:rPr>
        <w:t xml:space="preserve">الهيئات </w:t>
      </w:r>
      <w:r w:rsidR="000E4572">
        <w:rPr>
          <w:rFonts w:hint="cs"/>
          <w:sz w:val="16"/>
          <w:szCs w:val="22"/>
          <w:rtl/>
        </w:rPr>
        <w:t>الأكاديمية المنضمة</w:t>
      </w:r>
      <w:r w:rsidRPr="00E45690">
        <w:rPr>
          <w:rFonts w:hint="cs"/>
          <w:sz w:val="16"/>
          <w:szCs w:val="22"/>
          <w:rtl/>
        </w:rPr>
        <w:t xml:space="preserve"> إلى </w:t>
      </w:r>
      <w:r w:rsidR="000E4572">
        <w:rPr>
          <w:rFonts w:hint="cs"/>
          <w:sz w:val="16"/>
          <w:szCs w:val="22"/>
          <w:rtl/>
        </w:rPr>
        <w:t>الاتحاد</w:t>
      </w:r>
    </w:p>
    <w:p w:rsidR="008D3F8E" w:rsidRPr="00E45690" w:rsidRDefault="008D3F8E" w:rsidP="000E457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رؤساء </w:t>
      </w:r>
      <w:r w:rsidR="000E4572">
        <w:rPr>
          <w:rFonts w:hint="cs"/>
          <w:sz w:val="16"/>
          <w:szCs w:val="22"/>
          <w:rtl/>
          <w:lang w:bidi="ar-EG"/>
        </w:rPr>
        <w:t>لجان</w:t>
      </w:r>
      <w:r w:rsidRPr="00E45690">
        <w:rPr>
          <w:sz w:val="16"/>
          <w:szCs w:val="22"/>
          <w:rtl/>
          <w:lang w:bidi="ar-EG"/>
        </w:rPr>
        <w:t xml:space="preserve"> دراسات الاتصالات الراديوية </w:t>
      </w:r>
      <w:r w:rsidR="00315FE2">
        <w:rPr>
          <w:rFonts w:hint="cs"/>
          <w:sz w:val="16"/>
          <w:szCs w:val="22"/>
          <w:rtl/>
          <w:lang w:bidi="ar-EG"/>
        </w:rPr>
        <w:t>ونوابهم</w:t>
      </w:r>
    </w:p>
    <w:p w:rsidR="008D3F8E" w:rsidRPr="00E45690" w:rsidRDefault="008D3F8E" w:rsidP="00FD34F3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رئيس الاجتماع </w:t>
      </w:r>
      <w:r w:rsidR="00FD34F3">
        <w:rPr>
          <w:rFonts w:hint="cs"/>
          <w:sz w:val="16"/>
          <w:szCs w:val="22"/>
          <w:rtl/>
          <w:lang w:bidi="ar-EG"/>
        </w:rPr>
        <w:t>التحضيري</w:t>
      </w:r>
      <w:r w:rsidRPr="00E45690">
        <w:rPr>
          <w:sz w:val="16"/>
          <w:szCs w:val="22"/>
          <w:rtl/>
          <w:lang w:bidi="ar-EG"/>
        </w:rPr>
        <w:t xml:space="preserve"> </w:t>
      </w:r>
      <w:r w:rsidR="000E4572">
        <w:rPr>
          <w:rFonts w:hint="cs"/>
          <w:sz w:val="16"/>
          <w:szCs w:val="22"/>
          <w:rtl/>
          <w:lang w:bidi="ar-EG"/>
        </w:rPr>
        <w:t>للمؤتمر</w:t>
      </w:r>
      <w:r w:rsidRPr="00E45690">
        <w:rPr>
          <w:sz w:val="16"/>
          <w:szCs w:val="22"/>
          <w:rtl/>
          <w:lang w:bidi="ar-EG"/>
        </w:rPr>
        <w:t xml:space="preserve"> ونوابه</w:t>
      </w:r>
    </w:p>
    <w:p w:rsidR="008D3F8E" w:rsidRPr="00E45690" w:rsidRDefault="008D3F8E" w:rsidP="000E457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أعضاء </w:t>
      </w:r>
      <w:r w:rsidR="000E4572">
        <w:rPr>
          <w:rFonts w:hint="cs"/>
          <w:sz w:val="16"/>
          <w:szCs w:val="22"/>
          <w:rtl/>
          <w:lang w:bidi="ar-EG"/>
        </w:rPr>
        <w:t>لجنة</w:t>
      </w:r>
      <w:r w:rsidRPr="00E45690">
        <w:rPr>
          <w:sz w:val="16"/>
          <w:szCs w:val="22"/>
          <w:rtl/>
          <w:lang w:bidi="ar-EG"/>
        </w:rPr>
        <w:t xml:space="preserve"> لوائح الراديو</w:t>
      </w:r>
    </w:p>
    <w:p w:rsidR="008D3F8E" w:rsidRPr="00E45690" w:rsidRDefault="008D3F8E" w:rsidP="000E4572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الأمين العام </w:t>
      </w:r>
      <w:r w:rsidR="000E4572">
        <w:rPr>
          <w:rFonts w:hint="cs"/>
          <w:sz w:val="16"/>
          <w:szCs w:val="22"/>
          <w:rtl/>
          <w:lang w:bidi="ar-EG"/>
        </w:rPr>
        <w:t>للاتحاد</w:t>
      </w:r>
      <w:r w:rsidRPr="00E45690">
        <w:rPr>
          <w:sz w:val="16"/>
          <w:szCs w:val="22"/>
          <w:rtl/>
          <w:lang w:bidi="ar-EG"/>
        </w:rPr>
        <w:t xml:space="preserve"> ومدير مكتب تقييس الاتصالات ومدير مكتب تنمية الاتصالات</w:t>
      </w:r>
    </w:p>
    <w:p w:rsidR="00185E59" w:rsidRDefault="00185E59" w:rsidP="00E64F8E">
      <w:pPr>
        <w:rPr>
          <w:rtl/>
          <w:lang w:bidi="ar-EG"/>
        </w:rPr>
      </w:pPr>
      <w:r>
        <w:rPr>
          <w:rtl/>
        </w:rPr>
        <w:br w:type="page"/>
      </w:r>
    </w:p>
    <w:p w:rsidR="007E6E52" w:rsidRDefault="008D3F8E" w:rsidP="00887D67">
      <w:pPr>
        <w:pStyle w:val="AnnexNo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</w:t>
      </w:r>
      <w:r w:rsidRPr="008D3F8E">
        <w:rPr>
          <w:rFonts w:hint="cs"/>
          <w:rtl/>
        </w:rPr>
        <w:t>‍</w:t>
      </w:r>
      <w:r w:rsidRPr="008D3F8E">
        <w:rPr>
          <w:rFonts w:hint="eastAsia"/>
          <w:rtl/>
        </w:rPr>
        <w:t>ملحـق</w:t>
      </w:r>
      <w:r w:rsidRPr="008D3F8E">
        <w:rPr>
          <w:rFonts w:hint="cs"/>
          <w:rtl/>
        </w:rPr>
        <w:t xml:space="preserve"> </w:t>
      </w:r>
      <w:r w:rsidRPr="008D3F8E">
        <w:rPr>
          <w:lang w:val="en-GB"/>
        </w:rPr>
        <w:t>1</w:t>
      </w:r>
    </w:p>
    <w:p w:rsidR="008D3F8E" w:rsidRDefault="008D3F8E" w:rsidP="003D7886">
      <w:pPr>
        <w:pStyle w:val="Annextitle"/>
        <w:rPr>
          <w:rtl/>
        </w:rPr>
      </w:pPr>
      <w:r w:rsidRPr="008D3F8E">
        <w:rPr>
          <w:rFonts w:hint="cs"/>
          <w:rtl/>
        </w:rPr>
        <w:t xml:space="preserve">عناوين </w:t>
      </w:r>
      <w:r w:rsidR="003D7886">
        <w:rPr>
          <w:rFonts w:hint="cs"/>
          <w:rtl/>
        </w:rPr>
        <w:t>و</w:t>
      </w:r>
      <w:r w:rsidRPr="008D3F8E">
        <w:rPr>
          <w:rFonts w:hint="cs"/>
          <w:rtl/>
        </w:rPr>
        <w:t xml:space="preserve">ملخصات </w:t>
      </w:r>
      <w:r w:rsidR="003D7886">
        <w:rPr>
          <w:rFonts w:hint="cs"/>
          <w:rtl/>
        </w:rPr>
        <w:t xml:space="preserve">مشاريع </w:t>
      </w:r>
      <w:r w:rsidRPr="008D3F8E">
        <w:rPr>
          <w:rFonts w:hint="cs"/>
          <w:rtl/>
        </w:rPr>
        <w:t>التوصيات</w:t>
      </w:r>
    </w:p>
    <w:p w:rsidR="00887D67" w:rsidRPr="00700BAE" w:rsidRDefault="00887D67" w:rsidP="007A6B80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700BAE">
        <w:rPr>
          <w:rFonts w:hint="cs"/>
          <w:u w:val="single"/>
          <w:rtl/>
        </w:rPr>
        <w:t xml:space="preserve">مشروع </w:t>
      </w:r>
      <w:r w:rsidR="003D7886" w:rsidRPr="00700BAE">
        <w:rPr>
          <w:rFonts w:hint="cs"/>
          <w:u w:val="single"/>
          <w:rtl/>
        </w:rPr>
        <w:t>التوصية ا</w:t>
      </w:r>
      <w:r w:rsidR="004A06CB" w:rsidRPr="00700BAE">
        <w:rPr>
          <w:rFonts w:hint="cs"/>
          <w:u w:val="single"/>
          <w:rtl/>
        </w:rPr>
        <w:t>لجديدة</w:t>
      </w:r>
      <w:r w:rsidRPr="00700BAE">
        <w:rPr>
          <w:rFonts w:hint="cs"/>
          <w:u w:val="single"/>
          <w:rtl/>
        </w:rPr>
        <w:t xml:space="preserve"> </w:t>
      </w:r>
      <w:r w:rsidR="003D7886" w:rsidRPr="00700BAE">
        <w:rPr>
          <w:u w:val="single"/>
        </w:rPr>
        <w:t>ITU-R</w:t>
      </w:r>
      <w:r w:rsidR="007A6B80">
        <w:rPr>
          <w:u w:val="single"/>
        </w:rPr>
        <w:t> </w:t>
      </w:r>
      <w:proofErr w:type="gramStart"/>
      <w:r w:rsidR="003D7886" w:rsidRPr="00700BAE">
        <w:rPr>
          <w:u w:val="single"/>
        </w:rPr>
        <w:t>RS.[</w:t>
      </w:r>
      <w:proofErr w:type="gramEnd"/>
      <w:r w:rsidR="003D7886" w:rsidRPr="00700BAE">
        <w:rPr>
          <w:u w:val="single"/>
        </w:rPr>
        <w:t>ACTIVE_CHAR]</w:t>
      </w:r>
      <w:r w:rsidRPr="00700BAE">
        <w:rPr>
          <w:rFonts w:hint="cs"/>
          <w:rtl/>
          <w:lang w:bidi="ar-EG"/>
        </w:rPr>
        <w:tab/>
        <w:t xml:space="preserve">الوثيقة </w:t>
      </w:r>
      <w:r w:rsidR="003D7886" w:rsidRPr="00700BAE">
        <w:rPr>
          <w:lang w:bidi="ar-EG"/>
        </w:rPr>
        <w:t>7</w:t>
      </w:r>
      <w:r w:rsidR="00722D1B" w:rsidRPr="00700BAE">
        <w:rPr>
          <w:lang w:bidi="ar-EG"/>
        </w:rPr>
        <w:t>/</w:t>
      </w:r>
      <w:r w:rsidR="003D7886" w:rsidRPr="00700BAE">
        <w:rPr>
          <w:lang w:bidi="ar-EG"/>
        </w:rPr>
        <w:t>60</w:t>
      </w:r>
      <w:r w:rsidRPr="00700BAE">
        <w:rPr>
          <w:lang w:bidi="ar-EG"/>
        </w:rPr>
        <w:t>(Rev.1)</w:t>
      </w:r>
    </w:p>
    <w:p w:rsidR="003D7886" w:rsidRPr="003D7886" w:rsidRDefault="003D7886" w:rsidP="00887D67">
      <w:pPr>
        <w:pStyle w:val="Rectitle"/>
        <w:spacing w:before="240"/>
        <w:rPr>
          <w:rtl/>
          <w:lang w:bidi="ar-EG"/>
        </w:rPr>
      </w:pPr>
      <w:r w:rsidRPr="004502D2">
        <w:rPr>
          <w:rFonts w:hint="cs"/>
          <w:spacing w:val="-2"/>
          <w:rtl/>
          <w:lang w:bidi="ar-SY"/>
        </w:rPr>
        <w:t>الخصائص التقنية والتشغيلية النموذجية لأنظمة خدمة استكشاف الأرض الساتلية (النش</w:t>
      </w:r>
      <w:r>
        <w:rPr>
          <w:rFonts w:hint="cs"/>
          <w:spacing w:val="-2"/>
          <w:rtl/>
          <w:lang w:bidi="ar-SY"/>
        </w:rPr>
        <w:t>ي</w:t>
      </w:r>
      <w:r w:rsidRPr="004502D2">
        <w:rPr>
          <w:rFonts w:hint="cs"/>
          <w:spacing w:val="-2"/>
          <w:rtl/>
          <w:lang w:bidi="ar-SY"/>
        </w:rPr>
        <w:t>طة) التي تستعمل توزيعات بين</w:t>
      </w:r>
      <w:r w:rsidRPr="004502D2">
        <w:rPr>
          <w:rFonts w:hint="eastAsia"/>
          <w:spacing w:val="-2"/>
          <w:rtl/>
          <w:lang w:bidi="ar-SY"/>
        </w:rPr>
        <w:t> </w:t>
      </w:r>
      <w:r w:rsidRPr="004502D2">
        <w:rPr>
          <w:spacing w:val="-2"/>
          <w:lang w:bidi="ar-SY"/>
        </w:rPr>
        <w:t>MHz 432</w:t>
      </w:r>
      <w:r w:rsidRPr="004502D2">
        <w:rPr>
          <w:rFonts w:hint="cs"/>
          <w:spacing w:val="-2"/>
          <w:rtl/>
          <w:lang w:bidi="ar-SY"/>
        </w:rPr>
        <w:t xml:space="preserve"> </w:t>
      </w:r>
      <w:r w:rsidRPr="004502D2">
        <w:rPr>
          <w:rFonts w:hint="cs"/>
          <w:spacing w:val="-2"/>
          <w:rtl/>
        </w:rPr>
        <w:t>و</w:t>
      </w:r>
      <w:r w:rsidRPr="004502D2">
        <w:rPr>
          <w:spacing w:val="-2"/>
        </w:rPr>
        <w:t>GHz 238</w:t>
      </w:r>
    </w:p>
    <w:p w:rsidR="00FF4B77" w:rsidRDefault="004439A0" w:rsidP="004D6C7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تقدم هذه التوصية الخصائص التقنية والتشغيلية </w:t>
      </w:r>
      <w:r w:rsidR="0011199B">
        <w:rPr>
          <w:rFonts w:hint="cs"/>
          <w:rtl/>
          <w:lang w:bidi="ar-EG"/>
        </w:rPr>
        <w:t xml:space="preserve">لأنظمة </w:t>
      </w:r>
      <w:r w:rsidR="00C7644B">
        <w:rPr>
          <w:rFonts w:hint="cs"/>
          <w:rtl/>
          <w:lang w:bidi="ar-EG"/>
        </w:rPr>
        <w:t xml:space="preserve">خدمة استكشاف الأرض الساتلية (النشيطة) التي تستعمل توزيعات </w:t>
      </w:r>
      <w:r w:rsidR="00C7644B" w:rsidRPr="00C7644B">
        <w:rPr>
          <w:rFonts w:hint="cs"/>
          <w:rtl/>
          <w:lang w:bidi="ar-EG"/>
        </w:rPr>
        <w:t>بين</w:t>
      </w:r>
      <w:r w:rsidR="004D6C79">
        <w:rPr>
          <w:rFonts w:hint="cs"/>
          <w:rtl/>
          <w:lang w:bidi="ar-EG"/>
        </w:rPr>
        <w:t> </w:t>
      </w:r>
      <w:r w:rsidR="00C7644B" w:rsidRPr="00C7644B">
        <w:rPr>
          <w:lang w:bidi="ar-EG"/>
        </w:rPr>
        <w:t>MHz</w:t>
      </w:r>
      <w:r w:rsidR="009865C2">
        <w:rPr>
          <w:lang w:bidi="ar-EG"/>
        </w:rPr>
        <w:t> </w:t>
      </w:r>
      <w:r w:rsidR="00C7644B" w:rsidRPr="00C7644B">
        <w:rPr>
          <w:lang w:bidi="ar-EG"/>
        </w:rPr>
        <w:t>432</w:t>
      </w:r>
      <w:r w:rsidR="00C7644B" w:rsidRPr="00C7644B">
        <w:rPr>
          <w:rtl/>
          <w:lang w:bidi="ar-EG"/>
        </w:rPr>
        <w:t xml:space="preserve"> </w:t>
      </w:r>
      <w:r w:rsidR="00C7644B" w:rsidRPr="00C7644B">
        <w:rPr>
          <w:rFonts w:hint="cs"/>
          <w:rtl/>
          <w:lang w:bidi="ar-EG"/>
        </w:rPr>
        <w:t>و</w:t>
      </w:r>
      <w:r w:rsidR="00C7644B" w:rsidRPr="00C7644B">
        <w:rPr>
          <w:lang w:bidi="ar-EG"/>
        </w:rPr>
        <w:t>GHz</w:t>
      </w:r>
      <w:r w:rsidR="009865C2">
        <w:rPr>
          <w:lang w:bidi="ar-EG"/>
        </w:rPr>
        <w:t> </w:t>
      </w:r>
      <w:r w:rsidR="00C7644B" w:rsidRPr="00C7644B">
        <w:rPr>
          <w:lang w:bidi="ar-EG"/>
        </w:rPr>
        <w:t>238</w:t>
      </w:r>
      <w:r w:rsidR="00C7644B">
        <w:rPr>
          <w:rFonts w:hint="cs"/>
          <w:rtl/>
          <w:lang w:bidi="ar-EG"/>
        </w:rPr>
        <w:t xml:space="preserve"> </w:t>
      </w:r>
      <w:r w:rsidR="00654218">
        <w:rPr>
          <w:rFonts w:hint="cs"/>
          <w:rtl/>
          <w:lang w:bidi="ar-EG"/>
        </w:rPr>
        <w:t>لأغراض</w:t>
      </w:r>
      <w:r w:rsidR="009A5C7E">
        <w:rPr>
          <w:rFonts w:hint="cs"/>
          <w:rtl/>
          <w:lang w:bidi="ar-EG"/>
        </w:rPr>
        <w:t xml:space="preserve"> استخدامها في دراسات التقاسم والتوافق.</w:t>
      </w:r>
    </w:p>
    <w:p w:rsidR="00FF4B77" w:rsidRPr="00FD540F" w:rsidRDefault="00FF4B77" w:rsidP="007A6B80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FD540F">
        <w:rPr>
          <w:rFonts w:hint="cs"/>
          <w:u w:val="single"/>
          <w:rtl/>
        </w:rPr>
        <w:t xml:space="preserve">مشروع مراجعة التوصية </w:t>
      </w:r>
      <w:r w:rsidRPr="00FD540F">
        <w:rPr>
          <w:u w:val="single"/>
        </w:rPr>
        <w:t>ITU-R</w:t>
      </w:r>
      <w:r w:rsidR="007A6B80">
        <w:rPr>
          <w:u w:val="single"/>
        </w:rPr>
        <w:t> </w:t>
      </w:r>
      <w:r w:rsidRPr="00FD540F">
        <w:rPr>
          <w:u w:val="single"/>
        </w:rPr>
        <w:t>SA.1155-1</w:t>
      </w:r>
      <w:r w:rsidRPr="00FD540F">
        <w:rPr>
          <w:rFonts w:hint="cs"/>
          <w:rtl/>
          <w:lang w:bidi="ar-EG"/>
        </w:rPr>
        <w:tab/>
        <w:t xml:space="preserve">الوثيقة </w:t>
      </w:r>
      <w:r w:rsidRPr="00FD540F">
        <w:rPr>
          <w:lang w:bidi="ar-EG"/>
        </w:rPr>
        <w:t>7/54</w:t>
      </w:r>
    </w:p>
    <w:p w:rsidR="00FF4B77" w:rsidRPr="0059105E" w:rsidRDefault="00FF4B77" w:rsidP="00FF4B77">
      <w:pPr>
        <w:pStyle w:val="Rectitle"/>
        <w:spacing w:before="240" w:after="240"/>
        <w:rPr>
          <w:rtl/>
        </w:rPr>
      </w:pPr>
      <w:r w:rsidRPr="00B42DB4">
        <w:rPr>
          <w:rtl/>
        </w:rPr>
        <w:t>معايير الحماية الخاصة بتشغيل الأنظمة الساتلية</w:t>
      </w:r>
      <w:r w:rsidRPr="00B42DB4">
        <w:rPr>
          <w:rFonts w:hint="cs"/>
          <w:rtl/>
        </w:rPr>
        <w:t xml:space="preserve"> </w:t>
      </w:r>
      <w:r w:rsidRPr="00B42DB4">
        <w:rPr>
          <w:rtl/>
        </w:rPr>
        <w:t xml:space="preserve">لترحيل </w:t>
      </w:r>
      <w:r w:rsidRPr="00B42DB4">
        <w:rPr>
          <w:rFonts w:hint="cs"/>
          <w:rtl/>
        </w:rPr>
        <w:t>البيانات</w:t>
      </w:r>
    </w:p>
    <w:p w:rsidR="00FF4B77" w:rsidRDefault="00FF4B77" w:rsidP="004D6C79">
      <w:pPr>
        <w:rPr>
          <w:rtl/>
          <w:lang w:bidi="ar-EG"/>
        </w:rPr>
      </w:pPr>
      <w:r>
        <w:rPr>
          <w:rFonts w:eastAsia="SimSun" w:hint="cs"/>
          <w:rtl/>
          <w:lang w:bidi="ar-SY"/>
        </w:rPr>
        <w:t xml:space="preserve">أدخلت هذه المراجعة تعديلات في الفقرة </w:t>
      </w:r>
      <w:r w:rsidRPr="00C4631E">
        <w:rPr>
          <w:rFonts w:eastAsia="SimSun" w:hint="cs"/>
          <w:i/>
          <w:iCs/>
          <w:rtl/>
          <w:lang w:bidi="ar-SY"/>
        </w:rPr>
        <w:t>"إذ تضع في اعتبارها ح)"</w:t>
      </w:r>
      <w:r w:rsidRPr="00C4631E">
        <w:rPr>
          <w:rFonts w:eastAsia="SimSun" w:hint="cs"/>
          <w:rtl/>
          <w:lang w:bidi="ar-SY"/>
        </w:rPr>
        <w:t>من خلال إضافة</w:t>
      </w:r>
      <w:r>
        <w:rPr>
          <w:rFonts w:eastAsia="SimSun" w:hint="cs"/>
          <w:rtl/>
          <w:lang w:bidi="ar-SY"/>
        </w:rPr>
        <w:t xml:space="preserve"> الخدمة ما بين السواتل إلى قائمة الخدمات التي تستعملها الأنظمة الساتلية لترحيل البيانات. وأضيف أيضاً النطاق </w:t>
      </w:r>
      <w:r>
        <w:rPr>
          <w:rFonts w:eastAsia="SimSun"/>
          <w:lang w:bidi="ar-SY"/>
        </w:rPr>
        <w:t>GHz</w:t>
      </w:r>
      <w:r w:rsidR="004D6C79">
        <w:rPr>
          <w:rFonts w:eastAsia="SimSun"/>
          <w:lang w:bidi="ar-SY"/>
        </w:rPr>
        <w:t> </w:t>
      </w:r>
      <w:r>
        <w:rPr>
          <w:rFonts w:eastAsia="SimSun"/>
          <w:lang w:bidi="ar-SY"/>
        </w:rPr>
        <w:t>27-25,5</w:t>
      </w:r>
      <w:r>
        <w:rPr>
          <w:rFonts w:eastAsia="SimSun" w:hint="cs"/>
          <w:rtl/>
          <w:lang w:bidi="ar-SY"/>
        </w:rPr>
        <w:t xml:space="preserve"> في قائمة النطاقات من أجل وصلة التغذية الراجعة للترحيل الساتلي للبيانات</w:t>
      </w:r>
      <w:r w:rsidR="00BD22A4">
        <w:rPr>
          <w:rFonts w:hint="cs"/>
          <w:rtl/>
          <w:lang w:bidi="ar-SY"/>
        </w:rPr>
        <w:t>.</w:t>
      </w:r>
    </w:p>
    <w:p w:rsidR="00BD22A4" w:rsidRPr="00FD540F" w:rsidRDefault="00BD22A4" w:rsidP="007A6B80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FD540F">
        <w:rPr>
          <w:rFonts w:hint="cs"/>
          <w:u w:val="single"/>
          <w:rtl/>
        </w:rPr>
        <w:t xml:space="preserve">مشروع مراجعة التوصية </w:t>
      </w:r>
      <w:r w:rsidRPr="00FD540F">
        <w:rPr>
          <w:u w:val="single"/>
        </w:rPr>
        <w:t>ITU-R</w:t>
      </w:r>
      <w:r w:rsidR="007A6B80">
        <w:rPr>
          <w:u w:val="single"/>
        </w:rPr>
        <w:t> </w:t>
      </w:r>
      <w:r w:rsidRPr="00FD540F">
        <w:rPr>
          <w:u w:val="single"/>
        </w:rPr>
        <w:t>SA.1159-3</w:t>
      </w:r>
      <w:r w:rsidRPr="00FD540F">
        <w:rPr>
          <w:rFonts w:hint="cs"/>
          <w:rtl/>
          <w:lang w:bidi="ar-EG"/>
        </w:rPr>
        <w:tab/>
        <w:t xml:space="preserve">الوثيقة </w:t>
      </w:r>
      <w:r w:rsidRPr="00FD540F">
        <w:rPr>
          <w:lang w:bidi="ar-EG"/>
        </w:rPr>
        <w:t>7/57</w:t>
      </w:r>
    </w:p>
    <w:p w:rsidR="00BD22A4" w:rsidRPr="0059105E" w:rsidRDefault="00842815" w:rsidP="00842815">
      <w:pPr>
        <w:pStyle w:val="Rectitle"/>
        <w:spacing w:before="240" w:after="240"/>
        <w:rPr>
          <w:rtl/>
          <w:lang w:bidi="ar-EG"/>
        </w:rPr>
      </w:pPr>
      <w:r w:rsidRPr="00842815">
        <w:rPr>
          <w:rtl/>
          <w:lang w:bidi="ar-EG"/>
        </w:rPr>
        <w:t>معايير أداء أنظمة نشر البيانات وجمع البيانات والحصول على</w:t>
      </w:r>
      <w:r>
        <w:rPr>
          <w:rtl/>
          <w:lang w:bidi="ar-EG"/>
        </w:rPr>
        <w:t xml:space="preserve"> </w:t>
      </w:r>
      <w:r w:rsidRPr="00842815">
        <w:rPr>
          <w:rtl/>
          <w:lang w:bidi="ar-EG"/>
        </w:rPr>
        <w:t>البيانات مباشرة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br/>
      </w:r>
      <w:r w:rsidRPr="00842815">
        <w:rPr>
          <w:rtl/>
          <w:lang w:bidi="ar-EG"/>
        </w:rPr>
        <w:t>في خدمة استكشاف الأرض الساتلية</w:t>
      </w:r>
      <w:r>
        <w:rPr>
          <w:rtl/>
          <w:lang w:bidi="ar-EG"/>
        </w:rPr>
        <w:t xml:space="preserve"> </w:t>
      </w:r>
      <w:r w:rsidRPr="00842815">
        <w:rPr>
          <w:rtl/>
          <w:lang w:bidi="ar-EG"/>
        </w:rPr>
        <w:t>وخدمة الأرصاد الجوية الساتلية</w:t>
      </w:r>
    </w:p>
    <w:p w:rsidR="00964D4C" w:rsidRPr="0053163A" w:rsidRDefault="008F4DC6" w:rsidP="00756375">
      <w:pPr>
        <w:rPr>
          <w:rtl/>
          <w:lang w:bidi="ar-SY"/>
        </w:rPr>
      </w:pPr>
      <w:r w:rsidRPr="0053163A">
        <w:rPr>
          <w:rFonts w:hint="cs"/>
          <w:rtl/>
          <w:lang w:bidi="ar-SY"/>
        </w:rPr>
        <w:t>تقدم</w:t>
      </w:r>
      <w:r w:rsidR="00AC066A" w:rsidRPr="0053163A">
        <w:rPr>
          <w:rFonts w:hint="cs"/>
          <w:rtl/>
          <w:lang w:bidi="ar-SY"/>
        </w:rPr>
        <w:t xml:space="preserve"> </w:t>
      </w:r>
      <w:r w:rsidRPr="0053163A">
        <w:rPr>
          <w:rFonts w:hint="cs"/>
          <w:rtl/>
          <w:lang w:bidi="ar-SY"/>
        </w:rPr>
        <w:t>هذه المراج</w:t>
      </w:r>
      <w:r w:rsidR="00ED39AF" w:rsidRPr="0053163A">
        <w:rPr>
          <w:rFonts w:hint="cs"/>
          <w:rtl/>
          <w:lang w:bidi="ar-SY"/>
        </w:rPr>
        <w:t>َ</w:t>
      </w:r>
      <w:r w:rsidRPr="0053163A">
        <w:rPr>
          <w:rFonts w:hint="cs"/>
          <w:rtl/>
          <w:lang w:bidi="ar-SY"/>
        </w:rPr>
        <w:t xml:space="preserve">عة </w:t>
      </w:r>
      <w:r w:rsidR="00AC066A" w:rsidRPr="0053163A">
        <w:rPr>
          <w:rFonts w:hint="cs"/>
          <w:rtl/>
          <w:lang w:bidi="ar-SY"/>
        </w:rPr>
        <w:t xml:space="preserve">للتوصية </w:t>
      </w:r>
      <w:r w:rsidRPr="0053163A">
        <w:t>ITU-R</w:t>
      </w:r>
      <w:r w:rsidR="00756375">
        <w:t> </w:t>
      </w:r>
      <w:r w:rsidRPr="0053163A">
        <w:t>SA.1159-3</w:t>
      </w:r>
      <w:r w:rsidRPr="0053163A">
        <w:rPr>
          <w:rFonts w:hint="cs"/>
          <w:rtl/>
        </w:rPr>
        <w:t xml:space="preserve"> </w:t>
      </w:r>
      <w:r w:rsidRPr="0053163A">
        <w:rPr>
          <w:rFonts w:hint="cs"/>
          <w:rtl/>
          <w:lang w:bidi="ar-SY"/>
        </w:rPr>
        <w:t xml:space="preserve">بعض التوضيحات </w:t>
      </w:r>
      <w:r w:rsidR="00991E2D" w:rsidRPr="0053163A">
        <w:rPr>
          <w:rFonts w:hint="cs"/>
          <w:rtl/>
          <w:lang w:bidi="ar-SY"/>
        </w:rPr>
        <w:t>بشأن "</w:t>
      </w:r>
      <w:r w:rsidR="00041ED9" w:rsidRPr="0053163A">
        <w:rPr>
          <w:rFonts w:hint="cs"/>
          <w:rtl/>
          <w:lang w:bidi="ar-SY"/>
        </w:rPr>
        <w:t>وظ</w:t>
      </w:r>
      <w:r w:rsidR="00AE160A">
        <w:rPr>
          <w:rFonts w:hint="cs"/>
          <w:rtl/>
          <w:lang w:bidi="ar-SY"/>
        </w:rPr>
        <w:t>يفة المحطة الأرضية ونوعها" فيما</w:t>
      </w:r>
      <w:r w:rsidR="00AE160A">
        <w:rPr>
          <w:rFonts w:hint="eastAsia"/>
          <w:rtl/>
          <w:lang w:bidi="ar-SY"/>
        </w:rPr>
        <w:t> </w:t>
      </w:r>
      <w:r w:rsidR="00041ED9" w:rsidRPr="0053163A">
        <w:rPr>
          <w:rFonts w:hint="cs"/>
          <w:rtl/>
          <w:lang w:bidi="ar-SY"/>
        </w:rPr>
        <w:t xml:space="preserve">يتعلق ببعض </w:t>
      </w:r>
      <w:r w:rsidR="005E1D94" w:rsidRPr="0053163A">
        <w:rPr>
          <w:rFonts w:hint="cs"/>
          <w:rtl/>
          <w:lang w:bidi="ar-SY"/>
        </w:rPr>
        <w:t xml:space="preserve">نطاقات التردد، </w:t>
      </w:r>
      <w:r w:rsidR="00D116F3" w:rsidRPr="0053163A">
        <w:rPr>
          <w:rFonts w:hint="cs"/>
          <w:rtl/>
          <w:lang w:bidi="ar-SY"/>
        </w:rPr>
        <w:t xml:space="preserve">وتأخذ في الاعتبار، </w:t>
      </w:r>
      <w:r w:rsidR="005E1D94" w:rsidRPr="0053163A">
        <w:rPr>
          <w:rFonts w:hint="cs"/>
          <w:rtl/>
          <w:lang w:bidi="ar-SY"/>
        </w:rPr>
        <w:t>بما يتسق مع لوائح الراديو</w:t>
      </w:r>
      <w:r w:rsidR="00D116F3" w:rsidRPr="0053163A">
        <w:rPr>
          <w:rFonts w:hint="cs"/>
          <w:rtl/>
          <w:lang w:bidi="ar-SY"/>
        </w:rPr>
        <w:t xml:space="preserve">، </w:t>
      </w:r>
      <w:r w:rsidR="00964D4C" w:rsidRPr="0053163A">
        <w:rPr>
          <w:rFonts w:hint="cs"/>
          <w:rtl/>
          <w:lang w:bidi="ar-SY"/>
        </w:rPr>
        <w:t>توسيع</w:t>
      </w:r>
      <w:r w:rsidR="00D116F3" w:rsidRPr="0053163A">
        <w:rPr>
          <w:rFonts w:hint="cs"/>
          <w:rtl/>
          <w:lang w:bidi="ar-SY"/>
        </w:rPr>
        <w:t xml:space="preserve"> النطاق </w:t>
      </w:r>
      <w:r w:rsidR="00D116F3" w:rsidRPr="0053163A">
        <w:t>7</w:t>
      </w:r>
      <w:r w:rsidR="007A6B80">
        <w:t> </w:t>
      </w:r>
      <w:r w:rsidR="00D116F3" w:rsidRPr="0053163A">
        <w:t>750</w:t>
      </w:r>
      <w:r w:rsidR="00D116F3" w:rsidRPr="0053163A">
        <w:rPr>
          <w:rFonts w:hint="cs"/>
          <w:rtl/>
        </w:rPr>
        <w:t>-</w:t>
      </w:r>
      <w:r w:rsidR="007A6B80" w:rsidRPr="0053163A">
        <w:t>MHz</w:t>
      </w:r>
      <w:r w:rsidR="007A6B80">
        <w:t> </w:t>
      </w:r>
      <w:r w:rsidR="00D116F3" w:rsidRPr="0053163A">
        <w:t>7</w:t>
      </w:r>
      <w:r w:rsidR="007A6B80">
        <w:t> </w:t>
      </w:r>
      <w:r w:rsidR="00D116F3" w:rsidRPr="0053163A">
        <w:t>900</w:t>
      </w:r>
      <w:r w:rsidR="00D116F3" w:rsidRPr="0053163A">
        <w:rPr>
          <w:rFonts w:hint="cs"/>
          <w:rtl/>
        </w:rPr>
        <w:t xml:space="preserve"> </w:t>
      </w:r>
      <w:r w:rsidR="00D116F3" w:rsidRPr="0053163A">
        <w:rPr>
          <w:rFonts w:hint="cs"/>
          <w:rtl/>
          <w:lang w:bidi="ar-SY"/>
        </w:rPr>
        <w:t>(فضاء-أرض)</w:t>
      </w:r>
      <w:r w:rsidR="009865C2" w:rsidRPr="0053163A">
        <w:rPr>
          <w:rFonts w:hint="cs"/>
          <w:rtl/>
          <w:lang w:bidi="ar-SY"/>
        </w:rPr>
        <w:t>.</w:t>
      </w:r>
    </w:p>
    <w:p w:rsidR="00BD22A4" w:rsidRPr="00FD540F" w:rsidRDefault="00BD22A4" w:rsidP="007A6B80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D540F">
        <w:rPr>
          <w:rFonts w:hint="cs"/>
          <w:u w:val="single"/>
          <w:rtl/>
        </w:rPr>
        <w:t xml:space="preserve">مشروع مراجعة التوصية </w:t>
      </w:r>
      <w:r w:rsidRPr="00FD540F">
        <w:rPr>
          <w:u w:val="single"/>
        </w:rPr>
        <w:t>ITU-R</w:t>
      </w:r>
      <w:r w:rsidR="007A6B80">
        <w:rPr>
          <w:u w:val="single"/>
        </w:rPr>
        <w:t> </w:t>
      </w:r>
      <w:r w:rsidRPr="00FD540F">
        <w:rPr>
          <w:u w:val="single"/>
        </w:rPr>
        <w:t>SA.1160-2</w:t>
      </w:r>
      <w:r w:rsidRPr="00FD540F">
        <w:rPr>
          <w:rFonts w:hint="cs"/>
          <w:rtl/>
          <w:lang w:bidi="ar-EG"/>
        </w:rPr>
        <w:tab/>
        <w:t xml:space="preserve">الوثيقة </w:t>
      </w:r>
      <w:r w:rsidRPr="00FD540F">
        <w:rPr>
          <w:lang w:bidi="ar-EG"/>
        </w:rPr>
        <w:t>7/58</w:t>
      </w:r>
    </w:p>
    <w:p w:rsidR="007A661C" w:rsidRPr="0059105E" w:rsidRDefault="007A661C" w:rsidP="000A43AB">
      <w:pPr>
        <w:pStyle w:val="Rectitle"/>
        <w:spacing w:before="240" w:after="240"/>
        <w:rPr>
          <w:rtl/>
          <w:lang w:bidi="ar-EG"/>
        </w:rPr>
      </w:pPr>
      <w:r w:rsidRPr="00532D8C">
        <w:rPr>
          <w:rtl/>
          <w:lang w:bidi="ar-EG"/>
        </w:rPr>
        <w:t xml:space="preserve">معايير التداخل </w:t>
      </w:r>
      <w:r>
        <w:rPr>
          <w:rFonts w:hint="cs"/>
          <w:rtl/>
          <w:lang w:bidi="ar-EG"/>
        </w:rPr>
        <w:t>من أجل</w:t>
      </w:r>
      <w:r w:rsidRPr="00532D8C">
        <w:rPr>
          <w:rtl/>
          <w:lang w:bidi="ar-EG"/>
        </w:rPr>
        <w:t xml:space="preserve"> أنظمة </w:t>
      </w:r>
      <w:r w:rsidRPr="00532D8C">
        <w:rPr>
          <w:rFonts w:hint="cs"/>
          <w:rtl/>
          <w:lang w:bidi="ar-EG"/>
        </w:rPr>
        <w:t xml:space="preserve">نشر البيانات </w:t>
      </w:r>
      <w:r w:rsidR="00842815">
        <w:rPr>
          <w:rFonts w:hint="cs"/>
          <w:rtl/>
          <w:lang w:bidi="ar-EG"/>
        </w:rPr>
        <w:t>والقراءة</w:t>
      </w:r>
      <w:r w:rsidRPr="004D6214">
        <w:rPr>
          <w:rFonts w:hint="cs"/>
          <w:rtl/>
          <w:lang w:bidi="ar-EG"/>
        </w:rPr>
        <w:t xml:space="preserve"> المباشرة</w:t>
      </w:r>
      <w:r>
        <w:rPr>
          <w:rFonts w:hint="cs"/>
          <w:rtl/>
          <w:lang w:bidi="ar-EG"/>
        </w:rPr>
        <w:t xml:space="preserve"> </w:t>
      </w:r>
      <w:r w:rsidR="00842815">
        <w:rPr>
          <w:rFonts w:hint="cs"/>
          <w:rtl/>
          <w:lang w:bidi="ar-EG"/>
        </w:rPr>
        <w:t>لها</w:t>
      </w:r>
      <w:r w:rsidR="000A43AB">
        <w:rPr>
          <w:rtl/>
          <w:lang w:bidi="ar-EG"/>
        </w:rPr>
        <w:br/>
      </w:r>
      <w:r w:rsidRPr="00532D8C">
        <w:rPr>
          <w:rFonts w:hint="cs"/>
          <w:rtl/>
          <w:lang w:bidi="ar-EG"/>
        </w:rPr>
        <w:t>في</w:t>
      </w:r>
      <w:r w:rsidR="009865C2">
        <w:rPr>
          <w:rFonts w:hint="cs"/>
          <w:rtl/>
          <w:lang w:bidi="ar-EG"/>
        </w:rPr>
        <w:t> </w:t>
      </w:r>
      <w:r w:rsidRPr="00532D8C">
        <w:rPr>
          <w:rtl/>
          <w:lang w:bidi="ar-EG"/>
        </w:rPr>
        <w:t>خدمة استكشاف الأرض</w:t>
      </w:r>
      <w:r>
        <w:rPr>
          <w:rFonts w:hint="cs"/>
          <w:rtl/>
          <w:lang w:bidi="ar-EG"/>
        </w:rPr>
        <w:t xml:space="preserve"> الساتلية</w:t>
      </w:r>
      <w:r w:rsidRPr="00532D8C">
        <w:rPr>
          <w:rtl/>
          <w:lang w:bidi="ar-EG"/>
        </w:rPr>
        <w:t xml:space="preserve"> وخدمة الأرصاد الجوية الساتلية</w:t>
      </w:r>
      <w:r w:rsidR="009865C2">
        <w:rPr>
          <w:rtl/>
          <w:lang w:bidi="ar-EG"/>
        </w:rPr>
        <w:br/>
      </w:r>
      <w:r w:rsidRPr="00532D8C">
        <w:rPr>
          <w:rFonts w:hint="cs"/>
          <w:rtl/>
          <w:lang w:bidi="ar-EG"/>
        </w:rPr>
        <w:t>التي تستخدم سواتل في المدار المستقر بالنسبة إلى الأرض</w:t>
      </w:r>
    </w:p>
    <w:p w:rsidR="00D42F42" w:rsidRPr="000E25F8" w:rsidRDefault="00D42F42" w:rsidP="00842815">
      <w:pPr>
        <w:rPr>
          <w:rFonts w:eastAsia="SimSun"/>
          <w:spacing w:val="-4"/>
          <w:rtl/>
          <w:lang w:bidi="ar-EG"/>
        </w:rPr>
      </w:pPr>
      <w:r w:rsidRPr="000E25F8">
        <w:rPr>
          <w:rFonts w:eastAsia="SimSun" w:hint="cs"/>
          <w:spacing w:val="-4"/>
          <w:rtl/>
          <w:lang w:bidi="ar-SY"/>
        </w:rPr>
        <w:t xml:space="preserve">تتضمن هذه المراجَعة للتوصية </w:t>
      </w:r>
      <w:r w:rsidRPr="000E25F8">
        <w:rPr>
          <w:rFonts w:eastAsia="SimSun"/>
          <w:spacing w:val="-4"/>
        </w:rPr>
        <w:t>ITU-R</w:t>
      </w:r>
      <w:r w:rsidR="00E112AC">
        <w:rPr>
          <w:rFonts w:eastAsia="SimSun"/>
          <w:spacing w:val="-4"/>
        </w:rPr>
        <w:t> </w:t>
      </w:r>
      <w:r w:rsidRPr="000E25F8">
        <w:rPr>
          <w:rFonts w:eastAsia="SimSun"/>
          <w:spacing w:val="-4"/>
        </w:rPr>
        <w:t>SA.</w:t>
      </w:r>
      <w:r>
        <w:rPr>
          <w:rFonts w:eastAsia="SimSun"/>
          <w:spacing w:val="-4"/>
        </w:rPr>
        <w:t>1160</w:t>
      </w:r>
      <w:r w:rsidRPr="000E25F8">
        <w:rPr>
          <w:rFonts w:eastAsia="SimSun" w:hint="cs"/>
          <w:spacing w:val="-4"/>
          <w:rtl/>
        </w:rPr>
        <w:t xml:space="preserve"> أنظمة مرجعية جديدة في</w:t>
      </w:r>
      <w:r w:rsidRPr="000E25F8">
        <w:rPr>
          <w:rFonts w:eastAsia="SimSun" w:hint="eastAsia"/>
          <w:spacing w:val="-4"/>
          <w:rtl/>
        </w:rPr>
        <w:t> </w:t>
      </w:r>
      <w:r>
        <w:rPr>
          <w:rFonts w:eastAsia="SimSun" w:hint="cs"/>
          <w:spacing w:val="-4"/>
          <w:rtl/>
        </w:rPr>
        <w:t>النطاق</w:t>
      </w:r>
      <w:r w:rsidRPr="000E25F8">
        <w:rPr>
          <w:rFonts w:eastAsia="SimSun" w:hint="eastAsia"/>
          <w:spacing w:val="-4"/>
          <w:rtl/>
        </w:rPr>
        <w:t> </w:t>
      </w:r>
      <w:r>
        <w:rPr>
          <w:rFonts w:eastAsia="SimSun"/>
          <w:spacing w:val="-4"/>
        </w:rPr>
        <w:t>G</w:t>
      </w:r>
      <w:r w:rsidRPr="000E25F8">
        <w:rPr>
          <w:rFonts w:eastAsia="SimSun"/>
          <w:spacing w:val="-4"/>
        </w:rPr>
        <w:t>Hz </w:t>
      </w:r>
      <w:r>
        <w:rPr>
          <w:rFonts w:eastAsia="SimSun"/>
          <w:spacing w:val="-4"/>
        </w:rPr>
        <w:t>27</w:t>
      </w:r>
      <w:r w:rsidRPr="000E25F8">
        <w:rPr>
          <w:rFonts w:eastAsia="SimSun"/>
          <w:spacing w:val="-4"/>
        </w:rPr>
        <w:noBreakHyphen/>
      </w:r>
      <w:r>
        <w:rPr>
          <w:rFonts w:eastAsia="SimSun"/>
          <w:spacing w:val="-4"/>
        </w:rPr>
        <w:t>25,5</w:t>
      </w:r>
      <w:r w:rsidRPr="000E25F8">
        <w:rPr>
          <w:rFonts w:eastAsia="SimSun" w:hint="cs"/>
          <w:spacing w:val="-4"/>
          <w:rtl/>
        </w:rPr>
        <w:t xml:space="preserve"> و</w:t>
      </w:r>
      <w:r w:rsidR="00AE2FEE">
        <w:rPr>
          <w:rFonts w:eastAsia="SimSun" w:hint="cs"/>
          <w:spacing w:val="-4"/>
          <w:rtl/>
        </w:rPr>
        <w:t xml:space="preserve">تلغي النظام </w:t>
      </w:r>
      <w:r w:rsidR="00AE2FEE" w:rsidRPr="00AE2FEE">
        <w:rPr>
          <w:rFonts w:eastAsia="SimSun"/>
          <w:spacing w:val="-4"/>
        </w:rPr>
        <w:t>WEFAX</w:t>
      </w:r>
      <w:r w:rsidR="00AE2FEE" w:rsidRPr="00AE2FEE">
        <w:rPr>
          <w:rFonts w:eastAsia="SimSun"/>
          <w:spacing w:val="-4"/>
          <w:rtl/>
        </w:rPr>
        <w:t xml:space="preserve"> </w:t>
      </w:r>
      <w:r w:rsidR="00AE2FEE">
        <w:rPr>
          <w:rFonts w:eastAsia="SimSun" w:hint="cs"/>
          <w:spacing w:val="-4"/>
          <w:rtl/>
        </w:rPr>
        <w:t xml:space="preserve">لنشر البيانات </w:t>
      </w:r>
      <w:r w:rsidR="00CF3F63">
        <w:rPr>
          <w:rFonts w:eastAsia="SimSun" w:hint="cs"/>
          <w:spacing w:val="-4"/>
          <w:rtl/>
        </w:rPr>
        <w:t>وتبسِّط</w:t>
      </w:r>
      <w:r w:rsidRPr="000E25F8">
        <w:rPr>
          <w:rFonts w:eastAsia="SimSun" w:hint="cs"/>
          <w:spacing w:val="-4"/>
          <w:rtl/>
        </w:rPr>
        <w:t xml:space="preserve"> الأحكام الحالية من خلال اقتراح معيار </w:t>
      </w:r>
      <w:r w:rsidR="00842815">
        <w:rPr>
          <w:rFonts w:eastAsia="SimSun" w:hint="cs"/>
          <w:spacing w:val="-4"/>
          <w:rtl/>
        </w:rPr>
        <w:t>وحيد</w:t>
      </w:r>
      <w:r w:rsidRPr="000E25F8">
        <w:rPr>
          <w:rFonts w:eastAsia="SimSun" w:hint="cs"/>
          <w:spacing w:val="-4"/>
          <w:rtl/>
        </w:rPr>
        <w:t xml:space="preserve"> للتداخل الكلي لكل نطاق تردد.</w:t>
      </w:r>
    </w:p>
    <w:p w:rsidR="005575D1" w:rsidRPr="00FD540F" w:rsidRDefault="005575D1" w:rsidP="00E37284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D540F">
        <w:rPr>
          <w:rFonts w:hint="cs"/>
          <w:u w:val="single"/>
          <w:rtl/>
        </w:rPr>
        <w:lastRenderedPageBreak/>
        <w:t xml:space="preserve">مشروع مراجعة التوصية </w:t>
      </w:r>
      <w:r w:rsidRPr="00FD540F">
        <w:rPr>
          <w:u w:val="single"/>
        </w:rPr>
        <w:t>ITU-R</w:t>
      </w:r>
      <w:r w:rsidR="00E37284">
        <w:rPr>
          <w:u w:val="single"/>
        </w:rPr>
        <w:t> </w:t>
      </w:r>
      <w:r w:rsidRPr="00FD540F">
        <w:rPr>
          <w:u w:val="single"/>
        </w:rPr>
        <w:t>SA.1414-1</w:t>
      </w:r>
      <w:r w:rsidRPr="00FD540F">
        <w:rPr>
          <w:rFonts w:hint="cs"/>
          <w:rtl/>
          <w:lang w:bidi="ar-EG"/>
        </w:rPr>
        <w:tab/>
        <w:t xml:space="preserve">الوثيقة </w:t>
      </w:r>
      <w:r w:rsidRPr="00FD540F">
        <w:rPr>
          <w:lang w:bidi="ar-EG"/>
        </w:rPr>
        <w:t>7/53</w:t>
      </w:r>
    </w:p>
    <w:p w:rsidR="005575D1" w:rsidRPr="0059105E" w:rsidRDefault="005575D1" w:rsidP="005575D1">
      <w:pPr>
        <w:pStyle w:val="Rectitle"/>
        <w:spacing w:before="240" w:after="240"/>
        <w:rPr>
          <w:rtl/>
        </w:rPr>
      </w:pPr>
      <w:r w:rsidRPr="006D3322">
        <w:rPr>
          <w:rFonts w:hint="cs"/>
          <w:rtl/>
        </w:rPr>
        <w:t>خصائص الأنظمة الساتلية لترحيل البيانات</w:t>
      </w:r>
    </w:p>
    <w:p w:rsidR="005575D1" w:rsidRDefault="005575D1" w:rsidP="003C0D60">
      <w:pPr>
        <w:rPr>
          <w:rFonts w:eastAsia="SimSun"/>
          <w:rtl/>
        </w:rPr>
      </w:pPr>
      <w:r w:rsidRPr="00DE17DA">
        <w:rPr>
          <w:rFonts w:eastAsia="SimSun" w:hint="cs"/>
          <w:rtl/>
          <w:lang w:bidi="ar-SY"/>
        </w:rPr>
        <w:t xml:space="preserve">روجعت التوصية </w:t>
      </w:r>
      <w:r w:rsidRPr="00DE17DA">
        <w:rPr>
          <w:rFonts w:eastAsia="SimSun"/>
        </w:rPr>
        <w:t>ITU-R</w:t>
      </w:r>
      <w:r w:rsidR="003C0D60">
        <w:rPr>
          <w:rFonts w:eastAsia="SimSun"/>
        </w:rPr>
        <w:t> </w:t>
      </w:r>
      <w:r w:rsidRPr="00DE17DA">
        <w:rPr>
          <w:rFonts w:eastAsia="SimSun"/>
        </w:rPr>
        <w:t>SA.1414-1</w:t>
      </w:r>
      <w:r>
        <w:rPr>
          <w:rFonts w:eastAsia="SimSun" w:hint="cs"/>
          <w:rtl/>
        </w:rPr>
        <w:t xml:space="preserve"> من أجل تحديث خصائص النظام الساتلي الأوروبي</w:t>
      </w:r>
      <w:r w:rsidR="0012361E">
        <w:rPr>
          <w:rFonts w:eastAsia="SimSun" w:hint="cs"/>
          <w:rtl/>
        </w:rPr>
        <w:t xml:space="preserve"> لترحيل البيانات و</w:t>
      </w:r>
      <w:r w:rsidR="00992A7B">
        <w:rPr>
          <w:rFonts w:eastAsia="SimSun" w:hint="cs"/>
          <w:rtl/>
        </w:rPr>
        <w:t>ال</w:t>
      </w:r>
      <w:r w:rsidR="0012361E">
        <w:rPr>
          <w:rFonts w:eastAsia="SimSun" w:hint="cs"/>
          <w:rtl/>
        </w:rPr>
        <w:t xml:space="preserve">نظام </w:t>
      </w:r>
      <w:r w:rsidR="00992A7B">
        <w:rPr>
          <w:rFonts w:eastAsia="SimSun" w:hint="cs"/>
          <w:rtl/>
        </w:rPr>
        <w:t>الساتلي ل</w:t>
      </w:r>
      <w:r w:rsidR="0012361E">
        <w:rPr>
          <w:rFonts w:eastAsia="SimSun" w:hint="cs"/>
          <w:rtl/>
        </w:rPr>
        <w:t>لاتحاد الروسي لترحيل البيانات.</w:t>
      </w:r>
    </w:p>
    <w:p w:rsidR="007200BA" w:rsidRPr="00FD540F" w:rsidRDefault="007200BA" w:rsidP="0054273B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D540F">
        <w:rPr>
          <w:rFonts w:hint="cs"/>
          <w:u w:val="single"/>
          <w:rtl/>
        </w:rPr>
        <w:t xml:space="preserve">مشروع مراجعة التوصية </w:t>
      </w:r>
      <w:r w:rsidRPr="00FD540F">
        <w:rPr>
          <w:u w:val="single"/>
        </w:rPr>
        <w:t>ITU-R</w:t>
      </w:r>
      <w:r w:rsidR="0054273B">
        <w:rPr>
          <w:u w:val="single"/>
        </w:rPr>
        <w:t> </w:t>
      </w:r>
      <w:r w:rsidRPr="00FD540F">
        <w:rPr>
          <w:u w:val="single"/>
        </w:rPr>
        <w:t>SA.1810-0</w:t>
      </w:r>
      <w:r w:rsidRPr="00FD540F">
        <w:rPr>
          <w:rFonts w:hint="cs"/>
          <w:rtl/>
          <w:lang w:bidi="ar-EG"/>
        </w:rPr>
        <w:tab/>
        <w:t xml:space="preserve">الوثيقة </w:t>
      </w:r>
      <w:r w:rsidRPr="00FD540F">
        <w:rPr>
          <w:lang w:bidi="ar-EG"/>
        </w:rPr>
        <w:t>7/55</w:t>
      </w:r>
    </w:p>
    <w:p w:rsidR="007200BA" w:rsidRPr="007200BA" w:rsidRDefault="007200BA" w:rsidP="009865C2">
      <w:pPr>
        <w:pStyle w:val="Rectitle"/>
        <w:spacing w:before="240" w:after="240"/>
        <w:rPr>
          <w:rtl/>
          <w:lang w:val="fr-CH"/>
        </w:rPr>
      </w:pPr>
      <w:r w:rsidRPr="00B678F9">
        <w:rPr>
          <w:rFonts w:hint="cs"/>
          <w:rtl/>
        </w:rPr>
        <w:t>مبادئ توجيهية لتصميم الأنظمة الساتلية لاستكشاف الأرض العاملة</w:t>
      </w:r>
      <w:r w:rsidR="009865C2">
        <w:rPr>
          <w:rtl/>
        </w:rPr>
        <w:br/>
      </w:r>
      <w:r w:rsidRPr="00B678F9">
        <w:rPr>
          <w:rFonts w:hint="cs"/>
          <w:rtl/>
        </w:rPr>
        <w:t xml:space="preserve">في النطاق </w:t>
      </w:r>
      <w:r w:rsidRPr="00B678F9">
        <w:rPr>
          <w:lang w:val="fr-CH"/>
        </w:rPr>
        <w:t>MHz 8 400</w:t>
      </w:r>
      <w:r w:rsidRPr="00B678F9">
        <w:rPr>
          <w:lang w:val="fr-CH"/>
        </w:rPr>
        <w:noBreakHyphen/>
        <w:t>8 025</w:t>
      </w:r>
    </w:p>
    <w:p w:rsidR="007200BA" w:rsidRPr="00357E6F" w:rsidRDefault="00737513" w:rsidP="009865C2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SY"/>
        </w:rPr>
        <w:t xml:space="preserve">الهدف من هذه المراجعة إدراج مختلف حدود كثافة </w:t>
      </w:r>
      <w:r w:rsidR="00872C52">
        <w:rPr>
          <w:rFonts w:eastAsia="SimSun" w:hint="cs"/>
          <w:rtl/>
          <w:lang w:bidi="ar-SY"/>
        </w:rPr>
        <w:t xml:space="preserve">تدفق </w:t>
      </w:r>
      <w:r>
        <w:rPr>
          <w:rFonts w:eastAsia="SimSun" w:hint="cs"/>
          <w:rtl/>
          <w:lang w:bidi="ar-SY"/>
        </w:rPr>
        <w:t xml:space="preserve">القدرة </w:t>
      </w:r>
      <w:r w:rsidR="00872C52">
        <w:rPr>
          <w:rFonts w:eastAsia="SimSun" w:hint="cs"/>
          <w:rtl/>
          <w:lang w:bidi="ar-SY"/>
        </w:rPr>
        <w:t>حسب نوع الهوائي (</w:t>
      </w:r>
      <w:r w:rsidR="00F24367">
        <w:rPr>
          <w:rFonts w:eastAsia="SimSun" w:hint="cs"/>
          <w:rtl/>
          <w:lang w:bidi="ar-SY"/>
        </w:rPr>
        <w:t>اتجاهي وياغي وشامل الاتجاهات</w:t>
      </w:r>
      <w:r w:rsidR="00872C52">
        <w:rPr>
          <w:rFonts w:eastAsia="SimSun" w:hint="cs"/>
          <w:rtl/>
          <w:lang w:bidi="ar-SY"/>
        </w:rPr>
        <w:t>)</w:t>
      </w:r>
      <w:r w:rsidR="008B1028">
        <w:rPr>
          <w:rFonts w:eastAsia="SimSun" w:hint="cs"/>
          <w:rtl/>
          <w:lang w:bidi="ar-SY"/>
        </w:rPr>
        <w:t xml:space="preserve">؛ وتضييق حدود كثافة تدفق القدرة </w:t>
      </w:r>
      <w:r w:rsidR="00A50F58">
        <w:rPr>
          <w:rFonts w:eastAsia="SimSun" w:hint="cs"/>
          <w:rtl/>
          <w:lang w:bidi="ar-SY"/>
        </w:rPr>
        <w:t xml:space="preserve">للهوائيات الاتجاهية في المناطق القطبية؛ وتغيير عرض النطاق المرجعي من </w:t>
      </w:r>
      <w:r w:rsidR="00A50F58" w:rsidRPr="000346F9">
        <w:rPr>
          <w:rFonts w:asciiTheme="minorHAnsi" w:hAnsiTheme="minorHAnsi" w:cstheme="minorHAnsi"/>
          <w:sz w:val="24"/>
          <w:szCs w:val="24"/>
        </w:rPr>
        <w:t>MHz</w:t>
      </w:r>
      <w:r w:rsidR="009865C2">
        <w:rPr>
          <w:rFonts w:asciiTheme="minorHAnsi" w:hAnsiTheme="minorHAnsi" w:cstheme="minorHAnsi"/>
          <w:sz w:val="24"/>
          <w:szCs w:val="24"/>
        </w:rPr>
        <w:t> 1</w:t>
      </w:r>
      <w:r w:rsidR="009865C2">
        <w:rPr>
          <w:rFonts w:eastAsia="SimSun" w:hint="cs"/>
          <w:rtl/>
          <w:lang w:bidi="ar-SY"/>
        </w:rPr>
        <w:t xml:space="preserve"> </w:t>
      </w:r>
      <w:r w:rsidR="00A50F58">
        <w:rPr>
          <w:rFonts w:eastAsia="SimSun" w:hint="cs"/>
          <w:rtl/>
          <w:lang w:bidi="ar-SY"/>
        </w:rPr>
        <w:t xml:space="preserve">إلى </w:t>
      </w:r>
      <w:r w:rsidR="00A50F58" w:rsidRPr="000346F9">
        <w:rPr>
          <w:rFonts w:asciiTheme="minorHAnsi" w:hAnsiTheme="minorHAnsi" w:cstheme="minorHAnsi"/>
          <w:sz w:val="24"/>
          <w:szCs w:val="24"/>
        </w:rPr>
        <w:t>kHz</w:t>
      </w:r>
      <w:r w:rsidR="009865C2">
        <w:rPr>
          <w:rFonts w:asciiTheme="minorHAnsi" w:hAnsiTheme="minorHAnsi" w:cstheme="minorHAnsi"/>
          <w:sz w:val="24"/>
          <w:szCs w:val="24"/>
        </w:rPr>
        <w:t> 4</w:t>
      </w:r>
      <w:r w:rsidR="009865C2">
        <w:rPr>
          <w:rFonts w:eastAsia="SimSun" w:hint="cs"/>
          <w:rtl/>
          <w:lang w:bidi="ar-SY"/>
        </w:rPr>
        <w:t xml:space="preserve"> </w:t>
      </w:r>
      <w:r w:rsidR="00992A7B">
        <w:rPr>
          <w:rFonts w:eastAsia="SimSun" w:hint="cs"/>
          <w:rtl/>
          <w:lang w:bidi="ar-SY"/>
        </w:rPr>
        <w:t>لأغراض</w:t>
      </w:r>
      <w:r w:rsidR="00357E6F" w:rsidRPr="00357E6F">
        <w:rPr>
          <w:rFonts w:eastAsia="SimSun" w:hint="cs"/>
          <w:rtl/>
          <w:lang w:bidi="ar-SY"/>
        </w:rPr>
        <w:t xml:space="preserve"> المواءمة مع </w:t>
      </w:r>
      <w:r w:rsidR="00357E6F">
        <w:rPr>
          <w:rFonts w:eastAsia="SimSun" w:hint="cs"/>
          <w:rtl/>
          <w:lang w:bidi="ar-SY"/>
        </w:rPr>
        <w:t xml:space="preserve">الجدول </w:t>
      </w:r>
      <w:r w:rsidR="00357E6F" w:rsidRPr="000346F9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357E6F">
        <w:rPr>
          <w:rFonts w:asciiTheme="minorHAnsi" w:hAnsiTheme="minorHAnsi" w:cstheme="minorHAnsi" w:hint="cs"/>
          <w:b/>
          <w:bCs/>
          <w:sz w:val="24"/>
          <w:szCs w:val="24"/>
          <w:rtl/>
        </w:rPr>
        <w:t>-</w:t>
      </w:r>
      <w:r w:rsidR="00357E6F" w:rsidRPr="000346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865C2">
        <w:rPr>
          <w:rFonts w:eastAsia="SimSun" w:hint="cs"/>
          <w:rtl/>
          <w:lang w:bidi="ar-EG"/>
        </w:rPr>
        <w:t xml:space="preserve"> </w:t>
      </w:r>
      <w:r w:rsidR="00357E6F">
        <w:rPr>
          <w:rFonts w:eastAsia="SimSun" w:hint="cs"/>
          <w:rtl/>
          <w:lang w:bidi="ar-SY"/>
        </w:rPr>
        <w:t xml:space="preserve">من لوائح الراديو؛ </w:t>
      </w:r>
      <w:r w:rsidR="00992A7B">
        <w:rPr>
          <w:rFonts w:eastAsia="SimSun" w:hint="cs"/>
          <w:rtl/>
          <w:lang w:bidi="ar-SY"/>
        </w:rPr>
        <w:t>و</w:t>
      </w:r>
      <w:r w:rsidR="00572123">
        <w:rPr>
          <w:rFonts w:eastAsia="SimSun" w:hint="cs"/>
          <w:rtl/>
          <w:lang w:bidi="ar-SY"/>
        </w:rPr>
        <w:t>رفع</w:t>
      </w:r>
      <w:r w:rsidR="00357E6F">
        <w:rPr>
          <w:rFonts w:eastAsia="SimSun" w:hint="cs"/>
          <w:rtl/>
          <w:lang w:bidi="ar-SY"/>
        </w:rPr>
        <w:t xml:space="preserve"> القيود المفروضة على </w:t>
      </w:r>
      <w:r w:rsidR="00F276E2">
        <w:rPr>
          <w:rFonts w:eastAsia="SimSun" w:hint="cs"/>
          <w:rtl/>
          <w:lang w:bidi="ar-SY"/>
        </w:rPr>
        <w:t xml:space="preserve">تقنيات </w:t>
      </w:r>
      <w:r w:rsidR="000E1C58">
        <w:rPr>
          <w:rFonts w:eastAsia="SimSun" w:hint="cs"/>
          <w:rtl/>
          <w:lang w:bidi="ar-SY"/>
        </w:rPr>
        <w:t>التشكيل المتطورة من مرتبة أعلى.</w:t>
      </w:r>
    </w:p>
    <w:p w:rsidR="00BD22A4" w:rsidRDefault="00BD22A4" w:rsidP="00FF4B77">
      <w:pPr>
        <w:rPr>
          <w:rtl/>
        </w:rPr>
      </w:pPr>
    </w:p>
    <w:p w:rsidR="00FD540F" w:rsidRDefault="00FD540F" w:rsidP="00153A3B">
      <w:pPr>
        <w:pStyle w:val="AnnexNo"/>
        <w:spacing w:after="0"/>
        <w:rPr>
          <w:rtl/>
        </w:rPr>
      </w:pPr>
      <w:r>
        <w:rPr>
          <w:rtl/>
        </w:rPr>
        <w:br w:type="page"/>
      </w:r>
    </w:p>
    <w:p w:rsidR="008D3F8E" w:rsidRPr="003D7886" w:rsidRDefault="008D3F8E" w:rsidP="00153A3B">
      <w:pPr>
        <w:pStyle w:val="AnnexNo"/>
        <w:spacing w:after="0"/>
        <w:rPr>
          <w:rtl/>
          <w:lang w:bidi="ar-SA"/>
        </w:rPr>
      </w:pPr>
      <w:r w:rsidRPr="008D3F8E">
        <w:rPr>
          <w:rFonts w:hint="cs"/>
          <w:rtl/>
        </w:rPr>
        <w:lastRenderedPageBreak/>
        <w:t xml:space="preserve">ال‍ملحـق </w:t>
      </w:r>
      <w:r w:rsidRPr="008D3F8E">
        <w:rPr>
          <w:lang w:val="en-GB" w:bidi="ar-SA"/>
        </w:rPr>
        <w:t>2</w:t>
      </w:r>
    </w:p>
    <w:p w:rsidR="008D3F8E" w:rsidRPr="008D3F8E" w:rsidRDefault="008D3F8E" w:rsidP="006073A4">
      <w:pPr>
        <w:spacing w:before="0"/>
        <w:jc w:val="center"/>
        <w:rPr>
          <w:rtl/>
        </w:rPr>
      </w:pPr>
      <w:r w:rsidRPr="008D3F8E">
        <w:rPr>
          <w:rFonts w:hint="cs"/>
          <w:rtl/>
        </w:rPr>
        <w:t>(ال</w:t>
      </w:r>
      <w:r w:rsidR="008D7155">
        <w:rPr>
          <w:rFonts w:hint="cs"/>
          <w:rtl/>
        </w:rPr>
        <w:t>‍</w:t>
      </w:r>
      <w:r w:rsidRPr="008D3F8E">
        <w:rPr>
          <w:rFonts w:hint="cs"/>
          <w:rtl/>
        </w:rPr>
        <w:t xml:space="preserve">مصدر: الوثيقة </w:t>
      </w:r>
      <w:r w:rsidR="006073A4">
        <w:t>7</w:t>
      </w:r>
      <w:r w:rsidRPr="008D3F8E">
        <w:t>/</w:t>
      </w:r>
      <w:r w:rsidR="006073A4">
        <w:t>56</w:t>
      </w:r>
      <w:r w:rsidR="006073A4">
        <w:rPr>
          <w:rFonts w:hint="cs"/>
          <w:rtl/>
        </w:rPr>
        <w:t>)</w:t>
      </w:r>
    </w:p>
    <w:p w:rsidR="008D3F8E" w:rsidRDefault="008D3F8E" w:rsidP="001023E1">
      <w:pPr>
        <w:pStyle w:val="Annextitle"/>
        <w:spacing w:before="240"/>
        <w:rPr>
          <w:rtl/>
          <w:lang w:bidi="ar-SA"/>
        </w:rPr>
      </w:pPr>
      <w:r w:rsidRPr="008D3F8E">
        <w:rPr>
          <w:rFonts w:hint="cs"/>
          <w:rtl/>
        </w:rPr>
        <w:t>التوصي</w:t>
      </w:r>
      <w:r w:rsidR="001023E1">
        <w:rPr>
          <w:rFonts w:hint="cs"/>
          <w:rtl/>
        </w:rPr>
        <w:t>تان</w:t>
      </w:r>
      <w:r w:rsidRPr="008D3F8E">
        <w:rPr>
          <w:rFonts w:hint="cs"/>
          <w:rtl/>
        </w:rPr>
        <w:t xml:space="preserve"> المقترح إلغاؤه</w:t>
      </w:r>
      <w:r w:rsidR="001023E1">
        <w:rPr>
          <w:rFonts w:hint="cs"/>
          <w:rtl/>
        </w:rPr>
        <w:t>م</w:t>
      </w:r>
      <w:r w:rsidRPr="008D3F8E">
        <w:rPr>
          <w:rFonts w:hint="cs"/>
          <w:rtl/>
        </w:rPr>
        <w:t>ا</w:t>
      </w:r>
    </w:p>
    <w:tbl>
      <w:tblPr>
        <w:bidiVisual/>
        <w:tblW w:w="9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051C59" w:rsidRPr="00A27831" w:rsidTr="00A27831">
        <w:trPr>
          <w:cantSplit/>
          <w:tblHeader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59" w:rsidRPr="00A27831" w:rsidRDefault="00F67017" w:rsidP="00A44580">
            <w:pPr>
              <w:spacing w:before="80" w:after="80"/>
              <w:jc w:val="center"/>
              <w:rPr>
                <w:b/>
                <w:bCs/>
                <w:lang w:bidi="ar-EG"/>
              </w:rPr>
            </w:pPr>
            <w:r w:rsidRPr="00A27831">
              <w:rPr>
                <w:rFonts w:hint="cs"/>
                <w:b/>
                <w:bCs/>
                <w:rtl/>
                <w:lang w:bidi="ar-EG"/>
              </w:rPr>
              <w:t>توصية قطاع الاتصالات الراديوية</w:t>
            </w:r>
            <w:r w:rsidR="00A8230F" w:rsidRPr="00A27831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A8230F" w:rsidRPr="00A27831">
              <w:rPr>
                <w:b/>
                <w:bCs/>
                <w:lang w:bidi="ar-EG"/>
              </w:rPr>
              <w:t>(ITU-R)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59" w:rsidRPr="00A27831" w:rsidRDefault="00F67017" w:rsidP="00A44580">
            <w:pPr>
              <w:spacing w:before="80" w:after="80"/>
              <w:jc w:val="center"/>
              <w:rPr>
                <w:b/>
                <w:bCs/>
                <w:lang w:bidi="ar-EG"/>
              </w:rPr>
            </w:pPr>
            <w:r w:rsidRPr="00A27831">
              <w:rPr>
                <w:rFonts w:hint="cs"/>
                <w:b/>
                <w:bCs/>
                <w:rtl/>
                <w:lang w:bidi="ar-EG"/>
              </w:rPr>
              <w:t>العنوان</w:t>
            </w:r>
          </w:p>
        </w:tc>
      </w:tr>
      <w:tr w:rsidR="00A27831" w:rsidRPr="00A27831" w:rsidTr="00A27831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831" w:rsidRPr="00A27831" w:rsidRDefault="00A27831" w:rsidP="00A27831">
            <w:pPr>
              <w:pStyle w:val="Tabletext"/>
              <w:bidi/>
              <w:spacing w:before="80" w:after="80" w:line="260" w:lineRule="exact"/>
              <w:jc w:val="center"/>
              <w:rPr>
                <w:rFonts w:ascii="Calibri" w:hAnsi="Calibri" w:cs="Traditional Arabic"/>
                <w:bCs/>
                <w:szCs w:val="30"/>
              </w:rPr>
            </w:pPr>
            <w:r w:rsidRPr="00A27831">
              <w:rPr>
                <w:rFonts w:ascii="Calibri" w:hAnsi="Calibri" w:cs="Traditional Arabic"/>
                <w:bCs/>
                <w:szCs w:val="30"/>
              </w:rPr>
              <w:t>SA.1025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831" w:rsidRPr="00A27831" w:rsidRDefault="00A27831" w:rsidP="00A44580">
            <w:pPr>
              <w:pStyle w:val="Tabletext"/>
              <w:bidi/>
              <w:spacing w:before="80" w:after="80" w:line="260" w:lineRule="exact"/>
              <w:ind w:right="113"/>
              <w:jc w:val="both"/>
              <w:rPr>
                <w:rFonts w:ascii="Calibri" w:hAnsi="Calibri" w:cs="Traditional Arabic"/>
                <w:szCs w:val="30"/>
              </w:rPr>
            </w:pPr>
            <w:r w:rsidRPr="00A27831">
              <w:rPr>
                <w:rFonts w:ascii="Calibri" w:hAnsi="Calibri" w:cs="Traditional Arabic"/>
                <w:szCs w:val="30"/>
                <w:rtl/>
              </w:rPr>
              <w:t xml:space="preserve">معايير الأداء لأنظمة إرسال 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>البيانات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 فضاء-أرض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 xml:space="preserve"> العاملة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 في الخدم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 xml:space="preserve">ة 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>الساتلية لاستكشاف الأرض والخدم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>ة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 الساتلية للأرصاد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 xml:space="preserve"> 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الجوية 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>في مدارات منخفضة بالنسبة إلى الأرض</w:t>
            </w:r>
          </w:p>
        </w:tc>
      </w:tr>
      <w:tr w:rsidR="00A27831" w:rsidRPr="00A27831" w:rsidTr="00A27831">
        <w:trPr>
          <w:cantSplit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831" w:rsidRPr="00A27831" w:rsidRDefault="00A27831" w:rsidP="00A27831">
            <w:pPr>
              <w:pStyle w:val="Tabletext"/>
              <w:bidi/>
              <w:spacing w:before="80" w:after="80" w:line="260" w:lineRule="exact"/>
              <w:jc w:val="center"/>
              <w:rPr>
                <w:rFonts w:ascii="Calibri" w:hAnsi="Calibri" w:cs="Traditional Arabic"/>
                <w:bCs/>
                <w:szCs w:val="30"/>
                <w:lang w:val="en-US"/>
              </w:rPr>
            </w:pPr>
            <w:r w:rsidRPr="00A27831">
              <w:rPr>
                <w:rFonts w:ascii="Calibri" w:hAnsi="Calibri" w:cs="Traditional Arabic"/>
                <w:bCs/>
                <w:szCs w:val="30"/>
              </w:rPr>
              <w:t>SA.1162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831" w:rsidRPr="00A27831" w:rsidRDefault="00A27831" w:rsidP="00A44580">
            <w:pPr>
              <w:pStyle w:val="Tabletext"/>
              <w:keepNext/>
              <w:keepLines/>
              <w:bidi/>
              <w:spacing w:before="80" w:after="80" w:line="260" w:lineRule="exact"/>
              <w:ind w:right="113"/>
              <w:jc w:val="both"/>
              <w:rPr>
                <w:rFonts w:ascii="Calibri" w:hAnsi="Calibri" w:cs="Traditional Arabic"/>
                <w:szCs w:val="30"/>
              </w:rPr>
            </w:pPr>
            <w:r w:rsidRPr="00A27831">
              <w:rPr>
                <w:rFonts w:ascii="Calibri" w:hAnsi="Calibri" w:cs="Traditional Arabic" w:hint="cs"/>
                <w:szCs w:val="30"/>
                <w:rtl/>
              </w:rPr>
              <w:t>معايير الأداء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 لوصلات الخدمة في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> 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أنظمة 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>جمع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 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>البيانات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 وتحديد مواقع المنصات 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>في خدمة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 xml:space="preserve"> استكشاف الأرض و</w:t>
            </w:r>
            <w:r w:rsidRPr="00A27831">
              <w:rPr>
                <w:rFonts w:ascii="Calibri" w:hAnsi="Calibri" w:cs="Traditional Arabic" w:hint="cs"/>
                <w:szCs w:val="30"/>
                <w:rtl/>
              </w:rPr>
              <w:t xml:space="preserve">خدمة </w:t>
            </w:r>
            <w:r w:rsidRPr="00A27831">
              <w:rPr>
                <w:rFonts w:ascii="Calibri" w:hAnsi="Calibri" w:cs="Traditional Arabic"/>
                <w:szCs w:val="30"/>
                <w:rtl/>
              </w:rPr>
              <w:t>الأرصاد الجوية الساتلية</w:t>
            </w:r>
          </w:p>
        </w:tc>
      </w:tr>
    </w:tbl>
    <w:p w:rsidR="007D3655" w:rsidRPr="008D3F8E" w:rsidRDefault="00B1456B" w:rsidP="007D365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D3655" w:rsidRPr="008D3F8E" w:rsidSect="007E6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A4" w:rsidRDefault="003C63A4" w:rsidP="00F36590">
      <w:pPr>
        <w:spacing w:before="0" w:line="240" w:lineRule="auto"/>
      </w:pPr>
      <w:r>
        <w:separator/>
      </w:r>
    </w:p>
  </w:endnote>
  <w:endnote w:type="continuationSeparator" w:id="0">
    <w:p w:rsidR="003C63A4" w:rsidRDefault="003C63A4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D4" w:rsidRDefault="00280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D4" w:rsidRDefault="00280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86" w:rsidRDefault="003D7886" w:rsidP="003D788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7E6E52" w:rsidRPr="003D7886" w:rsidRDefault="003D7886" w:rsidP="003D7886">
    <w:pPr>
      <w:pStyle w:val="FirstFooter"/>
      <w:spacing w:before="0"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A4" w:rsidRDefault="003C63A4" w:rsidP="00F36590">
      <w:pPr>
        <w:spacing w:before="0" w:line="240" w:lineRule="auto"/>
      </w:pPr>
      <w:r>
        <w:separator/>
      </w:r>
    </w:p>
  </w:footnote>
  <w:footnote w:type="continuationSeparator" w:id="0">
    <w:p w:rsidR="003C63A4" w:rsidRDefault="003C63A4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D4" w:rsidRDefault="00280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2806D4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bookmarkStart w:id="0" w:name="_GoBack"/>
    <w:r w:rsidRPr="002806D4">
      <w:rPr>
        <w:rFonts w:cs="Calibri"/>
        <w:sz w:val="18"/>
        <w:szCs w:val="18"/>
      </w:rPr>
      <w:t xml:space="preserve">- </w:t>
    </w:r>
    <w:r w:rsidR="007E6E52" w:rsidRPr="002806D4">
      <w:rPr>
        <w:rFonts w:cs="Calibri"/>
        <w:sz w:val="18"/>
        <w:szCs w:val="18"/>
        <w:lang w:val="en-GB"/>
      </w:rPr>
      <w:fldChar w:fldCharType="begin"/>
    </w:r>
    <w:r w:rsidR="007E6E52" w:rsidRPr="002806D4">
      <w:rPr>
        <w:rFonts w:cs="Calibri"/>
        <w:sz w:val="18"/>
        <w:szCs w:val="18"/>
        <w:lang w:val="en-GB"/>
      </w:rPr>
      <w:instrText xml:space="preserve"> PAGE </w:instrText>
    </w:r>
    <w:r w:rsidR="007E6E52" w:rsidRPr="002806D4">
      <w:rPr>
        <w:rFonts w:cs="Calibri"/>
        <w:sz w:val="18"/>
        <w:szCs w:val="18"/>
        <w:lang w:val="en-GB"/>
      </w:rPr>
      <w:fldChar w:fldCharType="separate"/>
    </w:r>
    <w:r w:rsidR="002806D4">
      <w:rPr>
        <w:rFonts w:cs="Calibri"/>
        <w:noProof/>
        <w:sz w:val="18"/>
        <w:szCs w:val="18"/>
        <w:lang w:val="en-GB"/>
      </w:rPr>
      <w:t>3</w:t>
    </w:r>
    <w:r w:rsidR="007E6E52" w:rsidRPr="002806D4">
      <w:rPr>
        <w:rFonts w:cs="Calibri"/>
        <w:sz w:val="18"/>
        <w:szCs w:val="18"/>
      </w:rPr>
      <w:fldChar w:fldCharType="end"/>
    </w:r>
    <w:r w:rsidRPr="002806D4">
      <w:rPr>
        <w:rFonts w:cs="Calibri"/>
        <w:sz w:val="18"/>
        <w:szCs w:val="18"/>
        <w:lang w:val="en-GB"/>
      </w:rPr>
      <w:t xml:space="preserve"> -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165021" w:rsidP="00083A9A">
          <w:pPr>
            <w:pStyle w:val="Header"/>
            <w:jc w:val="right"/>
            <w:rPr>
              <w:lang w:val="en-GB"/>
            </w:rPr>
          </w:pPr>
          <w:r w:rsidRPr="00A03501">
            <w:rPr>
              <w:noProof/>
            </w:rPr>
            <w:drawing>
              <wp:inline distT="0" distB="0" distL="0" distR="0" wp14:anchorId="4949C02C" wp14:editId="2D5E436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A4"/>
    <w:rsid w:val="00020A8D"/>
    <w:rsid w:val="000329D5"/>
    <w:rsid w:val="00041ED9"/>
    <w:rsid w:val="00051C59"/>
    <w:rsid w:val="0006211F"/>
    <w:rsid w:val="00083A9A"/>
    <w:rsid w:val="00090574"/>
    <w:rsid w:val="000A43AB"/>
    <w:rsid w:val="000B73F4"/>
    <w:rsid w:val="000E1C58"/>
    <w:rsid w:val="000E2340"/>
    <w:rsid w:val="000E4572"/>
    <w:rsid w:val="000F645C"/>
    <w:rsid w:val="001023E1"/>
    <w:rsid w:val="0011199B"/>
    <w:rsid w:val="0012361E"/>
    <w:rsid w:val="001400A7"/>
    <w:rsid w:val="001431D5"/>
    <w:rsid w:val="00145807"/>
    <w:rsid w:val="00153A3B"/>
    <w:rsid w:val="00165021"/>
    <w:rsid w:val="00165F95"/>
    <w:rsid w:val="00185E59"/>
    <w:rsid w:val="001C4C7C"/>
    <w:rsid w:val="001D1D7B"/>
    <w:rsid w:val="0023283D"/>
    <w:rsid w:val="00241274"/>
    <w:rsid w:val="002806D4"/>
    <w:rsid w:val="002841F3"/>
    <w:rsid w:val="00295722"/>
    <w:rsid w:val="002978F4"/>
    <w:rsid w:val="002B028D"/>
    <w:rsid w:val="002C0183"/>
    <w:rsid w:val="002D18BB"/>
    <w:rsid w:val="002E6541"/>
    <w:rsid w:val="002F0375"/>
    <w:rsid w:val="00304EDC"/>
    <w:rsid w:val="003153D8"/>
    <w:rsid w:val="00315FE2"/>
    <w:rsid w:val="00326D69"/>
    <w:rsid w:val="00330BBB"/>
    <w:rsid w:val="00335CE7"/>
    <w:rsid w:val="003403A3"/>
    <w:rsid w:val="00341FFF"/>
    <w:rsid w:val="00354D7E"/>
    <w:rsid w:val="00357185"/>
    <w:rsid w:val="00357E6F"/>
    <w:rsid w:val="00385ABA"/>
    <w:rsid w:val="00395FDB"/>
    <w:rsid w:val="003B0BE0"/>
    <w:rsid w:val="003B0E64"/>
    <w:rsid w:val="003B65BD"/>
    <w:rsid w:val="003C0D60"/>
    <w:rsid w:val="003C63A4"/>
    <w:rsid w:val="003D7886"/>
    <w:rsid w:val="00403A81"/>
    <w:rsid w:val="0040525C"/>
    <w:rsid w:val="004176D0"/>
    <w:rsid w:val="0042686F"/>
    <w:rsid w:val="00443869"/>
    <w:rsid w:val="004439A0"/>
    <w:rsid w:val="004547CA"/>
    <w:rsid w:val="004551EB"/>
    <w:rsid w:val="00457A60"/>
    <w:rsid w:val="00467360"/>
    <w:rsid w:val="004751F6"/>
    <w:rsid w:val="00485E78"/>
    <w:rsid w:val="004A06CB"/>
    <w:rsid w:val="004C6CD2"/>
    <w:rsid w:val="004D6C79"/>
    <w:rsid w:val="004D704B"/>
    <w:rsid w:val="004D7F57"/>
    <w:rsid w:val="004E2A1E"/>
    <w:rsid w:val="0053163A"/>
    <w:rsid w:val="0054273B"/>
    <w:rsid w:val="0054545D"/>
    <w:rsid w:val="0055516A"/>
    <w:rsid w:val="005575D1"/>
    <w:rsid w:val="00572123"/>
    <w:rsid w:val="005750FD"/>
    <w:rsid w:val="005A71B6"/>
    <w:rsid w:val="005C5C87"/>
    <w:rsid w:val="005E1D94"/>
    <w:rsid w:val="005E6E96"/>
    <w:rsid w:val="005F4897"/>
    <w:rsid w:val="006073A4"/>
    <w:rsid w:val="0065341B"/>
    <w:rsid w:val="00654218"/>
    <w:rsid w:val="0068081E"/>
    <w:rsid w:val="00692FB9"/>
    <w:rsid w:val="006946DF"/>
    <w:rsid w:val="006B31E5"/>
    <w:rsid w:val="006C5227"/>
    <w:rsid w:val="006E1CFD"/>
    <w:rsid w:val="006E4190"/>
    <w:rsid w:val="006F252C"/>
    <w:rsid w:val="006F63F7"/>
    <w:rsid w:val="00700BAE"/>
    <w:rsid w:val="00706D7A"/>
    <w:rsid w:val="00714C7B"/>
    <w:rsid w:val="007200BA"/>
    <w:rsid w:val="00722D1B"/>
    <w:rsid w:val="00733D09"/>
    <w:rsid w:val="00737513"/>
    <w:rsid w:val="00756375"/>
    <w:rsid w:val="007668F2"/>
    <w:rsid w:val="00774A3B"/>
    <w:rsid w:val="00785C5D"/>
    <w:rsid w:val="007A661C"/>
    <w:rsid w:val="007A6B80"/>
    <w:rsid w:val="007C6E54"/>
    <w:rsid w:val="007C7FBB"/>
    <w:rsid w:val="007D3655"/>
    <w:rsid w:val="007E6E52"/>
    <w:rsid w:val="008235CD"/>
    <w:rsid w:val="00826DB5"/>
    <w:rsid w:val="00842815"/>
    <w:rsid w:val="008513CB"/>
    <w:rsid w:val="00866045"/>
    <w:rsid w:val="00872C52"/>
    <w:rsid w:val="00883EBE"/>
    <w:rsid w:val="00887D67"/>
    <w:rsid w:val="008B1028"/>
    <w:rsid w:val="008C2EDA"/>
    <w:rsid w:val="008C7685"/>
    <w:rsid w:val="008D36A6"/>
    <w:rsid w:val="008D3F8E"/>
    <w:rsid w:val="008D5737"/>
    <w:rsid w:val="008D7155"/>
    <w:rsid w:val="008F21ED"/>
    <w:rsid w:val="008F4DC6"/>
    <w:rsid w:val="009049C9"/>
    <w:rsid w:val="00906FA8"/>
    <w:rsid w:val="009071DD"/>
    <w:rsid w:val="00951EBA"/>
    <w:rsid w:val="009541F1"/>
    <w:rsid w:val="00964D4C"/>
    <w:rsid w:val="00982B28"/>
    <w:rsid w:val="009865C2"/>
    <w:rsid w:val="00991E2D"/>
    <w:rsid w:val="00992A7B"/>
    <w:rsid w:val="009A5C7E"/>
    <w:rsid w:val="009A6008"/>
    <w:rsid w:val="009E24E7"/>
    <w:rsid w:val="00A0706D"/>
    <w:rsid w:val="00A2319B"/>
    <w:rsid w:val="00A27831"/>
    <w:rsid w:val="00A44580"/>
    <w:rsid w:val="00A50F58"/>
    <w:rsid w:val="00A62395"/>
    <w:rsid w:val="00A74A77"/>
    <w:rsid w:val="00A8230F"/>
    <w:rsid w:val="00A86605"/>
    <w:rsid w:val="00A86E25"/>
    <w:rsid w:val="00A97F94"/>
    <w:rsid w:val="00AA7538"/>
    <w:rsid w:val="00AB7CE2"/>
    <w:rsid w:val="00AC066A"/>
    <w:rsid w:val="00AC6D50"/>
    <w:rsid w:val="00AD3687"/>
    <w:rsid w:val="00AD6D77"/>
    <w:rsid w:val="00AE160A"/>
    <w:rsid w:val="00AE2FEE"/>
    <w:rsid w:val="00AE743C"/>
    <w:rsid w:val="00B11105"/>
    <w:rsid w:val="00B1456B"/>
    <w:rsid w:val="00B5527F"/>
    <w:rsid w:val="00B667EB"/>
    <w:rsid w:val="00BD22A4"/>
    <w:rsid w:val="00BE33AC"/>
    <w:rsid w:val="00C2291E"/>
    <w:rsid w:val="00C674FE"/>
    <w:rsid w:val="00C75633"/>
    <w:rsid w:val="00C7644B"/>
    <w:rsid w:val="00C93A88"/>
    <w:rsid w:val="00CB652E"/>
    <w:rsid w:val="00CC4CBC"/>
    <w:rsid w:val="00CC5778"/>
    <w:rsid w:val="00CE2EE1"/>
    <w:rsid w:val="00CE7EC0"/>
    <w:rsid w:val="00CF3F63"/>
    <w:rsid w:val="00CF3FFD"/>
    <w:rsid w:val="00D073C7"/>
    <w:rsid w:val="00D116F3"/>
    <w:rsid w:val="00D26FD5"/>
    <w:rsid w:val="00D42F42"/>
    <w:rsid w:val="00D6145B"/>
    <w:rsid w:val="00D77D0F"/>
    <w:rsid w:val="00DA1CF0"/>
    <w:rsid w:val="00DC24B4"/>
    <w:rsid w:val="00DF16DC"/>
    <w:rsid w:val="00E02604"/>
    <w:rsid w:val="00E101B8"/>
    <w:rsid w:val="00E112AC"/>
    <w:rsid w:val="00E26FB5"/>
    <w:rsid w:val="00E37284"/>
    <w:rsid w:val="00E45211"/>
    <w:rsid w:val="00E45690"/>
    <w:rsid w:val="00E64F8E"/>
    <w:rsid w:val="00E96F8D"/>
    <w:rsid w:val="00ED39AF"/>
    <w:rsid w:val="00EF2CDF"/>
    <w:rsid w:val="00F24367"/>
    <w:rsid w:val="00F276E2"/>
    <w:rsid w:val="00F36590"/>
    <w:rsid w:val="00F40DBA"/>
    <w:rsid w:val="00F67017"/>
    <w:rsid w:val="00F76760"/>
    <w:rsid w:val="00F84366"/>
    <w:rsid w:val="00F85089"/>
    <w:rsid w:val="00FA7BF7"/>
    <w:rsid w:val="00FC2FC2"/>
    <w:rsid w:val="00FD34F3"/>
    <w:rsid w:val="00FD540F"/>
    <w:rsid w:val="00FE0D68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FD966114-68A9-413B-AF60-73747CD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9D5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head0">
    <w:name w:val="Table_head"/>
    <w:basedOn w:val="Normal"/>
    <w:next w:val="Tabletext"/>
    <w:link w:val="TableheadChar"/>
    <w:uiPriority w:val="99"/>
    <w:rsid w:val="00051C5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051C5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51C59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051C59"/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FirstFooter">
    <w:name w:val="FirstFooter"/>
    <w:basedOn w:val="Normal"/>
    <w:rsid w:val="003D788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AFF0-FBF8-4848-823D-28EC5CC9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^_^</cp:lastModifiedBy>
  <cp:revision>41</cp:revision>
  <cp:lastPrinted>2016-03-11T10:16:00Z</cp:lastPrinted>
  <dcterms:created xsi:type="dcterms:W3CDTF">2017-05-02T06:56:00Z</dcterms:created>
  <dcterms:modified xsi:type="dcterms:W3CDTF">2017-05-03T09:35:00Z</dcterms:modified>
</cp:coreProperties>
</file>