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45EC2" w:rsidRPr="00F36590" w:rsidTr="004270DC">
        <w:tc>
          <w:tcPr>
            <w:tcW w:w="5000" w:type="pct"/>
            <w:gridSpan w:val="3"/>
            <w:shd w:val="clear" w:color="auto" w:fill="auto"/>
          </w:tcPr>
          <w:p w:rsidR="00E45EC2" w:rsidRPr="004A5A31" w:rsidRDefault="00E45EC2" w:rsidP="00E45EC2">
            <w:pPr>
              <w:spacing w:before="240" w:after="120" w:line="340" w:lineRule="exact"/>
              <w:rPr>
                <w:b/>
                <w:bCs/>
                <w:color w:val="808080"/>
                <w:sz w:val="28"/>
                <w:szCs w:val="36"/>
                <w:rtl/>
                <w:lang w:bidi="ar-EG"/>
              </w:rPr>
            </w:pPr>
            <w:r w:rsidRPr="004A5A31">
              <w:rPr>
                <w:b/>
                <w:bCs/>
                <w:color w:val="808080"/>
                <w:sz w:val="28"/>
                <w:szCs w:val="36"/>
                <w:rtl/>
              </w:rPr>
              <w:t>مكتب</w:t>
            </w:r>
            <w:r w:rsidRPr="004A5A31">
              <w:rPr>
                <w:rFonts w:hint="cs"/>
                <w:b/>
                <w:bCs/>
                <w:color w:val="808080"/>
                <w:sz w:val="28"/>
                <w:szCs w:val="36"/>
                <w:rtl/>
              </w:rPr>
              <w:t xml:space="preserve"> </w:t>
            </w:r>
            <w:r w:rsidRPr="004A5A31">
              <w:rPr>
                <w:b/>
                <w:bCs/>
                <w:color w:val="808080"/>
                <w:sz w:val="28"/>
                <w:szCs w:val="36"/>
                <w:rtl/>
              </w:rPr>
              <w:t>الاتصالات</w:t>
            </w:r>
            <w:r w:rsidRPr="004A5A31">
              <w:rPr>
                <w:rFonts w:hint="cs"/>
                <w:b/>
                <w:bCs/>
                <w:color w:val="808080"/>
                <w:sz w:val="28"/>
                <w:szCs w:val="36"/>
                <w:rtl/>
              </w:rPr>
              <w:t xml:space="preserve"> </w:t>
            </w:r>
            <w:r w:rsidRPr="004A5A31">
              <w:rPr>
                <w:b/>
                <w:bCs/>
                <w:color w:val="808080"/>
                <w:sz w:val="28"/>
                <w:szCs w:val="36"/>
                <w:rtl/>
              </w:rPr>
              <w:t>الراديوية</w:t>
            </w:r>
            <w:r w:rsidRPr="004A5A31">
              <w:rPr>
                <w:rFonts w:hint="cs"/>
                <w:b/>
                <w:bCs/>
                <w:color w:val="808080"/>
                <w:sz w:val="28"/>
                <w:szCs w:val="36"/>
                <w:rtl/>
              </w:rPr>
              <w:t xml:space="preserve"> </w:t>
            </w:r>
            <w:r w:rsidRPr="004A5A31">
              <w:rPr>
                <w:b/>
                <w:bCs/>
                <w:color w:val="808080"/>
                <w:sz w:val="28"/>
                <w:szCs w:val="36"/>
                <w:lang w:bidi="ar-SY"/>
              </w:rPr>
              <w:t>(BR)</w:t>
            </w:r>
          </w:p>
        </w:tc>
      </w:tr>
      <w:tr w:rsidR="00F603CF" w:rsidRPr="0019520B" w:rsidTr="008878FE">
        <w:tc>
          <w:tcPr>
            <w:tcW w:w="5000" w:type="pct"/>
            <w:gridSpan w:val="3"/>
            <w:shd w:val="clear" w:color="auto" w:fill="auto"/>
          </w:tcPr>
          <w:p w:rsidR="00F603CF" w:rsidRPr="0019520B" w:rsidRDefault="00F603CF" w:rsidP="00F603CF">
            <w:pPr>
              <w:spacing w:before="0" w:line="260" w:lineRule="exact"/>
              <w:rPr>
                <w:rtl/>
                <w:lang w:bidi="ar-SY"/>
              </w:rPr>
            </w:pPr>
          </w:p>
        </w:tc>
      </w:tr>
      <w:tr w:rsidR="00F603CF" w:rsidRPr="0019520B" w:rsidTr="008878FE">
        <w:tc>
          <w:tcPr>
            <w:tcW w:w="5000" w:type="pct"/>
            <w:gridSpan w:val="3"/>
            <w:shd w:val="clear" w:color="auto" w:fill="auto"/>
          </w:tcPr>
          <w:p w:rsidR="00F603CF" w:rsidRPr="0019520B" w:rsidRDefault="00F603CF" w:rsidP="00F603CF">
            <w:pPr>
              <w:spacing w:before="0" w:line="260" w:lineRule="exact"/>
              <w:rPr>
                <w:rtl/>
                <w:lang w:bidi="ar-SY"/>
              </w:rPr>
            </w:pPr>
          </w:p>
        </w:tc>
      </w:tr>
      <w:tr w:rsidR="00E45EC2" w:rsidRPr="0019520B" w:rsidTr="004270DC">
        <w:tc>
          <w:tcPr>
            <w:tcW w:w="2707" w:type="pct"/>
            <w:gridSpan w:val="2"/>
            <w:shd w:val="clear" w:color="auto" w:fill="auto"/>
          </w:tcPr>
          <w:p w:rsidR="00E45EC2" w:rsidRPr="0019520B" w:rsidRDefault="00E45EC2" w:rsidP="0038443E">
            <w:pPr>
              <w:spacing w:before="60" w:after="60" w:line="260" w:lineRule="exact"/>
              <w:jc w:val="left"/>
              <w:rPr>
                <w:rtl/>
                <w:lang w:bidi="ar-EG"/>
              </w:rPr>
            </w:pPr>
            <w:r w:rsidRPr="0019520B">
              <w:rPr>
                <w:rFonts w:hint="cs"/>
                <w:rtl/>
                <w:lang w:bidi="ar-AE"/>
              </w:rPr>
              <w:t>الرسالة الإدارية المعممة</w:t>
            </w:r>
          </w:p>
          <w:p w:rsidR="00E45EC2" w:rsidRPr="0019520B" w:rsidRDefault="0038443E" w:rsidP="004270DC">
            <w:pPr>
              <w:spacing w:before="60" w:after="60" w:line="260" w:lineRule="exact"/>
              <w:jc w:val="left"/>
              <w:rPr>
                <w:rtl/>
                <w:lang w:bidi="ar-SY"/>
              </w:rPr>
            </w:pPr>
            <w:r w:rsidRPr="0019520B">
              <w:rPr>
                <w:b/>
                <w:bCs/>
                <w:lang w:val="en-GB" w:bidi="ar-SY"/>
              </w:rPr>
              <w:t>CACE</w:t>
            </w:r>
            <w:r w:rsidR="00E45EC2" w:rsidRPr="0019520B">
              <w:rPr>
                <w:b/>
                <w:bCs/>
                <w:lang w:val="en-GB" w:bidi="ar-SY"/>
              </w:rPr>
              <w:t>/</w:t>
            </w:r>
            <w:r w:rsidRPr="0019520B">
              <w:rPr>
                <w:b/>
                <w:bCs/>
                <w:lang w:bidi="ar-SY"/>
              </w:rPr>
              <w:t>804</w:t>
            </w:r>
          </w:p>
        </w:tc>
        <w:tc>
          <w:tcPr>
            <w:tcW w:w="2293" w:type="pct"/>
            <w:shd w:val="clear" w:color="auto" w:fill="auto"/>
          </w:tcPr>
          <w:p w:rsidR="00E45EC2" w:rsidRPr="0019520B" w:rsidRDefault="0038443E" w:rsidP="0038443E">
            <w:pPr>
              <w:spacing w:before="60" w:after="60" w:line="260" w:lineRule="exact"/>
              <w:jc w:val="right"/>
              <w:rPr>
                <w:rtl/>
                <w:lang w:bidi="ar-EG"/>
              </w:rPr>
            </w:pPr>
            <w:r w:rsidRPr="0019520B">
              <w:rPr>
                <w:lang w:val="fr-FR" w:bidi="ar-SY"/>
              </w:rPr>
              <w:t>20</w:t>
            </w:r>
            <w:r w:rsidR="00E45EC2" w:rsidRPr="0019520B">
              <w:rPr>
                <w:rFonts w:hint="cs"/>
                <w:rtl/>
                <w:lang w:bidi="ar-SY"/>
              </w:rPr>
              <w:t xml:space="preserve"> </w:t>
            </w:r>
            <w:r w:rsidRPr="0019520B">
              <w:rPr>
                <w:rFonts w:hint="cs"/>
                <w:rtl/>
                <w:lang w:bidi="ar-SY"/>
              </w:rPr>
              <w:t>أبريل</w:t>
            </w:r>
            <w:r w:rsidR="00E45EC2" w:rsidRPr="0019520B">
              <w:rPr>
                <w:rFonts w:hint="cs"/>
                <w:rtl/>
                <w:lang w:bidi="ar-SY"/>
              </w:rPr>
              <w:t xml:space="preserve"> </w:t>
            </w:r>
            <w:r w:rsidR="00E45EC2" w:rsidRPr="0019520B">
              <w:rPr>
                <w:lang w:bidi="ar-SY"/>
              </w:rPr>
              <w:t>2017</w:t>
            </w:r>
          </w:p>
        </w:tc>
      </w:tr>
      <w:tr w:rsidR="00E45EC2" w:rsidRPr="0019520B" w:rsidTr="004270DC">
        <w:tc>
          <w:tcPr>
            <w:tcW w:w="5000" w:type="pct"/>
            <w:gridSpan w:val="3"/>
            <w:shd w:val="clear" w:color="auto" w:fill="auto"/>
          </w:tcPr>
          <w:p w:rsidR="00E45EC2" w:rsidRPr="0019520B" w:rsidRDefault="00E45EC2" w:rsidP="00F603CF">
            <w:pPr>
              <w:spacing w:before="0" w:line="260" w:lineRule="exact"/>
              <w:rPr>
                <w:rtl/>
                <w:lang w:bidi="ar-SY"/>
              </w:rPr>
            </w:pPr>
          </w:p>
        </w:tc>
      </w:tr>
      <w:tr w:rsidR="00E45EC2" w:rsidRPr="0019520B" w:rsidTr="004270DC">
        <w:tc>
          <w:tcPr>
            <w:tcW w:w="5000" w:type="pct"/>
            <w:gridSpan w:val="3"/>
            <w:shd w:val="clear" w:color="auto" w:fill="auto"/>
          </w:tcPr>
          <w:p w:rsidR="00E45EC2" w:rsidRPr="0019520B" w:rsidRDefault="00E45EC2" w:rsidP="00F603CF">
            <w:pPr>
              <w:spacing w:before="0" w:line="260" w:lineRule="exact"/>
              <w:rPr>
                <w:rtl/>
                <w:lang w:bidi="ar-SY"/>
              </w:rPr>
            </w:pPr>
          </w:p>
        </w:tc>
      </w:tr>
      <w:tr w:rsidR="00E45EC2" w:rsidRPr="0019520B" w:rsidTr="004270DC">
        <w:tc>
          <w:tcPr>
            <w:tcW w:w="5000" w:type="pct"/>
            <w:gridSpan w:val="3"/>
            <w:shd w:val="clear" w:color="auto" w:fill="auto"/>
          </w:tcPr>
          <w:p w:rsidR="00E45EC2" w:rsidRPr="0019520B" w:rsidRDefault="004577C7" w:rsidP="004A5A31">
            <w:pPr>
              <w:spacing w:after="120"/>
              <w:jc w:val="left"/>
              <w:rPr>
                <w:b/>
                <w:bCs/>
                <w:lang w:bidi="ar-SY"/>
              </w:rPr>
            </w:pPr>
            <w:r w:rsidRPr="0019520B">
              <w:rPr>
                <w:b/>
                <w:bCs/>
                <w:spacing w:val="6"/>
                <w:rtl/>
              </w:rPr>
              <w:t>إلى إدارات الدول الأعضاء في الاتحاد وأعضاء قطاع الاتصالات الراديوية</w:t>
            </w:r>
            <w:r w:rsidRPr="0019520B">
              <w:rPr>
                <w:rFonts w:hint="cs"/>
                <w:b/>
                <w:bCs/>
                <w:spacing w:val="6"/>
                <w:rtl/>
              </w:rPr>
              <w:t xml:space="preserve"> </w:t>
            </w:r>
            <w:r w:rsidR="004A5A31">
              <w:rPr>
                <w:rFonts w:hint="cs"/>
                <w:b/>
                <w:bCs/>
                <w:spacing w:val="6"/>
                <w:rtl/>
              </w:rPr>
              <w:t>والمنتسبين</w:t>
            </w:r>
            <w:r w:rsidRPr="0019520B">
              <w:rPr>
                <w:b/>
                <w:bCs/>
                <w:spacing w:val="6"/>
                <w:rtl/>
              </w:rPr>
              <w:t xml:space="preserve"> إليه</w:t>
            </w:r>
            <w:r w:rsidRPr="0019520B">
              <w:rPr>
                <w:b/>
                <w:bCs/>
                <w:rtl/>
              </w:rPr>
              <w:br/>
            </w:r>
            <w:r w:rsidRPr="0019520B">
              <w:rPr>
                <w:b/>
                <w:bCs/>
                <w:rtl/>
                <w:lang w:bidi="ar-EG"/>
              </w:rPr>
              <w:t xml:space="preserve">المشاركين في أعمال لجنة الدراسات </w:t>
            </w:r>
            <w:r w:rsidRPr="0019520B">
              <w:rPr>
                <w:b/>
                <w:bCs/>
                <w:lang w:val="en-GB" w:bidi="ar-SY"/>
              </w:rPr>
              <w:t>6</w:t>
            </w:r>
            <w:r w:rsidRPr="0019520B">
              <w:rPr>
                <w:b/>
                <w:bCs/>
                <w:rtl/>
                <w:lang w:bidi="ar-EG"/>
              </w:rPr>
              <w:t xml:space="preserve"> للاتصالات الراديوية</w:t>
            </w:r>
            <w:r w:rsidRPr="0019520B">
              <w:rPr>
                <w:rFonts w:hint="cs"/>
                <w:b/>
                <w:bCs/>
                <w:rtl/>
                <w:lang w:bidi="ar-EG"/>
              </w:rPr>
              <w:t xml:space="preserve"> والهيئات الأكاديمية المنضمة إلى الاتحاد</w:t>
            </w:r>
          </w:p>
        </w:tc>
      </w:tr>
      <w:tr w:rsidR="00F603CF" w:rsidRPr="0019520B" w:rsidTr="008878FE">
        <w:tc>
          <w:tcPr>
            <w:tcW w:w="5000" w:type="pct"/>
            <w:gridSpan w:val="3"/>
            <w:shd w:val="clear" w:color="auto" w:fill="auto"/>
          </w:tcPr>
          <w:p w:rsidR="00F603CF" w:rsidRPr="0019520B" w:rsidRDefault="00F603CF" w:rsidP="00F603CF">
            <w:pPr>
              <w:spacing w:before="0" w:line="260" w:lineRule="exact"/>
              <w:rPr>
                <w:rtl/>
                <w:lang w:bidi="ar-SY"/>
              </w:rPr>
            </w:pPr>
          </w:p>
        </w:tc>
      </w:tr>
      <w:tr w:rsidR="00F603CF" w:rsidRPr="0019520B" w:rsidTr="008878FE">
        <w:tc>
          <w:tcPr>
            <w:tcW w:w="5000" w:type="pct"/>
            <w:gridSpan w:val="3"/>
            <w:shd w:val="clear" w:color="auto" w:fill="auto"/>
          </w:tcPr>
          <w:p w:rsidR="00F603CF" w:rsidRPr="0019520B" w:rsidRDefault="00F603CF" w:rsidP="00F603CF">
            <w:pPr>
              <w:spacing w:before="0" w:line="260" w:lineRule="exact"/>
              <w:rPr>
                <w:rtl/>
                <w:lang w:bidi="ar-SY"/>
              </w:rPr>
            </w:pPr>
          </w:p>
        </w:tc>
      </w:tr>
      <w:tr w:rsidR="00E45EC2" w:rsidRPr="0019520B" w:rsidTr="004270DC">
        <w:trPr>
          <w:trHeight w:val="452"/>
        </w:trPr>
        <w:tc>
          <w:tcPr>
            <w:tcW w:w="699" w:type="pct"/>
            <w:shd w:val="clear" w:color="auto" w:fill="auto"/>
          </w:tcPr>
          <w:p w:rsidR="00E45EC2" w:rsidRPr="0019520B" w:rsidRDefault="00E45EC2" w:rsidP="004270DC">
            <w:pPr>
              <w:spacing w:before="60" w:after="60" w:line="340" w:lineRule="exact"/>
              <w:rPr>
                <w:lang w:val="fr-FR" w:bidi="ar-SY"/>
              </w:rPr>
            </w:pPr>
            <w:r w:rsidRPr="0019520B">
              <w:rPr>
                <w:rtl/>
              </w:rPr>
              <w:t>الموضوع</w:t>
            </w:r>
            <w:r w:rsidRPr="0019520B">
              <w:rPr>
                <w:lang w:val="en-GB" w:bidi="ar-SY"/>
              </w:rPr>
              <w:t>:</w:t>
            </w:r>
          </w:p>
        </w:tc>
        <w:tc>
          <w:tcPr>
            <w:tcW w:w="4301" w:type="pct"/>
            <w:gridSpan w:val="2"/>
            <w:shd w:val="clear" w:color="auto" w:fill="auto"/>
          </w:tcPr>
          <w:p w:rsidR="00F159AB" w:rsidRPr="0019520B" w:rsidRDefault="00F159AB" w:rsidP="00F159AB">
            <w:pPr>
              <w:spacing w:before="60" w:after="60"/>
              <w:rPr>
                <w:b/>
                <w:bCs/>
                <w:rtl/>
                <w:lang w:bidi="ar-EG"/>
              </w:rPr>
            </w:pPr>
            <w:r w:rsidRPr="0019520B">
              <w:rPr>
                <w:b/>
                <w:bCs/>
                <w:rtl/>
                <w:lang w:bidi="ar-EG"/>
              </w:rPr>
              <w:t xml:space="preserve">لجنة الدراسات </w:t>
            </w:r>
            <w:r w:rsidRPr="0019520B">
              <w:rPr>
                <w:b/>
                <w:bCs/>
                <w:lang w:bidi="ar-SY"/>
              </w:rPr>
              <w:t>6</w:t>
            </w:r>
            <w:r w:rsidRPr="0019520B">
              <w:rPr>
                <w:b/>
                <w:bCs/>
                <w:rtl/>
                <w:lang w:bidi="ar-EG"/>
              </w:rPr>
              <w:t xml:space="preserve"> للاتصالات الراديوي</w:t>
            </w:r>
            <w:r w:rsidRPr="0019520B">
              <w:rPr>
                <w:rFonts w:hint="cs"/>
                <w:b/>
                <w:bCs/>
                <w:rtl/>
                <w:lang w:bidi="ar-EG"/>
              </w:rPr>
              <w:t>ة (</w:t>
            </w:r>
            <w:r w:rsidRPr="0019520B">
              <w:rPr>
                <w:b/>
                <w:bCs/>
                <w:rtl/>
                <w:lang w:bidi="ar-EG"/>
              </w:rPr>
              <w:t>الخدم</w:t>
            </w:r>
            <w:r w:rsidRPr="0019520B">
              <w:rPr>
                <w:rFonts w:hint="cs"/>
                <w:b/>
                <w:bCs/>
                <w:rtl/>
                <w:lang w:bidi="ar-EG"/>
              </w:rPr>
              <w:t>ة</w:t>
            </w:r>
            <w:r w:rsidRPr="0019520B">
              <w:rPr>
                <w:b/>
                <w:bCs/>
                <w:rtl/>
                <w:lang w:bidi="ar-EG"/>
              </w:rPr>
              <w:t xml:space="preserve"> الإذاعية</w:t>
            </w:r>
            <w:r w:rsidRPr="0019520B">
              <w:rPr>
                <w:rFonts w:hint="cs"/>
                <w:b/>
                <w:bCs/>
                <w:rtl/>
                <w:lang w:bidi="ar-EG"/>
              </w:rPr>
              <w:t>)</w:t>
            </w:r>
          </w:p>
          <w:p w:rsidR="00E45EC2" w:rsidRPr="0019520B" w:rsidRDefault="00ED6B1F" w:rsidP="00663596">
            <w:pPr>
              <w:spacing w:before="60" w:after="60" w:line="340" w:lineRule="exact"/>
              <w:ind w:left="812" w:hanging="812"/>
              <w:rPr>
                <w:b/>
                <w:bCs/>
                <w:lang w:bidi="ar-EG"/>
              </w:rPr>
            </w:pPr>
            <w:r w:rsidRPr="00FD2031">
              <w:rPr>
                <w:rFonts w:hint="cs"/>
                <w:position w:val="4"/>
                <w:rtl/>
                <w:lang w:bidi="ar-EG"/>
              </w:rPr>
              <w:t>-</w:t>
            </w:r>
            <w:r>
              <w:rPr>
                <w:b/>
                <w:bCs/>
                <w:position w:val="4"/>
                <w:rtl/>
                <w:lang w:bidi="ar-EG"/>
              </w:rPr>
              <w:tab/>
            </w:r>
            <w:r w:rsidR="00F159AB" w:rsidRPr="00663596">
              <w:rPr>
                <w:rFonts w:hint="cs"/>
                <w:b/>
                <w:bCs/>
                <w:position w:val="4"/>
                <w:rtl/>
                <w:lang w:bidi="ar-EG"/>
              </w:rPr>
              <w:t xml:space="preserve">اقتراح </w:t>
            </w:r>
            <w:r w:rsidR="00F159AB" w:rsidRPr="00663596">
              <w:rPr>
                <w:b/>
                <w:bCs/>
                <w:position w:val="4"/>
                <w:rtl/>
                <w:lang w:bidi="ar-EG"/>
              </w:rPr>
              <w:t>اعتماد</w:t>
            </w:r>
            <w:r w:rsidR="00F159AB" w:rsidRPr="00663596">
              <w:rPr>
                <w:rFonts w:hint="cs"/>
                <w:b/>
                <w:bCs/>
                <w:position w:val="4"/>
                <w:rtl/>
                <w:lang w:bidi="ar-EG"/>
              </w:rPr>
              <w:t xml:space="preserve"> مشروع </w:t>
            </w:r>
            <w:r w:rsidR="00F159AB" w:rsidRPr="00663596">
              <w:rPr>
                <w:rFonts w:hint="cs"/>
                <w:b/>
                <w:bCs/>
                <w:position w:val="4"/>
                <w:rtl/>
              </w:rPr>
              <w:t xml:space="preserve">توصية جديدة ومشاريع مراجعة </w:t>
            </w:r>
            <w:r w:rsidR="00F159AB" w:rsidRPr="00663596">
              <w:rPr>
                <w:b/>
                <w:bCs/>
                <w:position w:val="4"/>
                <w:lang w:bidi="ar-SY"/>
              </w:rPr>
              <w:t>7</w:t>
            </w:r>
            <w:r w:rsidR="00F159AB" w:rsidRPr="00663596">
              <w:rPr>
                <w:rFonts w:hint="cs"/>
                <w:b/>
                <w:bCs/>
                <w:position w:val="4"/>
                <w:rtl/>
                <w:lang w:bidi="ar-SY"/>
              </w:rPr>
              <w:t xml:space="preserve"> </w:t>
            </w:r>
            <w:r w:rsidR="00F159AB" w:rsidRPr="00663596">
              <w:rPr>
                <w:rFonts w:hint="cs"/>
                <w:b/>
                <w:bCs/>
                <w:position w:val="4"/>
                <w:rtl/>
              </w:rPr>
              <w:t>توصيات لقطاع الاتصالات الراديوية</w:t>
            </w:r>
            <w:r w:rsidR="00F159AB" w:rsidRPr="00663596">
              <w:rPr>
                <w:b/>
                <w:bCs/>
                <w:position w:val="4"/>
                <w:rtl/>
                <w:lang w:bidi="ar-EG"/>
              </w:rPr>
              <w:t xml:space="preserve"> </w:t>
            </w:r>
            <w:r w:rsidR="00F159AB" w:rsidRPr="00663596">
              <w:rPr>
                <w:b/>
                <w:bCs/>
                <w:position w:val="2"/>
                <w:rtl/>
                <w:lang w:bidi="ar-EG"/>
              </w:rPr>
              <w:t>والموافقة عليها في</w:t>
            </w:r>
            <w:r w:rsidR="00F159AB" w:rsidRPr="00663596">
              <w:rPr>
                <w:rFonts w:hint="eastAsia"/>
                <w:b/>
                <w:bCs/>
                <w:position w:val="2"/>
                <w:rtl/>
                <w:lang w:bidi="ar-EG"/>
              </w:rPr>
              <w:t> </w:t>
            </w:r>
            <w:r w:rsidR="00F159AB" w:rsidRPr="00663596">
              <w:rPr>
                <w:b/>
                <w:bCs/>
                <w:position w:val="2"/>
                <w:rtl/>
                <w:lang w:bidi="ar-EG"/>
              </w:rPr>
              <w:t>نفس الوقت</w:t>
            </w:r>
            <w:r w:rsidR="00F159AB" w:rsidRPr="00663596">
              <w:rPr>
                <w:rFonts w:hint="cs"/>
                <w:b/>
                <w:bCs/>
                <w:position w:val="2"/>
                <w:rtl/>
                <w:lang w:bidi="ar-EG"/>
              </w:rPr>
              <w:t xml:space="preserve"> بالمراسلة</w:t>
            </w:r>
            <w:r w:rsidR="00F159AB" w:rsidRPr="00663596">
              <w:rPr>
                <w:b/>
                <w:bCs/>
                <w:position w:val="2"/>
                <w:rtl/>
                <w:lang w:bidi="ar-EG"/>
              </w:rPr>
              <w:t xml:space="preserve"> وفقاً للفقرة</w:t>
            </w:r>
            <w:r w:rsidR="00F159AB" w:rsidRPr="00663596">
              <w:rPr>
                <w:rFonts w:hint="cs"/>
                <w:b/>
                <w:bCs/>
                <w:position w:val="2"/>
                <w:rtl/>
                <w:lang w:bidi="ar-EG"/>
              </w:rPr>
              <w:t> </w:t>
            </w:r>
            <w:r w:rsidR="00F159AB" w:rsidRPr="00663596">
              <w:rPr>
                <w:b/>
                <w:bCs/>
                <w:position w:val="2"/>
                <w:lang w:val="fr-FR" w:bidi="ar-SY"/>
              </w:rPr>
              <w:t>4.2.6.A2</w:t>
            </w:r>
            <w:r w:rsidR="00F159AB" w:rsidRPr="00663596">
              <w:rPr>
                <w:b/>
                <w:bCs/>
                <w:position w:val="2"/>
                <w:rtl/>
                <w:lang w:bidi="ar-EG"/>
              </w:rPr>
              <w:t xml:space="preserve"> من القرار</w:t>
            </w:r>
            <w:r w:rsidR="00663596">
              <w:rPr>
                <w:rFonts w:hint="cs"/>
                <w:b/>
                <w:bCs/>
                <w:position w:val="2"/>
                <w:rtl/>
                <w:lang w:bidi="ar-EG"/>
              </w:rPr>
              <w:t> </w:t>
            </w:r>
            <w:r w:rsidR="00F159AB" w:rsidRPr="00663596">
              <w:rPr>
                <w:b/>
                <w:bCs/>
                <w:position w:val="2"/>
                <w:lang w:val="fr-FR" w:bidi="ar-SY"/>
              </w:rPr>
              <w:t>ITU</w:t>
            </w:r>
            <w:r w:rsidR="00663596" w:rsidRPr="00663596">
              <w:rPr>
                <w:b/>
                <w:bCs/>
                <w:position w:val="2"/>
                <w:lang w:val="fr-FR" w:bidi="ar-SY"/>
              </w:rPr>
              <w:noBreakHyphen/>
            </w:r>
            <w:r w:rsidR="00F159AB" w:rsidRPr="00663596">
              <w:rPr>
                <w:b/>
                <w:bCs/>
                <w:position w:val="2"/>
                <w:lang w:val="fr-FR" w:bidi="ar-SY"/>
              </w:rPr>
              <w:t>R 1-7</w:t>
            </w:r>
            <w:r w:rsidR="00F159AB" w:rsidRPr="00663596">
              <w:rPr>
                <w:b/>
                <w:bCs/>
                <w:position w:val="2"/>
                <w:rtl/>
                <w:lang w:bidi="ar-EG"/>
              </w:rPr>
              <w:t xml:space="preserve"> (إجراء</w:t>
            </w:r>
            <w:r w:rsidR="00663596">
              <w:rPr>
                <w:rFonts w:hint="cs"/>
                <w:b/>
                <w:bCs/>
                <w:position w:val="2"/>
                <w:rtl/>
                <w:lang w:bidi="ar-EG"/>
              </w:rPr>
              <w:t> </w:t>
            </w:r>
            <w:r w:rsidR="00F159AB" w:rsidRPr="00663596">
              <w:rPr>
                <w:b/>
                <w:bCs/>
                <w:position w:val="2"/>
                <w:rtl/>
                <w:lang w:bidi="ar-EG"/>
              </w:rPr>
              <w:t xml:space="preserve">الاعتماد </w:t>
            </w:r>
            <w:r w:rsidR="00F159AB" w:rsidRPr="00663596">
              <w:rPr>
                <w:b/>
                <w:bCs/>
                <w:rtl/>
                <w:lang w:bidi="ar-EG"/>
              </w:rPr>
              <w:t>والموافقة في</w:t>
            </w:r>
            <w:r w:rsidR="00F159AB" w:rsidRPr="00663596">
              <w:rPr>
                <w:rFonts w:hint="eastAsia"/>
                <w:b/>
                <w:bCs/>
                <w:rtl/>
                <w:lang w:bidi="ar-EG"/>
              </w:rPr>
              <w:t> </w:t>
            </w:r>
            <w:r w:rsidR="00F159AB" w:rsidRPr="00663596">
              <w:rPr>
                <w:b/>
                <w:bCs/>
                <w:rtl/>
                <w:lang w:bidi="ar-EG"/>
              </w:rPr>
              <w:t xml:space="preserve">نفس الوقت </w:t>
            </w:r>
            <w:r w:rsidR="00F159AB" w:rsidRPr="00663596">
              <w:rPr>
                <w:rFonts w:hint="cs"/>
                <w:b/>
                <w:bCs/>
                <w:rtl/>
                <w:lang w:bidi="ar-EG"/>
              </w:rPr>
              <w:t>عن طريق المراسلة</w:t>
            </w:r>
            <w:r w:rsidR="00F159AB" w:rsidRPr="00663596">
              <w:rPr>
                <w:b/>
                <w:bCs/>
                <w:rtl/>
                <w:lang w:bidi="ar-EG"/>
              </w:rPr>
              <w:t>)</w:t>
            </w:r>
          </w:p>
        </w:tc>
      </w:tr>
      <w:tr w:rsidR="002506BA" w:rsidRPr="0019520B" w:rsidTr="00F603CF">
        <w:trPr>
          <w:trHeight w:val="227"/>
        </w:trPr>
        <w:tc>
          <w:tcPr>
            <w:tcW w:w="699" w:type="pct"/>
            <w:shd w:val="clear" w:color="auto" w:fill="auto"/>
          </w:tcPr>
          <w:p w:rsidR="002506BA" w:rsidRPr="0019520B" w:rsidRDefault="002506BA" w:rsidP="00F603CF">
            <w:pPr>
              <w:spacing w:before="0" w:line="300" w:lineRule="exact"/>
              <w:rPr>
                <w:rtl/>
              </w:rPr>
            </w:pPr>
          </w:p>
        </w:tc>
        <w:tc>
          <w:tcPr>
            <w:tcW w:w="4301" w:type="pct"/>
            <w:gridSpan w:val="2"/>
            <w:shd w:val="clear" w:color="auto" w:fill="auto"/>
          </w:tcPr>
          <w:p w:rsidR="002506BA" w:rsidRPr="0019520B" w:rsidRDefault="002506BA" w:rsidP="00F603CF">
            <w:pPr>
              <w:spacing w:before="0" w:line="300" w:lineRule="exact"/>
              <w:rPr>
                <w:b/>
                <w:bCs/>
                <w:rtl/>
                <w:lang w:bidi="ar-SY"/>
              </w:rPr>
            </w:pPr>
          </w:p>
        </w:tc>
      </w:tr>
      <w:tr w:rsidR="002506BA" w:rsidRPr="0019520B" w:rsidTr="00F603CF">
        <w:trPr>
          <w:trHeight w:val="227"/>
        </w:trPr>
        <w:tc>
          <w:tcPr>
            <w:tcW w:w="699" w:type="pct"/>
            <w:shd w:val="clear" w:color="auto" w:fill="auto"/>
          </w:tcPr>
          <w:p w:rsidR="002506BA" w:rsidRPr="0019520B" w:rsidRDefault="002506BA" w:rsidP="00F603CF">
            <w:pPr>
              <w:spacing w:before="0" w:line="300" w:lineRule="exact"/>
              <w:rPr>
                <w:rtl/>
              </w:rPr>
            </w:pPr>
          </w:p>
        </w:tc>
        <w:tc>
          <w:tcPr>
            <w:tcW w:w="4301" w:type="pct"/>
            <w:gridSpan w:val="2"/>
            <w:shd w:val="clear" w:color="auto" w:fill="auto"/>
          </w:tcPr>
          <w:p w:rsidR="002506BA" w:rsidRPr="0019520B" w:rsidRDefault="002506BA" w:rsidP="00F603CF">
            <w:pPr>
              <w:spacing w:before="0" w:line="300" w:lineRule="exact"/>
              <w:rPr>
                <w:b/>
                <w:bCs/>
                <w:rtl/>
                <w:lang w:bidi="ar-SY"/>
              </w:rPr>
            </w:pPr>
          </w:p>
        </w:tc>
      </w:tr>
    </w:tbl>
    <w:p w:rsidR="00F603CF" w:rsidRDefault="00F603CF" w:rsidP="00977F99">
      <w:pPr>
        <w:rPr>
          <w:rtl/>
          <w:lang w:bidi="ar-EG"/>
        </w:rPr>
      </w:pPr>
    </w:p>
    <w:p w:rsidR="00F159AB" w:rsidRPr="0019520B" w:rsidRDefault="00F159AB" w:rsidP="00977F99">
      <w:pPr>
        <w:rPr>
          <w:rtl/>
          <w:lang w:bidi="ar-EG"/>
        </w:rPr>
      </w:pPr>
      <w:r w:rsidRPr="0019520B">
        <w:rPr>
          <w:rtl/>
          <w:lang w:bidi="ar-EG"/>
        </w:rPr>
        <w:t>قررت لجنة الدراسات</w:t>
      </w:r>
      <w:r w:rsidRPr="0019520B">
        <w:rPr>
          <w:rFonts w:hint="cs"/>
          <w:rtl/>
          <w:lang w:bidi="ar-EG"/>
        </w:rPr>
        <w:t> </w:t>
      </w:r>
      <w:r w:rsidRPr="0019520B">
        <w:rPr>
          <w:lang w:val="en-GB"/>
        </w:rPr>
        <w:t>6</w:t>
      </w:r>
      <w:r w:rsidRPr="0019520B">
        <w:rPr>
          <w:rtl/>
          <w:lang w:bidi="ar-EG"/>
        </w:rPr>
        <w:t xml:space="preserve"> للاتصالات الراديوية في اجتماعها المنعقد </w:t>
      </w:r>
      <w:r w:rsidRPr="0019520B">
        <w:rPr>
          <w:rFonts w:hint="cs"/>
          <w:rtl/>
          <w:lang w:bidi="ar-EG"/>
        </w:rPr>
        <w:t xml:space="preserve">في </w:t>
      </w:r>
      <w:r w:rsidRPr="0019520B">
        <w:t>31</w:t>
      </w:r>
      <w:r w:rsidRPr="0019520B">
        <w:rPr>
          <w:rFonts w:hint="eastAsia"/>
          <w:rtl/>
          <w:lang w:bidi="ar-EG"/>
        </w:rPr>
        <w:t> </w:t>
      </w:r>
      <w:r w:rsidRPr="0019520B">
        <w:rPr>
          <w:rFonts w:hint="cs"/>
          <w:rtl/>
          <w:lang w:bidi="ar-EG"/>
        </w:rPr>
        <w:t>مارس</w:t>
      </w:r>
      <w:r w:rsidRPr="0019520B">
        <w:rPr>
          <w:rFonts w:hint="eastAsia"/>
          <w:rtl/>
          <w:lang w:bidi="ar-EG"/>
        </w:rPr>
        <w:t> </w:t>
      </w:r>
      <w:r w:rsidRPr="0019520B">
        <w:t>2017</w:t>
      </w:r>
      <w:r w:rsidRPr="0019520B">
        <w:rPr>
          <w:rtl/>
          <w:lang w:bidi="ar-EG"/>
        </w:rPr>
        <w:t xml:space="preserve"> أن تلتمس اعتماد </w:t>
      </w:r>
      <w:r w:rsidRPr="0019520B">
        <w:rPr>
          <w:rFonts w:hint="cs"/>
          <w:rtl/>
          <w:lang w:bidi="ar-EG"/>
        </w:rPr>
        <w:t xml:space="preserve">مشروع توصية جديدة ومشاريع مراجَعة </w:t>
      </w:r>
      <w:r w:rsidRPr="0019520B">
        <w:t>7</w:t>
      </w:r>
      <w:r w:rsidRPr="0019520B">
        <w:rPr>
          <w:rFonts w:hint="cs"/>
          <w:rtl/>
          <w:lang w:bidi="ar-SY"/>
        </w:rPr>
        <w:t xml:space="preserve"> </w:t>
      </w:r>
      <w:r w:rsidRPr="0019520B">
        <w:rPr>
          <w:rFonts w:hint="cs"/>
          <w:rtl/>
          <w:lang w:bidi="ar-EG"/>
        </w:rPr>
        <w:t>توصيات لقطاع الاتصالات الراديوية عن طريق المراسلة (الفقرة</w:t>
      </w:r>
      <w:r w:rsidRPr="0019520B">
        <w:rPr>
          <w:rFonts w:hint="eastAsia"/>
          <w:rtl/>
          <w:lang w:bidi="ar-EG"/>
        </w:rPr>
        <w:t> </w:t>
      </w:r>
      <w:r w:rsidRPr="0019520B">
        <w:t>2.6.A2</w:t>
      </w:r>
      <w:r w:rsidRPr="0019520B">
        <w:rPr>
          <w:rFonts w:hint="cs"/>
          <w:rtl/>
          <w:lang w:bidi="ar-EG"/>
        </w:rPr>
        <w:t xml:space="preserve"> من القرار </w:t>
      </w:r>
      <w:r w:rsidRPr="0019520B">
        <w:t>ITU</w:t>
      </w:r>
      <w:r w:rsidRPr="0019520B">
        <w:noBreakHyphen/>
        <w:t>R 1</w:t>
      </w:r>
      <w:r w:rsidRPr="0019520B">
        <w:noBreakHyphen/>
        <w:t>7</w:t>
      </w:r>
      <w:r w:rsidRPr="0019520B">
        <w:rPr>
          <w:rFonts w:hint="cs"/>
          <w:rtl/>
          <w:lang w:bidi="ar-EG"/>
        </w:rPr>
        <w:t xml:space="preserve">)، وقررت كذلك تطبيق إجراء الاعتماد والموافقة في نفس الوقت عن طريق المراسلة </w:t>
      </w:r>
      <w:r w:rsidR="008A0AD9" w:rsidRPr="0019520B">
        <w:rPr>
          <w:lang w:bidi="ar-EG"/>
        </w:rPr>
        <w:t>(</w:t>
      </w:r>
      <w:r w:rsidRPr="0019520B">
        <w:t>PSAA</w:t>
      </w:r>
      <w:r w:rsidR="008A0AD9" w:rsidRPr="0019520B">
        <w:rPr>
          <w:lang w:bidi="ar-EG"/>
        </w:rPr>
        <w:t>)</w:t>
      </w:r>
      <w:r w:rsidRPr="0019520B">
        <w:rPr>
          <w:rFonts w:hint="cs"/>
          <w:rtl/>
          <w:lang w:bidi="ar-EG"/>
        </w:rPr>
        <w:t xml:space="preserve"> </w:t>
      </w:r>
      <w:r w:rsidR="008A0AD9" w:rsidRPr="0019520B">
        <w:rPr>
          <w:rFonts w:hint="cs"/>
          <w:rtl/>
          <w:lang w:bidi="ar-EG"/>
        </w:rPr>
        <w:t>(</w:t>
      </w:r>
      <w:r w:rsidRPr="0019520B">
        <w:rPr>
          <w:rFonts w:hint="cs"/>
          <w:rtl/>
          <w:lang w:bidi="ar-EG"/>
        </w:rPr>
        <w:t xml:space="preserve">الفقرة </w:t>
      </w:r>
      <w:r w:rsidRPr="0019520B">
        <w:t>4.2.6.A2</w:t>
      </w:r>
      <w:r w:rsidRPr="0019520B">
        <w:rPr>
          <w:rFonts w:hint="cs"/>
          <w:rtl/>
          <w:lang w:bidi="ar-EG"/>
        </w:rPr>
        <w:t xml:space="preserve"> من القرار </w:t>
      </w:r>
      <w:r w:rsidRPr="0019520B">
        <w:t>ITU</w:t>
      </w:r>
      <w:r w:rsidRPr="0019520B">
        <w:noBreakHyphen/>
        <w:t>R 1</w:t>
      </w:r>
      <w:r w:rsidRPr="0019520B">
        <w:noBreakHyphen/>
        <w:t>7</w:t>
      </w:r>
      <w:r w:rsidRPr="0019520B">
        <w:rPr>
          <w:rFonts w:hint="cs"/>
          <w:rtl/>
          <w:lang w:bidi="ar-EG"/>
        </w:rPr>
        <w:t>). ويرد في</w:t>
      </w:r>
      <w:r w:rsidR="00C272E1" w:rsidRPr="0019520B">
        <w:rPr>
          <w:rFonts w:hint="eastAsia"/>
          <w:rtl/>
          <w:lang w:bidi="ar-EG"/>
        </w:rPr>
        <w:t> </w:t>
      </w:r>
      <w:r w:rsidRPr="0019520B">
        <w:rPr>
          <w:rFonts w:hint="cs"/>
          <w:rtl/>
        </w:rPr>
        <w:t>ملحق هذه</w:t>
      </w:r>
      <w:r w:rsidR="00977F99">
        <w:rPr>
          <w:rFonts w:hint="eastAsia"/>
          <w:rtl/>
        </w:rPr>
        <w:t> </w:t>
      </w:r>
      <w:r w:rsidRPr="0019520B">
        <w:rPr>
          <w:rFonts w:hint="cs"/>
          <w:rtl/>
        </w:rPr>
        <w:t>الرسالة</w:t>
      </w:r>
      <w:r w:rsidRPr="0019520B">
        <w:rPr>
          <w:rFonts w:hint="cs"/>
          <w:rtl/>
          <w:lang w:bidi="ar-EG"/>
        </w:rPr>
        <w:t xml:space="preserve"> عناوين وملخصات مشاريع التوصيات. ويرجى من أي دولة عضو تعترض على اعتماد مشروع توصية أن تخبر المدير ورئيس لجنة الدراسات بأسباب</w:t>
      </w:r>
      <w:r w:rsidRPr="0019520B">
        <w:rPr>
          <w:rFonts w:hint="eastAsia"/>
          <w:rtl/>
          <w:lang w:bidi="ar-EG"/>
        </w:rPr>
        <w:t> </w:t>
      </w:r>
      <w:r w:rsidRPr="0019520B">
        <w:rPr>
          <w:rFonts w:hint="cs"/>
          <w:rtl/>
          <w:lang w:bidi="ar-EG"/>
        </w:rPr>
        <w:t>اعتراضها.</w:t>
      </w:r>
    </w:p>
    <w:p w:rsidR="00F159AB" w:rsidRPr="0019520B" w:rsidRDefault="00F159AB" w:rsidP="00F159AB">
      <w:pPr>
        <w:rPr>
          <w:spacing w:val="2"/>
          <w:rtl/>
          <w:lang w:bidi="ar-EG"/>
        </w:rPr>
      </w:pPr>
      <w:r w:rsidRPr="0019520B">
        <w:rPr>
          <w:spacing w:val="2"/>
          <w:rtl/>
          <w:lang w:bidi="ar-EG"/>
        </w:rPr>
        <w:t xml:space="preserve">وتمتد فترة النظر </w:t>
      </w:r>
      <w:r w:rsidRPr="0019520B">
        <w:rPr>
          <w:rFonts w:hint="cs"/>
          <w:spacing w:val="2"/>
          <w:rtl/>
          <w:lang w:bidi="ar-EG"/>
        </w:rPr>
        <w:t xml:space="preserve">لمدة شهرين </w:t>
      </w:r>
      <w:r w:rsidRPr="0019520B">
        <w:rPr>
          <w:spacing w:val="2"/>
          <w:rtl/>
          <w:lang w:bidi="ar-EG"/>
        </w:rPr>
        <w:t>تنتهي في</w:t>
      </w:r>
      <w:r w:rsidRPr="0019520B">
        <w:rPr>
          <w:rFonts w:hint="cs"/>
          <w:spacing w:val="2"/>
          <w:rtl/>
          <w:lang w:bidi="ar-EG"/>
        </w:rPr>
        <w:t xml:space="preserve"> </w:t>
      </w:r>
      <w:r w:rsidRPr="0019520B">
        <w:rPr>
          <w:spacing w:val="2"/>
          <w:u w:val="single"/>
          <w:lang w:bidi="ar-EG"/>
        </w:rPr>
        <w:t>20</w:t>
      </w:r>
      <w:r w:rsidRPr="0019520B">
        <w:rPr>
          <w:rFonts w:hint="cs"/>
          <w:spacing w:val="2"/>
          <w:u w:val="single"/>
          <w:rtl/>
          <w:lang w:bidi="ar-EG"/>
        </w:rPr>
        <w:t xml:space="preserve"> يونيو </w:t>
      </w:r>
      <w:r w:rsidRPr="0019520B">
        <w:rPr>
          <w:spacing w:val="2"/>
          <w:u w:val="single"/>
        </w:rPr>
        <w:t>2017</w:t>
      </w:r>
      <w:r w:rsidRPr="0019520B">
        <w:rPr>
          <w:spacing w:val="2"/>
          <w:rtl/>
          <w:lang w:bidi="ar-EG"/>
        </w:rPr>
        <w:t>. وإذا لم ترد أي اعتراضات من الدول الأعضاء خلال هذه الفترة فإن</w:t>
      </w:r>
      <w:r w:rsidRPr="0019520B">
        <w:rPr>
          <w:rFonts w:hint="cs"/>
          <w:spacing w:val="2"/>
          <w:rtl/>
          <w:lang w:bidi="ar-EG"/>
        </w:rPr>
        <w:t> مشاريع التوصيات تعتبر قد اعتمدتها</w:t>
      </w:r>
      <w:r w:rsidRPr="0019520B">
        <w:rPr>
          <w:spacing w:val="2"/>
          <w:rtl/>
          <w:lang w:bidi="ar-EG"/>
        </w:rPr>
        <w:t xml:space="preserve"> لجنة الدراسات</w:t>
      </w:r>
      <w:r w:rsidRPr="0019520B">
        <w:rPr>
          <w:rFonts w:hint="eastAsia"/>
          <w:spacing w:val="2"/>
          <w:rtl/>
          <w:lang w:bidi="ar-EG"/>
        </w:rPr>
        <w:t> </w:t>
      </w:r>
      <w:r w:rsidRPr="0019520B">
        <w:rPr>
          <w:spacing w:val="2"/>
        </w:rPr>
        <w:t>6</w:t>
      </w:r>
      <w:r w:rsidRPr="0019520B">
        <w:rPr>
          <w:spacing w:val="2"/>
          <w:rtl/>
          <w:lang w:bidi="ar-EG"/>
        </w:rPr>
        <w:t xml:space="preserve">. </w:t>
      </w:r>
      <w:r w:rsidRPr="0019520B">
        <w:rPr>
          <w:rFonts w:hint="cs"/>
          <w:spacing w:val="2"/>
          <w:rtl/>
          <w:lang w:bidi="ar-EG"/>
        </w:rPr>
        <w:t>وعلاوةً على</w:t>
      </w:r>
      <w:r w:rsidRPr="0019520B">
        <w:rPr>
          <w:spacing w:val="2"/>
          <w:rtl/>
          <w:lang w:bidi="ar-EG"/>
        </w:rPr>
        <w:t xml:space="preserve"> ذلك، ولما كان قد</w:t>
      </w:r>
      <w:r w:rsidRPr="0019520B">
        <w:rPr>
          <w:rFonts w:hint="cs"/>
          <w:spacing w:val="2"/>
          <w:rtl/>
          <w:lang w:bidi="ar-EG"/>
        </w:rPr>
        <w:t> </w:t>
      </w:r>
      <w:r w:rsidRPr="0019520B">
        <w:rPr>
          <w:spacing w:val="2"/>
          <w:rtl/>
          <w:lang w:bidi="ar-EG"/>
        </w:rPr>
        <w:t>تم اتباع إجراء الاعتماد والموافقة في</w:t>
      </w:r>
      <w:r w:rsidRPr="0019520B">
        <w:rPr>
          <w:rFonts w:hint="cs"/>
          <w:spacing w:val="2"/>
          <w:rtl/>
          <w:lang w:bidi="ar-EG"/>
        </w:rPr>
        <w:t> </w:t>
      </w:r>
      <w:r w:rsidRPr="0019520B">
        <w:rPr>
          <w:spacing w:val="2"/>
          <w:rtl/>
          <w:lang w:bidi="ar-EG"/>
        </w:rPr>
        <w:t xml:space="preserve">نفس الوقت عن طريق المراسلة، فإن </w:t>
      </w:r>
      <w:r w:rsidRPr="0019520B">
        <w:rPr>
          <w:rFonts w:hint="cs"/>
          <w:spacing w:val="2"/>
          <w:rtl/>
          <w:lang w:bidi="ar-EG"/>
        </w:rPr>
        <w:t xml:space="preserve">مشاريع التوصيات ستعتبر </w:t>
      </w:r>
      <w:r w:rsidRPr="0019520B">
        <w:rPr>
          <w:spacing w:val="2"/>
          <w:rtl/>
          <w:lang w:bidi="ar-EG"/>
        </w:rPr>
        <w:t>أيضاً بحكم المواف</w:t>
      </w:r>
      <w:r w:rsidRPr="0019520B">
        <w:rPr>
          <w:rFonts w:hint="cs"/>
          <w:spacing w:val="2"/>
          <w:rtl/>
          <w:lang w:bidi="ar-EG"/>
        </w:rPr>
        <w:t>َ</w:t>
      </w:r>
      <w:r w:rsidRPr="0019520B">
        <w:rPr>
          <w:spacing w:val="2"/>
          <w:rtl/>
          <w:lang w:bidi="ar-EG"/>
        </w:rPr>
        <w:t>ق</w:t>
      </w:r>
      <w:r w:rsidRPr="0019520B">
        <w:rPr>
          <w:rFonts w:hint="cs"/>
          <w:spacing w:val="2"/>
          <w:rtl/>
          <w:lang w:bidi="ar-EG"/>
        </w:rPr>
        <w:t xml:space="preserve"> عليها</w:t>
      </w:r>
      <w:r w:rsidRPr="0019520B">
        <w:rPr>
          <w:spacing w:val="2"/>
          <w:rtl/>
          <w:lang w:bidi="ar-EG"/>
        </w:rPr>
        <w:t>.</w:t>
      </w:r>
    </w:p>
    <w:p w:rsidR="00F159AB" w:rsidRPr="0019520B" w:rsidRDefault="00F159AB" w:rsidP="00F159AB">
      <w:pPr>
        <w:rPr>
          <w:rtl/>
        </w:rPr>
      </w:pPr>
      <w:r w:rsidRPr="0019520B">
        <w:rPr>
          <w:rtl/>
          <w:lang w:bidi="ar-EG"/>
        </w:rPr>
        <w:t>وبعد المهلة المحددة أعلاه</w:t>
      </w:r>
      <w:r w:rsidRPr="0019520B">
        <w:rPr>
          <w:rFonts w:hint="cs"/>
          <w:rtl/>
          <w:lang w:bidi="ar-EG"/>
        </w:rPr>
        <w:t>،</w:t>
      </w:r>
      <w:r w:rsidRPr="0019520B">
        <w:rPr>
          <w:rtl/>
          <w:lang w:bidi="ar-EG"/>
        </w:rPr>
        <w:t xml:space="preserve"> ستعلن نتائج </w:t>
      </w:r>
      <w:r w:rsidRPr="0019520B">
        <w:rPr>
          <w:rFonts w:hint="cs"/>
          <w:rtl/>
          <w:lang w:bidi="ar-EG"/>
        </w:rPr>
        <w:t>الإجراءات المذكورة أعلاه</w:t>
      </w:r>
      <w:r w:rsidRPr="0019520B">
        <w:rPr>
          <w:rtl/>
          <w:lang w:bidi="ar-EG"/>
        </w:rPr>
        <w:t xml:space="preserve"> في </w:t>
      </w:r>
      <w:r w:rsidRPr="0019520B">
        <w:rPr>
          <w:rFonts w:hint="cs"/>
          <w:rtl/>
          <w:lang w:bidi="ar-EG"/>
        </w:rPr>
        <w:t>رسالة</w:t>
      </w:r>
      <w:r w:rsidRPr="0019520B">
        <w:rPr>
          <w:rtl/>
          <w:lang w:bidi="ar-EG"/>
        </w:rPr>
        <w:t xml:space="preserve"> إدارية</w:t>
      </w:r>
      <w:r w:rsidRPr="0019520B">
        <w:rPr>
          <w:rFonts w:hint="cs"/>
          <w:rtl/>
          <w:lang w:bidi="ar-EG"/>
        </w:rPr>
        <w:t xml:space="preserve"> معممة</w:t>
      </w:r>
      <w:r w:rsidRPr="0019520B">
        <w:rPr>
          <w:rtl/>
          <w:lang w:bidi="ar-EG"/>
        </w:rPr>
        <w:t xml:space="preserve"> وستنشر التوص</w:t>
      </w:r>
      <w:r w:rsidRPr="0019520B">
        <w:rPr>
          <w:rFonts w:hint="cs"/>
          <w:rtl/>
          <w:lang w:bidi="ar-EG"/>
        </w:rPr>
        <w:t>يات</w:t>
      </w:r>
      <w:r w:rsidRPr="0019520B">
        <w:rPr>
          <w:rtl/>
          <w:lang w:bidi="ar-EG"/>
        </w:rPr>
        <w:t xml:space="preserve"> المواف</w:t>
      </w:r>
      <w:r w:rsidRPr="0019520B">
        <w:rPr>
          <w:rFonts w:hint="cs"/>
          <w:rtl/>
          <w:lang w:bidi="ar-EG"/>
        </w:rPr>
        <w:t>َق</w:t>
      </w:r>
      <w:r w:rsidRPr="0019520B">
        <w:rPr>
          <w:rtl/>
          <w:lang w:bidi="ar-EG"/>
        </w:rPr>
        <w:t xml:space="preserve"> عليها في</w:t>
      </w:r>
      <w:r w:rsidRPr="0019520B">
        <w:rPr>
          <w:rFonts w:hint="cs"/>
          <w:rtl/>
          <w:lang w:bidi="ar-EG"/>
        </w:rPr>
        <w:t> </w:t>
      </w:r>
      <w:r w:rsidRPr="0019520B">
        <w:rPr>
          <w:rtl/>
          <w:lang w:bidi="ar-EG"/>
        </w:rPr>
        <w:t>أقرب وقت</w:t>
      </w:r>
      <w:r w:rsidRPr="0019520B">
        <w:rPr>
          <w:rFonts w:hint="cs"/>
          <w:rtl/>
          <w:lang w:bidi="ar-EG"/>
        </w:rPr>
        <w:t> </w:t>
      </w:r>
      <w:r w:rsidRPr="0019520B">
        <w:rPr>
          <w:rtl/>
          <w:lang w:bidi="ar-EG"/>
        </w:rPr>
        <w:t>ممكن</w:t>
      </w:r>
      <w:r w:rsidRPr="0019520B">
        <w:rPr>
          <w:rFonts w:hint="cs"/>
          <w:rtl/>
          <w:lang w:bidi="ar-EG"/>
        </w:rPr>
        <w:t xml:space="preserve"> عملياً (انظر </w:t>
      </w:r>
      <w:hyperlink r:id="rId10" w:history="1">
        <w:r w:rsidRPr="0019520B">
          <w:rPr>
            <w:rStyle w:val="Hyperlink"/>
            <w:rFonts w:ascii="Calibri" w:hAnsi="Calibri"/>
            <w:lang w:bidi="ar-EG"/>
          </w:rPr>
          <w:t>http://www.itu.int/pub/R-REC</w:t>
        </w:r>
      </w:hyperlink>
      <w:r w:rsidRPr="0019520B">
        <w:rPr>
          <w:rFonts w:hint="cs"/>
          <w:rtl/>
          <w:lang w:bidi="ar-EG"/>
        </w:rPr>
        <w:t>).</w:t>
      </w:r>
    </w:p>
    <w:p w:rsidR="00E45EC2" w:rsidRPr="0019520B" w:rsidRDefault="00F159AB" w:rsidP="006A7927">
      <w:pPr>
        <w:keepNext/>
        <w:keepLines/>
        <w:widowControl w:val="0"/>
        <w:rPr>
          <w:rtl/>
        </w:rPr>
      </w:pPr>
      <w:r w:rsidRPr="0019520B">
        <w:rPr>
          <w:rtl/>
          <w:lang w:bidi="ar-EG"/>
        </w:rPr>
        <w:lastRenderedPageBreak/>
        <w:t>ويرجى من أي</w:t>
      </w:r>
      <w:r w:rsidRPr="0019520B">
        <w:rPr>
          <w:rFonts w:hint="cs"/>
          <w:rtl/>
          <w:lang w:bidi="ar-EG"/>
        </w:rPr>
        <w:t>ّ</w:t>
      </w:r>
      <w:r w:rsidRPr="0019520B">
        <w:rPr>
          <w:rtl/>
          <w:lang w:bidi="ar-EG"/>
        </w:rPr>
        <w:t xml:space="preserve">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w:t>
      </w:r>
      <w:r w:rsidRPr="0019520B">
        <w:rPr>
          <w:rFonts w:hint="cs"/>
          <w:rtl/>
          <w:lang w:bidi="ar-EG"/>
        </w:rPr>
        <w:t> </w:t>
      </w:r>
      <w:r w:rsidRPr="0019520B">
        <w:t>"ITU</w:t>
      </w:r>
      <w:r w:rsidRPr="0019520B">
        <w:noBreakHyphen/>
        <w:t>T/ITU</w:t>
      </w:r>
      <w:r w:rsidRPr="0019520B">
        <w:noBreakHyphen/>
        <w:t>R/ISO/IEC"</w:t>
      </w:r>
      <w:r w:rsidRPr="0019520B">
        <w:rPr>
          <w:rtl/>
          <w:lang w:bidi="ar-EG"/>
        </w:rPr>
        <w:t xml:space="preserve"> في الموقع الإلكتروني</w:t>
      </w:r>
      <w:r w:rsidRPr="0019520B">
        <w:rPr>
          <w:rFonts w:hint="cs"/>
          <w:rtl/>
          <w:lang w:bidi="ar-EG"/>
        </w:rPr>
        <w:t xml:space="preserve">: </w:t>
      </w:r>
      <w:hyperlink r:id="rId11" w:history="1">
        <w:r w:rsidRPr="0019520B">
          <w:rPr>
            <w:rStyle w:val="Hyperlink"/>
            <w:rFonts w:ascii="Calibri" w:hAnsi="Calibri"/>
            <w:lang w:bidi="ar-EG"/>
          </w:rPr>
          <w:t>http://www.itu.int/en/ITU-T/ipr/Pages/policy.aspx</w:t>
        </w:r>
      </w:hyperlink>
      <w:r w:rsidRPr="0019520B">
        <w:rPr>
          <w:rtl/>
          <w:lang w:bidi="ar-EG"/>
        </w:rPr>
        <w:t>.</w:t>
      </w:r>
    </w:p>
    <w:p w:rsidR="00E45EC2" w:rsidRPr="0019520B" w:rsidRDefault="00E45EC2" w:rsidP="00E45EC2">
      <w:pPr>
        <w:spacing w:before="1440"/>
        <w:jc w:val="left"/>
        <w:rPr>
          <w:rtl/>
        </w:rPr>
      </w:pPr>
      <w:r w:rsidRPr="0019520B">
        <w:rPr>
          <w:rFonts w:hint="cs"/>
          <w:rtl/>
        </w:rPr>
        <w:t>فرانسوا</w:t>
      </w:r>
      <w:r w:rsidRPr="0019520B">
        <w:rPr>
          <w:rtl/>
        </w:rPr>
        <w:t xml:space="preserve"> </w:t>
      </w:r>
      <w:r w:rsidRPr="0019520B">
        <w:rPr>
          <w:rFonts w:hint="cs"/>
          <w:rtl/>
        </w:rPr>
        <w:t>رانسي</w:t>
      </w:r>
      <w:r w:rsidRPr="0019520B">
        <w:rPr>
          <w:rtl/>
        </w:rPr>
        <w:br/>
      </w:r>
      <w:r w:rsidRPr="0019520B">
        <w:rPr>
          <w:rFonts w:hint="cs"/>
          <w:rtl/>
        </w:rPr>
        <w:t>المدير</w:t>
      </w:r>
    </w:p>
    <w:p w:rsidR="00F159AB" w:rsidRPr="0019520B" w:rsidRDefault="00F159AB" w:rsidP="00F159AB">
      <w:pPr>
        <w:spacing w:before="720"/>
        <w:jc w:val="left"/>
        <w:rPr>
          <w:rtl/>
          <w:lang w:bidi="ar-EG"/>
        </w:rPr>
      </w:pPr>
      <w:r w:rsidRPr="0019520B">
        <w:rPr>
          <w:b/>
          <w:bCs/>
          <w:rtl/>
          <w:lang w:bidi="ar-EG"/>
        </w:rPr>
        <w:t>الملحق:</w:t>
      </w:r>
      <w:r w:rsidRPr="0019520B">
        <w:rPr>
          <w:rFonts w:hint="cs"/>
          <w:rtl/>
          <w:lang w:bidi="ar-EG"/>
        </w:rPr>
        <w:tab/>
        <w:t>عناوين وملخصات مشاريع التوصيات</w:t>
      </w:r>
    </w:p>
    <w:p w:rsidR="00F159AB" w:rsidRPr="004B387C" w:rsidRDefault="00F159AB" w:rsidP="004F33C2">
      <w:pPr>
        <w:spacing w:before="720"/>
        <w:jc w:val="left"/>
        <w:rPr>
          <w:rtl/>
        </w:rPr>
      </w:pPr>
      <w:r w:rsidRPr="004B387C">
        <w:rPr>
          <w:rFonts w:hint="cs"/>
          <w:b/>
          <w:bCs/>
          <w:rtl/>
          <w:lang w:bidi="ar-EG"/>
        </w:rPr>
        <w:t>الوثائق</w:t>
      </w:r>
      <w:r w:rsidRPr="004B387C">
        <w:rPr>
          <w:b/>
          <w:bCs/>
          <w:rtl/>
          <w:lang w:bidi="ar-EG"/>
        </w:rPr>
        <w:t>:</w:t>
      </w:r>
      <w:r w:rsidRPr="004B387C">
        <w:rPr>
          <w:rFonts w:hint="cs"/>
          <w:rtl/>
          <w:lang w:bidi="ar-EG"/>
        </w:rPr>
        <w:tab/>
        <w:t>الوثائق</w:t>
      </w:r>
      <w:r w:rsidR="00633CCF" w:rsidRPr="004B387C">
        <w:rPr>
          <w:lang w:val="fr-CH"/>
        </w:rPr>
        <w:t>(Rev.1)</w:t>
      </w:r>
      <w:r w:rsidRPr="004B387C">
        <w:rPr>
          <w:rFonts w:hint="cs"/>
          <w:rtl/>
          <w:lang w:bidi="ar-EG"/>
        </w:rPr>
        <w:t xml:space="preserve"> </w:t>
      </w:r>
      <w:hyperlink r:id="rId12" w:history="1">
        <w:r w:rsidRPr="004B387C">
          <w:rPr>
            <w:rStyle w:val="Hyperlink"/>
            <w:rFonts w:ascii="Calibri" w:hAnsi="Calibri"/>
            <w:lang w:val="fr-CH"/>
          </w:rPr>
          <w:t>6/104</w:t>
        </w:r>
      </w:hyperlink>
      <w:r w:rsidRPr="004B387C">
        <w:rPr>
          <w:rFonts w:hint="cs"/>
          <w:rtl/>
          <w:lang w:bidi="ar-EG"/>
        </w:rPr>
        <w:t xml:space="preserve"> و</w:t>
      </w:r>
      <w:hyperlink r:id="rId13" w:history="1">
        <w:r w:rsidRPr="004B387C">
          <w:rPr>
            <w:rStyle w:val="Hyperlink"/>
            <w:rFonts w:ascii="Calibri" w:hAnsi="Calibri"/>
            <w:lang w:val="fr-CH"/>
          </w:rPr>
          <w:t>6/106</w:t>
        </w:r>
      </w:hyperlink>
      <w:r w:rsidRPr="004B387C">
        <w:rPr>
          <w:rFonts w:hint="cs"/>
          <w:rtl/>
          <w:lang w:bidi="ar-EG"/>
        </w:rPr>
        <w:t xml:space="preserve"> و</w:t>
      </w:r>
      <w:hyperlink r:id="rId14" w:history="1">
        <w:r w:rsidRPr="004B387C">
          <w:rPr>
            <w:rStyle w:val="Hyperlink"/>
            <w:rFonts w:ascii="Calibri" w:hAnsi="Calibri"/>
            <w:lang w:val="fr-CH"/>
          </w:rPr>
          <w:t>6/112</w:t>
        </w:r>
      </w:hyperlink>
      <w:r w:rsidRPr="004B387C">
        <w:rPr>
          <w:rFonts w:hint="cs"/>
          <w:rtl/>
          <w:lang w:bidi="ar-EG"/>
        </w:rPr>
        <w:t xml:space="preserve"> و</w:t>
      </w:r>
      <w:hyperlink r:id="rId15" w:history="1">
        <w:r w:rsidRPr="004B387C">
          <w:rPr>
            <w:rStyle w:val="Hyperlink"/>
            <w:rFonts w:ascii="Calibri" w:hAnsi="Calibri"/>
            <w:lang w:val="fr-CH"/>
          </w:rPr>
          <w:t>6/114</w:t>
        </w:r>
      </w:hyperlink>
      <w:r w:rsidRPr="004B387C">
        <w:rPr>
          <w:lang w:val="fr-CH"/>
        </w:rPr>
        <w:t>(Rev.1)</w:t>
      </w:r>
      <w:r w:rsidRPr="004B387C">
        <w:rPr>
          <w:rFonts w:hint="cs"/>
          <w:rtl/>
          <w:lang w:val="fr-CH" w:bidi="ar-EG"/>
        </w:rPr>
        <w:t xml:space="preserve"> و</w:t>
      </w:r>
      <w:hyperlink r:id="rId16" w:history="1">
        <w:r w:rsidRPr="004B387C">
          <w:rPr>
            <w:rStyle w:val="Hyperlink"/>
            <w:rFonts w:ascii="Calibri" w:hAnsi="Calibri"/>
            <w:lang w:val="fr-CH"/>
          </w:rPr>
          <w:t>6/121</w:t>
        </w:r>
      </w:hyperlink>
      <w:r w:rsidRPr="004B387C">
        <w:rPr>
          <w:lang w:val="fr-CH"/>
        </w:rPr>
        <w:t>(Rev.1)</w:t>
      </w:r>
      <w:r w:rsidRPr="004B387C">
        <w:rPr>
          <w:rFonts w:hint="cs"/>
          <w:rtl/>
          <w:lang w:val="fr-CH" w:bidi="ar-EG"/>
        </w:rPr>
        <w:t xml:space="preserve"> و</w:t>
      </w:r>
      <w:hyperlink r:id="rId17" w:history="1">
        <w:r w:rsidRPr="004B387C">
          <w:rPr>
            <w:rStyle w:val="Hyperlink"/>
            <w:rFonts w:ascii="Calibri" w:hAnsi="Calibri"/>
            <w:lang w:val="fr-CH"/>
          </w:rPr>
          <w:t>6/128</w:t>
        </w:r>
      </w:hyperlink>
      <w:r w:rsidRPr="004B387C">
        <w:rPr>
          <w:rFonts w:hint="cs"/>
          <w:rtl/>
          <w:lang w:val="fr-CH" w:bidi="ar-EG"/>
        </w:rPr>
        <w:t xml:space="preserve"> و</w:t>
      </w:r>
      <w:hyperlink r:id="rId18" w:history="1">
        <w:r w:rsidRPr="004B387C">
          <w:rPr>
            <w:rStyle w:val="Hyperlink"/>
            <w:rFonts w:ascii="Calibri" w:hAnsi="Calibri"/>
            <w:lang w:val="fr-CH"/>
          </w:rPr>
          <w:t>6/134</w:t>
        </w:r>
      </w:hyperlink>
      <w:r w:rsidRPr="004B387C">
        <w:rPr>
          <w:rStyle w:val="Hyperlink"/>
          <w:rFonts w:ascii="Calibri" w:hAnsi="Calibri" w:hint="cs"/>
          <w:u w:val="none"/>
          <w:rtl/>
          <w:lang w:val="fr-CH"/>
        </w:rPr>
        <w:t xml:space="preserve"> </w:t>
      </w:r>
      <w:r w:rsidRPr="004B387C">
        <w:rPr>
          <w:rFonts w:hint="cs"/>
          <w:rtl/>
          <w:lang w:val="fr-CH" w:bidi="ar-EG"/>
        </w:rPr>
        <w:t>و</w:t>
      </w:r>
      <w:hyperlink r:id="rId19" w:history="1">
        <w:r w:rsidRPr="004B387C">
          <w:rPr>
            <w:rStyle w:val="Hyperlink"/>
            <w:rFonts w:ascii="Calibri" w:hAnsi="Calibri"/>
            <w:lang w:val="fr-CH"/>
          </w:rPr>
          <w:t>6/135</w:t>
        </w:r>
      </w:hyperlink>
    </w:p>
    <w:p w:rsidR="00F159AB" w:rsidRPr="0019520B" w:rsidRDefault="00F159AB" w:rsidP="00F159AB">
      <w:pPr>
        <w:rPr>
          <w:rtl/>
        </w:rPr>
      </w:pPr>
      <w:r w:rsidRPr="0019520B">
        <w:rPr>
          <w:rFonts w:hint="cs"/>
          <w:rtl/>
        </w:rPr>
        <w:t xml:space="preserve">وتتاح هذه الوثائق في نسق إلكتروني في: </w:t>
      </w:r>
      <w:hyperlink r:id="rId20" w:history="1">
        <w:r w:rsidRPr="0019520B">
          <w:rPr>
            <w:rStyle w:val="Hyperlink"/>
            <w:rFonts w:ascii="Calibri" w:hAnsi="Calibri"/>
            <w:szCs w:val="24"/>
          </w:rPr>
          <w:t>https://www.itu.int/md/R15-SG06-C/en</w:t>
        </w:r>
      </w:hyperlink>
    </w:p>
    <w:p w:rsidR="00E45EC2" w:rsidRPr="0019520B" w:rsidRDefault="00E45EC2" w:rsidP="00807F49">
      <w:pPr>
        <w:tabs>
          <w:tab w:val="clear" w:pos="794"/>
          <w:tab w:val="left" w:pos="283"/>
        </w:tabs>
        <w:spacing w:before="4560"/>
        <w:jc w:val="left"/>
        <w:rPr>
          <w:sz w:val="16"/>
          <w:szCs w:val="22"/>
          <w:rtl/>
          <w:lang w:bidi="ar-EG"/>
        </w:rPr>
      </w:pPr>
      <w:r w:rsidRPr="0019520B">
        <w:rPr>
          <w:b/>
          <w:bCs/>
          <w:sz w:val="16"/>
          <w:szCs w:val="22"/>
          <w:rtl/>
          <w:lang w:bidi="ar-EG"/>
        </w:rPr>
        <w:t>التوزيع</w:t>
      </w:r>
      <w:r w:rsidRPr="0019520B">
        <w:rPr>
          <w:sz w:val="16"/>
          <w:szCs w:val="22"/>
          <w:rtl/>
          <w:lang w:bidi="ar-EG"/>
        </w:rPr>
        <w:t>:</w:t>
      </w:r>
    </w:p>
    <w:p w:rsidR="00F159AB" w:rsidRPr="0019520B" w:rsidRDefault="00F159AB" w:rsidP="00807F49">
      <w:pPr>
        <w:tabs>
          <w:tab w:val="clear" w:pos="794"/>
          <w:tab w:val="left" w:pos="283"/>
        </w:tabs>
        <w:spacing w:before="60"/>
        <w:jc w:val="left"/>
        <w:rPr>
          <w:sz w:val="16"/>
          <w:szCs w:val="22"/>
          <w:rtl/>
          <w:lang w:bidi="ar-EG"/>
        </w:rPr>
      </w:pPr>
      <w:r w:rsidRPr="0019520B">
        <w:rPr>
          <w:rFonts w:hint="cs"/>
          <w:sz w:val="16"/>
          <w:szCs w:val="22"/>
          <w:rtl/>
          <w:lang w:bidi="ar-EG"/>
        </w:rPr>
        <w:t>-</w:t>
      </w:r>
      <w:r w:rsidRPr="0019520B">
        <w:rPr>
          <w:rFonts w:hint="cs"/>
          <w:sz w:val="16"/>
          <w:szCs w:val="22"/>
          <w:rtl/>
          <w:lang w:bidi="ar-EG"/>
        </w:rPr>
        <w:tab/>
      </w:r>
      <w:r w:rsidRPr="0019520B">
        <w:rPr>
          <w:sz w:val="16"/>
          <w:szCs w:val="22"/>
          <w:rtl/>
          <w:lang w:bidi="ar-EG"/>
        </w:rPr>
        <w:t>إدارات الدول الأعضاء</w:t>
      </w:r>
      <w:r w:rsidRPr="0019520B">
        <w:rPr>
          <w:rFonts w:hint="cs"/>
          <w:sz w:val="16"/>
          <w:szCs w:val="22"/>
          <w:rtl/>
          <w:lang w:bidi="ar-EG"/>
        </w:rPr>
        <w:t xml:space="preserve"> في الاتحاد</w:t>
      </w:r>
      <w:r w:rsidRPr="0019520B">
        <w:rPr>
          <w:sz w:val="16"/>
          <w:szCs w:val="22"/>
          <w:rtl/>
          <w:lang w:bidi="ar-EG"/>
        </w:rPr>
        <w:t xml:space="preserve"> وأعضاء قطاع الاتصالات الراديوية</w:t>
      </w:r>
      <w:r w:rsidRPr="0019520B">
        <w:rPr>
          <w:rFonts w:hint="cs"/>
          <w:sz w:val="16"/>
          <w:szCs w:val="22"/>
          <w:rtl/>
          <w:lang w:bidi="ar-EG"/>
        </w:rPr>
        <w:t xml:space="preserve"> المشاركون في أعمال لجنة الدراسات </w:t>
      </w:r>
      <w:r w:rsidRPr="0019520B">
        <w:rPr>
          <w:sz w:val="16"/>
          <w:szCs w:val="22"/>
          <w:lang w:val="fr-CH"/>
        </w:rPr>
        <w:t>6</w:t>
      </w:r>
      <w:r w:rsidRPr="0019520B">
        <w:rPr>
          <w:rFonts w:hint="cs"/>
          <w:sz w:val="16"/>
          <w:szCs w:val="22"/>
          <w:rtl/>
          <w:lang w:bidi="ar-EG"/>
        </w:rPr>
        <w:t xml:space="preserve"> للاتصالات الراديوية</w:t>
      </w:r>
    </w:p>
    <w:p w:rsidR="00F159AB" w:rsidRPr="0019520B" w:rsidRDefault="00F159AB" w:rsidP="00807F49">
      <w:pPr>
        <w:tabs>
          <w:tab w:val="clear" w:pos="794"/>
          <w:tab w:val="left" w:pos="283"/>
        </w:tabs>
        <w:spacing w:before="60"/>
        <w:jc w:val="left"/>
        <w:rPr>
          <w:sz w:val="16"/>
          <w:szCs w:val="22"/>
          <w:rtl/>
          <w:lang w:bidi="ar-EG"/>
        </w:rPr>
      </w:pPr>
      <w:r w:rsidRPr="0019520B">
        <w:rPr>
          <w:sz w:val="16"/>
          <w:szCs w:val="22"/>
          <w:rtl/>
          <w:lang w:bidi="ar-EG"/>
        </w:rPr>
        <w:t>-</w:t>
      </w:r>
      <w:r w:rsidRPr="0019520B">
        <w:rPr>
          <w:sz w:val="16"/>
          <w:szCs w:val="22"/>
          <w:rtl/>
          <w:lang w:bidi="ar-EG"/>
        </w:rPr>
        <w:tab/>
        <w:t xml:space="preserve">المنتسبون إلى قطاع الاتصالات الراديوية المشاركون في أعمال لجنة الدراسات </w:t>
      </w:r>
      <w:r w:rsidRPr="0019520B">
        <w:rPr>
          <w:sz w:val="16"/>
          <w:szCs w:val="22"/>
        </w:rPr>
        <w:t>6</w:t>
      </w:r>
      <w:r w:rsidRPr="0019520B">
        <w:rPr>
          <w:sz w:val="16"/>
          <w:szCs w:val="22"/>
          <w:rtl/>
          <w:lang w:bidi="ar-EG"/>
        </w:rPr>
        <w:t xml:space="preserve"> للاتصالات الراديوية</w:t>
      </w:r>
    </w:p>
    <w:p w:rsidR="00F159AB" w:rsidRPr="0019520B" w:rsidRDefault="00F159AB" w:rsidP="00807F49">
      <w:pPr>
        <w:tabs>
          <w:tab w:val="clear" w:pos="794"/>
          <w:tab w:val="left" w:pos="283"/>
        </w:tabs>
        <w:spacing w:before="60"/>
        <w:jc w:val="left"/>
        <w:rPr>
          <w:sz w:val="16"/>
          <w:szCs w:val="22"/>
          <w:rtl/>
          <w:lang w:bidi="ar-EG"/>
        </w:rPr>
      </w:pPr>
      <w:r w:rsidRPr="0019520B">
        <w:rPr>
          <w:rFonts w:hint="cs"/>
          <w:sz w:val="16"/>
          <w:szCs w:val="22"/>
          <w:rtl/>
          <w:lang w:bidi="ar-EG"/>
        </w:rPr>
        <w:t>-</w:t>
      </w:r>
      <w:r w:rsidRPr="0019520B">
        <w:rPr>
          <w:rFonts w:hint="cs"/>
          <w:sz w:val="16"/>
          <w:szCs w:val="22"/>
          <w:rtl/>
          <w:lang w:bidi="ar-EG"/>
        </w:rPr>
        <w:tab/>
      </w:r>
      <w:r w:rsidRPr="0019520B">
        <w:rPr>
          <w:rFonts w:hint="cs"/>
          <w:sz w:val="16"/>
          <w:szCs w:val="22"/>
          <w:rtl/>
        </w:rPr>
        <w:t>الهيئات الأكاديمية المنضمة إلى الاتحاد</w:t>
      </w:r>
    </w:p>
    <w:p w:rsidR="00F159AB" w:rsidRPr="0019520B" w:rsidRDefault="00F159AB" w:rsidP="00807F49">
      <w:pPr>
        <w:tabs>
          <w:tab w:val="clear" w:pos="794"/>
          <w:tab w:val="left" w:pos="283"/>
        </w:tabs>
        <w:spacing w:before="60"/>
        <w:jc w:val="left"/>
        <w:rPr>
          <w:sz w:val="16"/>
          <w:szCs w:val="22"/>
          <w:rtl/>
          <w:lang w:bidi="ar-EG"/>
        </w:rPr>
      </w:pPr>
      <w:r w:rsidRPr="0019520B">
        <w:rPr>
          <w:sz w:val="16"/>
          <w:szCs w:val="22"/>
          <w:rtl/>
          <w:lang w:bidi="ar-EG"/>
        </w:rPr>
        <w:t>-</w:t>
      </w:r>
      <w:r w:rsidRPr="0019520B">
        <w:rPr>
          <w:sz w:val="16"/>
          <w:szCs w:val="22"/>
          <w:rtl/>
          <w:lang w:bidi="ar-EG"/>
        </w:rPr>
        <w:tab/>
        <w:t xml:space="preserve">رؤساء لجان دراسات الاتصالات الراديوية </w:t>
      </w:r>
      <w:r w:rsidRPr="0019520B">
        <w:rPr>
          <w:rFonts w:hint="cs"/>
          <w:sz w:val="16"/>
          <w:szCs w:val="22"/>
          <w:rtl/>
          <w:lang w:bidi="ar-EG"/>
        </w:rPr>
        <w:t>ونوابهم</w:t>
      </w:r>
    </w:p>
    <w:p w:rsidR="00F159AB" w:rsidRPr="0019520B" w:rsidRDefault="00F159AB" w:rsidP="00807F49">
      <w:pPr>
        <w:tabs>
          <w:tab w:val="clear" w:pos="794"/>
          <w:tab w:val="left" w:pos="283"/>
        </w:tabs>
        <w:spacing w:before="60"/>
        <w:jc w:val="left"/>
        <w:rPr>
          <w:sz w:val="16"/>
          <w:szCs w:val="22"/>
          <w:rtl/>
          <w:lang w:bidi="ar-EG"/>
        </w:rPr>
      </w:pPr>
      <w:r w:rsidRPr="0019520B">
        <w:rPr>
          <w:sz w:val="16"/>
          <w:szCs w:val="22"/>
          <w:rtl/>
          <w:lang w:bidi="ar-EG"/>
        </w:rPr>
        <w:t>-</w:t>
      </w:r>
      <w:r w:rsidRPr="0019520B">
        <w:rPr>
          <w:sz w:val="16"/>
          <w:szCs w:val="22"/>
          <w:rtl/>
          <w:lang w:bidi="ar-EG"/>
        </w:rPr>
        <w:tab/>
        <w:t xml:space="preserve">رئيس الاجتماع </w:t>
      </w:r>
      <w:r w:rsidR="00807F49">
        <w:rPr>
          <w:rFonts w:hint="cs"/>
          <w:sz w:val="16"/>
          <w:szCs w:val="22"/>
          <w:rtl/>
          <w:lang w:bidi="ar-EG"/>
        </w:rPr>
        <w:t>التحضيري</w:t>
      </w:r>
      <w:r w:rsidRPr="0019520B">
        <w:rPr>
          <w:sz w:val="16"/>
          <w:szCs w:val="22"/>
          <w:rtl/>
          <w:lang w:bidi="ar-EG"/>
        </w:rPr>
        <w:t xml:space="preserve"> للمؤتمر ونوابه</w:t>
      </w:r>
    </w:p>
    <w:p w:rsidR="00F159AB" w:rsidRPr="0019520B" w:rsidRDefault="00F159AB" w:rsidP="00807F49">
      <w:pPr>
        <w:tabs>
          <w:tab w:val="clear" w:pos="794"/>
          <w:tab w:val="left" w:pos="283"/>
        </w:tabs>
        <w:spacing w:before="60"/>
        <w:jc w:val="left"/>
        <w:rPr>
          <w:sz w:val="16"/>
          <w:szCs w:val="22"/>
          <w:rtl/>
          <w:lang w:bidi="ar-EG"/>
        </w:rPr>
      </w:pPr>
      <w:r w:rsidRPr="0019520B">
        <w:rPr>
          <w:sz w:val="16"/>
          <w:szCs w:val="22"/>
          <w:rtl/>
          <w:lang w:bidi="ar-EG"/>
        </w:rPr>
        <w:t>-</w:t>
      </w:r>
      <w:r w:rsidRPr="0019520B">
        <w:rPr>
          <w:sz w:val="16"/>
          <w:szCs w:val="22"/>
          <w:rtl/>
          <w:lang w:bidi="ar-EG"/>
        </w:rPr>
        <w:tab/>
        <w:t>أعضاء لجنة لوائح الراديو</w:t>
      </w:r>
    </w:p>
    <w:p w:rsidR="00F159AB" w:rsidRPr="0019520B" w:rsidRDefault="00F159AB" w:rsidP="00807F49">
      <w:pPr>
        <w:tabs>
          <w:tab w:val="clear" w:pos="794"/>
          <w:tab w:val="left" w:pos="283"/>
        </w:tabs>
        <w:spacing w:before="60"/>
        <w:jc w:val="left"/>
        <w:rPr>
          <w:sz w:val="16"/>
          <w:szCs w:val="22"/>
          <w:rtl/>
          <w:lang w:bidi="ar-EG"/>
        </w:rPr>
      </w:pPr>
      <w:r w:rsidRPr="0019520B">
        <w:rPr>
          <w:sz w:val="16"/>
          <w:szCs w:val="22"/>
          <w:rtl/>
          <w:lang w:bidi="ar-EG"/>
        </w:rPr>
        <w:t>-</w:t>
      </w:r>
      <w:r w:rsidRPr="0019520B">
        <w:rPr>
          <w:sz w:val="16"/>
          <w:szCs w:val="22"/>
          <w:rtl/>
          <w:lang w:bidi="ar-EG"/>
        </w:rPr>
        <w:tab/>
        <w:t>الأمين العام للاتحاد ومدير مكتب تقييس الاتصالات ومدير مكتب تنمية الاتصالات</w:t>
      </w:r>
    </w:p>
    <w:p w:rsidR="002506BA" w:rsidRPr="0019520B" w:rsidRDefault="002506BA" w:rsidP="00F159AB">
      <w:pPr>
        <w:rPr>
          <w:rtl/>
        </w:rPr>
      </w:pPr>
      <w:r w:rsidRPr="0019520B">
        <w:rPr>
          <w:rtl/>
        </w:rPr>
        <w:br w:type="page"/>
      </w:r>
    </w:p>
    <w:p w:rsidR="00C51976" w:rsidRPr="0019520B" w:rsidRDefault="00C51976" w:rsidP="00C51976">
      <w:pPr>
        <w:pStyle w:val="AnnexNo0"/>
        <w:rPr>
          <w:rtl/>
          <w:lang w:val="en-GB" w:bidi="ar-SA"/>
        </w:rPr>
      </w:pPr>
      <w:r w:rsidRPr="0019520B">
        <w:rPr>
          <w:rFonts w:hint="eastAsia"/>
          <w:rtl/>
        </w:rPr>
        <w:lastRenderedPageBreak/>
        <w:t>الملحـق</w:t>
      </w:r>
    </w:p>
    <w:p w:rsidR="00C51976" w:rsidRPr="0019520B" w:rsidRDefault="00C51976" w:rsidP="00C51976">
      <w:pPr>
        <w:pStyle w:val="Annextitle0"/>
        <w:rPr>
          <w:rtl/>
        </w:rPr>
      </w:pPr>
      <w:r w:rsidRPr="0019520B">
        <w:rPr>
          <w:rFonts w:hint="cs"/>
          <w:rtl/>
        </w:rPr>
        <w:t>عناوين وملخصات مشاريع التوصيات</w:t>
      </w:r>
    </w:p>
    <w:p w:rsidR="00C51976" w:rsidRPr="0019520B" w:rsidRDefault="00C51976" w:rsidP="00C51976">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19520B">
        <w:rPr>
          <w:rFonts w:hint="cs"/>
          <w:u w:val="single"/>
          <w:rtl/>
        </w:rPr>
        <w:t xml:space="preserve">مشروع التوصية الجديدة </w:t>
      </w:r>
      <w:r w:rsidRPr="0019520B">
        <w:rPr>
          <w:u w:val="single"/>
        </w:rPr>
        <w:t>ITU</w:t>
      </w:r>
      <w:r w:rsidRPr="0019520B">
        <w:rPr>
          <w:u w:val="single"/>
        </w:rPr>
        <w:noBreakHyphen/>
        <w:t xml:space="preserve">R </w:t>
      </w:r>
      <w:r w:rsidRPr="0019520B">
        <w:rPr>
          <w:szCs w:val="24"/>
          <w:u w:val="single"/>
        </w:rPr>
        <w:t>BS.[IRDR_FREQS]</w:t>
      </w:r>
      <w:r w:rsidRPr="0019520B">
        <w:rPr>
          <w:rFonts w:hint="cs"/>
          <w:rtl/>
          <w:lang w:bidi="ar-EG"/>
        </w:rPr>
        <w:tab/>
        <w:t xml:space="preserve">الوثيقة </w:t>
      </w:r>
      <w:hyperlink r:id="rId21" w:history="1">
        <w:r w:rsidRPr="0019520B">
          <w:rPr>
            <w:rStyle w:val="Hyperlink"/>
            <w:rFonts w:ascii="Calibri" w:hAnsi="Calibri"/>
            <w:szCs w:val="24"/>
          </w:rPr>
          <w:t>6/104</w:t>
        </w:r>
      </w:hyperlink>
      <w:r w:rsidR="00633CCF" w:rsidRPr="0019520B">
        <w:rPr>
          <w:szCs w:val="24"/>
        </w:rPr>
        <w:t>(Rev.1)</w:t>
      </w:r>
    </w:p>
    <w:p w:rsidR="00C51976" w:rsidRPr="0019520B" w:rsidRDefault="00C51976" w:rsidP="003E0B61">
      <w:pPr>
        <w:pStyle w:val="Rectitle"/>
        <w:spacing w:before="240" w:after="240"/>
        <w:rPr>
          <w:rFonts w:ascii="Calibri" w:hAnsi="Calibri"/>
          <w:rtl/>
          <w:lang w:bidi="ar-EG"/>
        </w:rPr>
      </w:pPr>
      <w:r w:rsidRPr="00AA7F14">
        <w:rPr>
          <w:rFonts w:ascii="Calibri" w:hAnsi="Calibri" w:hint="cs"/>
          <w:spacing w:val="-2"/>
          <w:rtl/>
          <w:lang w:bidi="ar-EG"/>
        </w:rPr>
        <w:t>استعمال ترددات الاتصالات الراديوية الدولية من أجل الإغاثة في حالات الكوارث </w:t>
      </w:r>
      <w:r w:rsidRPr="00AA7F14">
        <w:rPr>
          <w:rFonts w:ascii="Calibri" w:hAnsi="Calibri"/>
          <w:spacing w:val="-2"/>
        </w:rPr>
        <w:t>(</w:t>
      </w:r>
      <w:r w:rsidRPr="00AA7F14">
        <w:rPr>
          <w:rFonts w:ascii="Calibri" w:hAnsi="Calibri"/>
          <w:spacing w:val="-2"/>
          <w:lang w:val="en-GB"/>
        </w:rPr>
        <w:t>IRDR</w:t>
      </w:r>
      <w:r w:rsidRPr="00AA7F14">
        <w:rPr>
          <w:rFonts w:ascii="Calibri" w:hAnsi="Calibri"/>
          <w:spacing w:val="-2"/>
        </w:rPr>
        <w:t>)</w:t>
      </w:r>
      <w:r w:rsidRPr="0019520B">
        <w:rPr>
          <w:rFonts w:ascii="Calibri" w:hAnsi="Calibri" w:hint="cs"/>
          <w:rtl/>
          <w:lang w:bidi="ar-EG"/>
        </w:rPr>
        <w:t xml:space="preserve"> لأغراض الإذاعة في نطاقات الترددات العالية</w:t>
      </w:r>
      <w:r w:rsidR="00C272E1" w:rsidRPr="0019520B">
        <w:rPr>
          <w:rFonts w:ascii="Calibri" w:hAnsi="Calibri" w:hint="cs"/>
          <w:rtl/>
          <w:lang w:bidi="ar-EG"/>
        </w:rPr>
        <w:t xml:space="preserve"> </w:t>
      </w:r>
      <w:r w:rsidR="00C272E1" w:rsidRPr="0019520B">
        <w:rPr>
          <w:rFonts w:ascii="Calibri" w:hAnsi="Calibri"/>
          <w:lang w:bidi="ar-EG"/>
        </w:rPr>
        <w:t>(HF)</w:t>
      </w:r>
      <w:r w:rsidRPr="0019520B">
        <w:rPr>
          <w:rFonts w:ascii="Calibri" w:hAnsi="Calibri" w:hint="cs"/>
          <w:rtl/>
          <w:lang w:bidi="ar-EG"/>
        </w:rPr>
        <w:t xml:space="preserve"> في حالات الطوارئ</w:t>
      </w:r>
    </w:p>
    <w:p w:rsidR="00C51976" w:rsidRPr="0019520B" w:rsidRDefault="00C51976" w:rsidP="009029AF">
      <w:pPr>
        <w:rPr>
          <w:rtl/>
          <w:lang w:bidi="ar-EG"/>
        </w:rPr>
      </w:pPr>
      <w:r w:rsidRPr="0019520B">
        <w:rPr>
          <w:rFonts w:hint="cs"/>
          <w:rtl/>
          <w:lang w:bidi="ar-EG"/>
        </w:rPr>
        <w:t>ت</w:t>
      </w:r>
      <w:r w:rsidR="00BC7EC8" w:rsidRPr="0019520B">
        <w:rPr>
          <w:rFonts w:hint="cs"/>
          <w:rtl/>
          <w:lang w:bidi="ar-EG"/>
        </w:rPr>
        <w:t>بين</w:t>
      </w:r>
      <w:r w:rsidRPr="0019520B">
        <w:rPr>
          <w:rFonts w:hint="cs"/>
          <w:rtl/>
          <w:lang w:bidi="ar-EG"/>
        </w:rPr>
        <w:t xml:space="preserve"> هذه التوصية ترددات الاتصالات الراديوية الدولية من أجل الإغاثة في حالات الطوارئ </w:t>
      </w:r>
      <w:r w:rsidR="009029AF">
        <w:rPr>
          <w:lang w:bidi="ar-EG"/>
        </w:rPr>
        <w:t>(</w:t>
      </w:r>
      <w:r w:rsidRPr="0019520B">
        <w:rPr>
          <w:rFonts w:hint="eastAsia"/>
          <w:szCs w:val="24"/>
        </w:rPr>
        <w:t>IRDR</w:t>
      </w:r>
      <w:r w:rsidR="009029AF">
        <w:rPr>
          <w:lang w:bidi="ar-EG"/>
        </w:rPr>
        <w:t>)</w:t>
      </w:r>
      <w:r w:rsidRPr="0019520B">
        <w:rPr>
          <w:rFonts w:hint="cs"/>
          <w:rtl/>
          <w:lang w:bidi="ar-EG"/>
        </w:rPr>
        <w:t xml:space="preserve"> والفترات الزمنية التي </w:t>
      </w:r>
      <w:r w:rsidR="00BC7EC8" w:rsidRPr="0019520B">
        <w:rPr>
          <w:rFonts w:hint="cs"/>
          <w:rtl/>
          <w:lang w:bidi="ar-EG"/>
        </w:rPr>
        <w:t>يمكن أن</w:t>
      </w:r>
      <w:r w:rsidR="00B67A90" w:rsidRPr="0019520B">
        <w:rPr>
          <w:rFonts w:hint="eastAsia"/>
          <w:rtl/>
          <w:lang w:bidi="ar-EG"/>
        </w:rPr>
        <w:t> </w:t>
      </w:r>
      <w:r w:rsidRPr="0019520B">
        <w:rPr>
          <w:rFonts w:hint="cs"/>
          <w:rtl/>
          <w:lang w:bidi="ar-EG"/>
        </w:rPr>
        <w:t>تُستعمل لأغراض الإذاعة في نطاقات الترددات العالية</w:t>
      </w:r>
      <w:r w:rsidR="00BC7EC8" w:rsidRPr="0019520B">
        <w:rPr>
          <w:rFonts w:hint="cs"/>
          <w:rtl/>
          <w:lang w:bidi="ar-EG"/>
        </w:rPr>
        <w:t xml:space="preserve"> </w:t>
      </w:r>
      <w:r w:rsidR="00BC7EC8" w:rsidRPr="0019520B">
        <w:rPr>
          <w:lang w:bidi="ar-EG"/>
        </w:rPr>
        <w:t>(HF)</w:t>
      </w:r>
      <w:r w:rsidR="009A3EC2">
        <w:rPr>
          <w:rFonts w:hint="cs"/>
          <w:rtl/>
          <w:lang w:bidi="ar-EG"/>
        </w:rPr>
        <w:t xml:space="preserve"> في حالات الطوارئ.</w:t>
      </w:r>
    </w:p>
    <w:p w:rsidR="00C51976" w:rsidRPr="0019520B" w:rsidRDefault="00C51976" w:rsidP="00C51976">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19520B">
        <w:rPr>
          <w:rFonts w:hint="cs"/>
          <w:u w:val="single"/>
          <w:rtl/>
        </w:rPr>
        <w:t xml:space="preserve">مشروع مراجعة التوصية </w:t>
      </w:r>
      <w:r w:rsidRPr="0019520B">
        <w:rPr>
          <w:u w:val="single"/>
        </w:rPr>
        <w:t>ITU</w:t>
      </w:r>
      <w:r w:rsidRPr="0019520B">
        <w:rPr>
          <w:u w:val="single"/>
        </w:rPr>
        <w:noBreakHyphen/>
        <w:t xml:space="preserve">R </w:t>
      </w:r>
      <w:r w:rsidRPr="0019520B">
        <w:rPr>
          <w:szCs w:val="24"/>
          <w:u w:val="single"/>
        </w:rPr>
        <w:t>BT.2095</w:t>
      </w:r>
      <w:r w:rsidR="004F33C2">
        <w:rPr>
          <w:szCs w:val="24"/>
          <w:u w:val="single"/>
        </w:rPr>
        <w:t>-0</w:t>
      </w:r>
      <w:bookmarkStart w:id="0" w:name="_GoBack"/>
      <w:bookmarkEnd w:id="0"/>
      <w:r w:rsidRPr="0019520B">
        <w:rPr>
          <w:rFonts w:hint="cs"/>
          <w:rtl/>
          <w:lang w:bidi="ar-EG"/>
        </w:rPr>
        <w:tab/>
        <w:t xml:space="preserve">الوثيقة </w:t>
      </w:r>
      <w:hyperlink r:id="rId22" w:history="1">
        <w:r w:rsidRPr="0019520B">
          <w:rPr>
            <w:rStyle w:val="Hyperlink"/>
            <w:rFonts w:ascii="Calibri" w:hAnsi="Calibri"/>
            <w:szCs w:val="24"/>
          </w:rPr>
          <w:t>6/106</w:t>
        </w:r>
      </w:hyperlink>
    </w:p>
    <w:p w:rsidR="00C51976" w:rsidRPr="0019520B" w:rsidRDefault="00C51976" w:rsidP="003E0B61">
      <w:pPr>
        <w:pStyle w:val="Rectitle"/>
        <w:spacing w:before="240" w:after="240"/>
        <w:rPr>
          <w:rFonts w:ascii="Calibri" w:hAnsi="Calibri"/>
          <w:rtl/>
          <w:lang w:bidi="ar-EG"/>
        </w:rPr>
      </w:pPr>
      <w:r w:rsidRPr="0019520B">
        <w:rPr>
          <w:rFonts w:ascii="Calibri" w:hAnsi="Calibri" w:hint="cs"/>
          <w:rtl/>
          <w:lang w:bidi="ar-EG"/>
        </w:rPr>
        <w:t xml:space="preserve">التقييم الذاتي لجودة الفيديو باستعمال بروتوكول </w:t>
      </w:r>
      <w:r w:rsidR="0009379A">
        <w:rPr>
          <w:rFonts w:ascii="Calibri" w:hAnsi="Calibri" w:hint="cs"/>
          <w:rtl/>
          <w:lang w:bidi="ar-EG"/>
        </w:rPr>
        <w:t>ال</w:t>
      </w:r>
      <w:r w:rsidRPr="0019520B">
        <w:rPr>
          <w:rFonts w:ascii="Calibri" w:hAnsi="Calibri" w:hint="cs"/>
          <w:rtl/>
          <w:lang w:bidi="ar-EG"/>
        </w:rPr>
        <w:t xml:space="preserve">مشاهدة </w:t>
      </w:r>
      <w:r w:rsidR="0009379A">
        <w:rPr>
          <w:rFonts w:ascii="Calibri" w:hAnsi="Calibri" w:hint="cs"/>
          <w:rtl/>
          <w:lang w:bidi="ar-EG"/>
        </w:rPr>
        <w:t>المتمرسة</w:t>
      </w:r>
      <w:r w:rsidRPr="0019520B">
        <w:rPr>
          <w:rFonts w:ascii="Calibri" w:hAnsi="Calibri" w:hint="cs"/>
          <w:rtl/>
          <w:lang w:bidi="ar-EG"/>
        </w:rPr>
        <w:t xml:space="preserve"> </w:t>
      </w:r>
      <w:r w:rsidRPr="0019520B">
        <w:rPr>
          <w:rFonts w:ascii="Calibri" w:hAnsi="Calibri"/>
          <w:lang w:bidi="ar-EG"/>
        </w:rPr>
        <w:t>(EVP)</w:t>
      </w:r>
    </w:p>
    <w:p w:rsidR="00C51976" w:rsidRPr="0019520B" w:rsidRDefault="00C51976" w:rsidP="0009379A">
      <w:pPr>
        <w:rPr>
          <w:rtl/>
          <w:lang w:bidi="ar-EG"/>
        </w:rPr>
      </w:pPr>
      <w:r w:rsidRPr="0019520B">
        <w:rPr>
          <w:rFonts w:hint="cs"/>
          <w:rtl/>
          <w:lang w:bidi="ar-EG"/>
        </w:rPr>
        <w:t>تهدف هذه المراجعة إلى إضافة ملحق (إعلامي) بشأن النتائج التجريبية التي تُظهر العلاقة بين قيم متوسط علامات الرأي</w:t>
      </w:r>
      <w:r w:rsidR="00B71C6C">
        <w:rPr>
          <w:rFonts w:hint="eastAsia"/>
          <w:rtl/>
          <w:lang w:bidi="ar-EG"/>
        </w:rPr>
        <w:t> </w:t>
      </w:r>
      <w:r w:rsidR="00267DCA">
        <w:rPr>
          <w:lang w:bidi="ar-EG"/>
        </w:rPr>
        <w:t>(</w:t>
      </w:r>
      <w:r w:rsidRPr="0019520B">
        <w:rPr>
          <w:szCs w:val="24"/>
        </w:rPr>
        <w:t>MOS</w:t>
      </w:r>
      <w:r w:rsidR="00267DCA">
        <w:rPr>
          <w:lang w:bidi="ar-EG"/>
        </w:rPr>
        <w:t>)</w:t>
      </w:r>
      <w:r w:rsidRPr="0019520B">
        <w:rPr>
          <w:rFonts w:hint="cs"/>
          <w:rtl/>
          <w:lang w:bidi="ar-EG"/>
        </w:rPr>
        <w:t xml:space="preserve"> وعدد الخبراء. وتُظهر النتائج أيضاً </w:t>
      </w:r>
      <w:r w:rsidR="00B71C6C">
        <w:rPr>
          <w:rFonts w:hint="cs"/>
          <w:rtl/>
          <w:lang w:bidi="ar-EG"/>
        </w:rPr>
        <w:t xml:space="preserve">صلاحية بروتوكول </w:t>
      </w:r>
      <w:r w:rsidR="0009379A">
        <w:rPr>
          <w:rFonts w:hint="cs"/>
          <w:rtl/>
          <w:lang w:bidi="ar-EG"/>
        </w:rPr>
        <w:t>ال</w:t>
      </w:r>
      <w:r w:rsidR="00B71C6C">
        <w:rPr>
          <w:rFonts w:hint="cs"/>
          <w:rtl/>
          <w:lang w:bidi="ar-EG"/>
        </w:rPr>
        <w:t xml:space="preserve">مشاهدة </w:t>
      </w:r>
      <w:r w:rsidR="0009379A">
        <w:rPr>
          <w:rFonts w:hint="cs"/>
          <w:rtl/>
          <w:lang w:bidi="ar-EG"/>
        </w:rPr>
        <w:t>المتمرسة</w:t>
      </w:r>
      <w:r w:rsidR="00B71C6C">
        <w:rPr>
          <w:rFonts w:hint="cs"/>
          <w:rtl/>
          <w:lang w:bidi="ar-EG"/>
        </w:rPr>
        <w:t>.</w:t>
      </w:r>
    </w:p>
    <w:p w:rsidR="00C51976" w:rsidRPr="0019520B" w:rsidRDefault="00C51976" w:rsidP="00C51976">
      <w:pPr>
        <w:rPr>
          <w:rtl/>
          <w:lang w:bidi="ar-EG"/>
        </w:rPr>
      </w:pPr>
      <w:r w:rsidRPr="0019520B">
        <w:rPr>
          <w:rFonts w:hint="cs"/>
          <w:rtl/>
          <w:lang w:bidi="ar-EG"/>
        </w:rPr>
        <w:t>والمراجعة المقترحة تُكمِّل الاتفاق الذي تم التوصل إليه في النسخة</w:t>
      </w:r>
      <w:r w:rsidR="00180824">
        <w:rPr>
          <w:rFonts w:hint="cs"/>
          <w:rtl/>
          <w:lang w:bidi="ar-EG"/>
        </w:rPr>
        <w:t xml:space="preserve"> الحالية ولا تغيِّره.</w:t>
      </w:r>
    </w:p>
    <w:p w:rsidR="00C51976" w:rsidRPr="0019520B" w:rsidRDefault="00C51976" w:rsidP="00C51976">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19520B">
        <w:rPr>
          <w:rFonts w:hint="cs"/>
          <w:u w:val="single"/>
          <w:rtl/>
        </w:rPr>
        <w:t xml:space="preserve">مشروع مراجعة التوصية </w:t>
      </w:r>
      <w:r w:rsidRPr="0019520B">
        <w:rPr>
          <w:u w:val="single"/>
        </w:rPr>
        <w:t>ITU</w:t>
      </w:r>
      <w:r w:rsidRPr="0019520B">
        <w:rPr>
          <w:u w:val="single"/>
        </w:rPr>
        <w:noBreakHyphen/>
        <w:t xml:space="preserve">R </w:t>
      </w:r>
      <w:r w:rsidRPr="0019520B">
        <w:rPr>
          <w:szCs w:val="24"/>
          <w:u w:val="single"/>
        </w:rPr>
        <w:t>BT.2100-0</w:t>
      </w:r>
      <w:r w:rsidRPr="0019520B">
        <w:rPr>
          <w:rFonts w:hint="cs"/>
          <w:rtl/>
          <w:lang w:bidi="ar-EG"/>
        </w:rPr>
        <w:tab/>
        <w:t xml:space="preserve">الوثيقة </w:t>
      </w:r>
      <w:hyperlink r:id="rId23" w:history="1">
        <w:r w:rsidRPr="0019520B">
          <w:rPr>
            <w:rStyle w:val="Hyperlink"/>
            <w:rFonts w:ascii="Calibri" w:hAnsi="Calibri"/>
            <w:szCs w:val="24"/>
          </w:rPr>
          <w:t>6/112</w:t>
        </w:r>
      </w:hyperlink>
    </w:p>
    <w:p w:rsidR="00C51976" w:rsidRPr="0019520B" w:rsidRDefault="00C51976" w:rsidP="003E0B61">
      <w:pPr>
        <w:pStyle w:val="Rectitle"/>
        <w:spacing w:before="240" w:after="240"/>
        <w:rPr>
          <w:rFonts w:ascii="Calibri" w:hAnsi="Calibri"/>
          <w:rtl/>
        </w:rPr>
      </w:pPr>
      <w:r w:rsidRPr="0019520B">
        <w:rPr>
          <w:rFonts w:ascii="Calibri" w:hAnsi="Calibri" w:hint="cs"/>
          <w:rtl/>
        </w:rPr>
        <w:t>قيم معلمات الصورة في التلفزيون ذي</w:t>
      </w:r>
      <w:r w:rsidRPr="0019520B">
        <w:rPr>
          <w:rFonts w:ascii="Calibri" w:hAnsi="Calibri"/>
          <w:rtl/>
        </w:rPr>
        <w:t xml:space="preserve"> المدى الدينامي </w:t>
      </w:r>
      <w:r w:rsidR="00C033F1">
        <w:rPr>
          <w:rFonts w:ascii="Calibri" w:hAnsi="Calibri" w:hint="cs"/>
          <w:rtl/>
        </w:rPr>
        <w:t>العالي</w:t>
      </w:r>
      <w:r w:rsidR="00180824">
        <w:rPr>
          <w:rFonts w:ascii="Calibri" w:hAnsi="Calibri" w:hint="cs"/>
          <w:rtl/>
        </w:rPr>
        <w:t xml:space="preserve"> من أجل استعمالها</w:t>
      </w:r>
      <w:r w:rsidRPr="0019520B">
        <w:rPr>
          <w:rFonts w:ascii="Calibri" w:hAnsi="Calibri"/>
          <w:rtl/>
        </w:rPr>
        <w:br/>
      </w:r>
      <w:r w:rsidRPr="0019520B">
        <w:rPr>
          <w:rFonts w:ascii="Calibri" w:hAnsi="Calibri" w:hint="cs"/>
          <w:rtl/>
        </w:rPr>
        <w:t>في إنتاج</w:t>
      </w:r>
      <w:r w:rsidRPr="0019520B">
        <w:rPr>
          <w:rFonts w:ascii="Calibri" w:hAnsi="Calibri"/>
          <w:rtl/>
        </w:rPr>
        <w:t xml:space="preserve"> </w:t>
      </w:r>
      <w:r w:rsidRPr="0019520B">
        <w:rPr>
          <w:rFonts w:ascii="Calibri" w:hAnsi="Calibri" w:hint="cs"/>
          <w:rtl/>
        </w:rPr>
        <w:t>البرامج وتبادلها دولياً</w:t>
      </w:r>
    </w:p>
    <w:p w:rsidR="00C51976" w:rsidRPr="0019520B" w:rsidRDefault="00C51976" w:rsidP="00F07106">
      <w:pPr>
        <w:rPr>
          <w:rtl/>
          <w:lang w:bidi="ar-EG"/>
        </w:rPr>
      </w:pPr>
      <w:r w:rsidRPr="0019520B">
        <w:rPr>
          <w:rFonts w:hint="cs"/>
          <w:rtl/>
          <w:lang w:bidi="ar-EG"/>
        </w:rPr>
        <w:t xml:space="preserve">نُشرت التوصية </w:t>
      </w:r>
      <w:r w:rsidRPr="0019520B">
        <w:rPr>
          <w:spacing w:val="-2"/>
          <w:szCs w:val="24"/>
        </w:rPr>
        <w:t>ITU-R BT.2100-0</w:t>
      </w:r>
      <w:r w:rsidRPr="0019520B">
        <w:rPr>
          <w:rFonts w:hint="cs"/>
          <w:spacing w:val="-2"/>
          <w:szCs w:val="24"/>
          <w:rtl/>
        </w:rPr>
        <w:t xml:space="preserve"> </w:t>
      </w:r>
      <w:r w:rsidRPr="0019520B">
        <w:rPr>
          <w:rFonts w:hint="cs"/>
          <w:rtl/>
          <w:lang w:bidi="ar-EG"/>
        </w:rPr>
        <w:t xml:space="preserve">في يوليو </w:t>
      </w:r>
      <w:r w:rsidRPr="0019520B">
        <w:rPr>
          <w:lang w:bidi="ar-EG"/>
        </w:rPr>
        <w:t>2016</w:t>
      </w:r>
      <w:r w:rsidRPr="0019520B">
        <w:rPr>
          <w:rFonts w:hint="cs"/>
          <w:rtl/>
          <w:lang w:bidi="ar-EG"/>
        </w:rPr>
        <w:t>. وتنص حاشية على أن "هناك حاجة إلى مزيد من الدراسات التي قد تؤدي إلى مراج</w:t>
      </w:r>
      <w:r w:rsidR="00ED4969">
        <w:rPr>
          <w:rFonts w:hint="cs"/>
          <w:rtl/>
          <w:lang w:bidi="ar-EG"/>
        </w:rPr>
        <w:t>َ</w:t>
      </w:r>
      <w:r w:rsidRPr="0019520B">
        <w:rPr>
          <w:rFonts w:hint="cs"/>
          <w:rtl/>
          <w:lang w:bidi="ar-EG"/>
        </w:rPr>
        <w:t xml:space="preserve">عة هذه التوصية، عند الاقتضاء، وفقاً لأحكام القرار </w:t>
      </w:r>
      <w:r w:rsidRPr="0019520B">
        <w:rPr>
          <w:lang w:bidi="ar-EG"/>
        </w:rPr>
        <w:t>ITU-R 1-7</w:t>
      </w:r>
      <w:r w:rsidRPr="0019520B">
        <w:rPr>
          <w:rFonts w:hint="cs"/>
          <w:rtl/>
          <w:lang w:bidi="ar-EG"/>
        </w:rPr>
        <w:t>". وأدت دراسات أخرى، بما في ذلك مناقشات في إطار فريق المقرر</w:t>
      </w:r>
      <w:r w:rsidR="00F07106">
        <w:rPr>
          <w:rFonts w:hint="eastAsia"/>
          <w:rtl/>
          <w:lang w:bidi="ar-EG"/>
        </w:rPr>
        <w:t> </w:t>
      </w:r>
      <w:r w:rsidR="00FD25C1">
        <w:rPr>
          <w:lang w:bidi="ar-EG"/>
        </w:rPr>
        <w:t>(</w:t>
      </w:r>
      <w:r w:rsidRPr="0019520B">
        <w:rPr>
          <w:spacing w:val="-2"/>
          <w:szCs w:val="24"/>
        </w:rPr>
        <w:t>RG</w:t>
      </w:r>
      <w:r w:rsidRPr="0019520B">
        <w:rPr>
          <w:spacing w:val="-2"/>
          <w:szCs w:val="24"/>
        </w:rPr>
        <w:noBreakHyphen/>
        <w:t>24</w:t>
      </w:r>
      <w:r w:rsidR="00FD25C1">
        <w:rPr>
          <w:lang w:bidi="ar-EG"/>
        </w:rPr>
        <w:t>)</w:t>
      </w:r>
      <w:r w:rsidRPr="0019520B">
        <w:rPr>
          <w:rFonts w:hint="cs"/>
          <w:rtl/>
          <w:lang w:bidi="ar-EG"/>
        </w:rPr>
        <w:t xml:space="preserve"> إلى</w:t>
      </w:r>
      <w:r w:rsidR="00FD25C1">
        <w:rPr>
          <w:rFonts w:hint="cs"/>
          <w:rtl/>
          <w:lang w:bidi="ar-EG"/>
        </w:rPr>
        <w:t xml:space="preserve"> اقتراح تعديلات طفيفة وتوضيحات.</w:t>
      </w:r>
    </w:p>
    <w:p w:rsidR="00C51976" w:rsidRPr="0019520B" w:rsidRDefault="00C51976" w:rsidP="002051DA">
      <w:pPr>
        <w:rPr>
          <w:rtl/>
        </w:rPr>
      </w:pPr>
      <w:r w:rsidRPr="0019520B">
        <w:rPr>
          <w:rFonts w:hint="cs"/>
          <w:rtl/>
          <w:lang w:bidi="ar-EG"/>
        </w:rPr>
        <w:t xml:space="preserve">وفي الجدول </w:t>
      </w:r>
      <w:r w:rsidRPr="0019520B">
        <w:rPr>
          <w:lang w:bidi="ar-EG"/>
        </w:rPr>
        <w:t>3</w:t>
      </w:r>
      <w:r w:rsidRPr="0019520B">
        <w:rPr>
          <w:rFonts w:hint="cs"/>
          <w:rtl/>
          <w:lang w:bidi="ar-EG"/>
        </w:rPr>
        <w:t xml:space="preserve"> الذي يصف </w:t>
      </w:r>
      <w:r w:rsidR="00F67371">
        <w:rPr>
          <w:rFonts w:hint="cs"/>
          <w:rtl/>
          <w:lang w:bidi="ar-EG"/>
        </w:rPr>
        <w:t>"</w:t>
      </w:r>
      <w:r w:rsidRPr="0019520B">
        <w:rPr>
          <w:rFonts w:hint="cs"/>
          <w:rtl/>
          <w:lang w:bidi="ar-EG"/>
        </w:rPr>
        <w:t xml:space="preserve">بيئة المشاهدة المرجعية فيما يتعلق بالمشاهدة </w:t>
      </w:r>
      <w:r w:rsidR="00D90F99" w:rsidRPr="0019520B">
        <w:rPr>
          <w:rFonts w:hint="cs"/>
          <w:rtl/>
          <w:lang w:bidi="ar-EG"/>
        </w:rPr>
        <w:t xml:space="preserve">في ظروف </w:t>
      </w:r>
      <w:r w:rsidRPr="0019520B">
        <w:rPr>
          <w:rFonts w:hint="cs"/>
          <w:rtl/>
          <w:lang w:bidi="ar-EG"/>
        </w:rPr>
        <w:t xml:space="preserve">حرجة لمواد برامج المدى الدينامي </w:t>
      </w:r>
      <w:r w:rsidR="002051DA">
        <w:rPr>
          <w:rFonts w:hint="cs"/>
          <w:rtl/>
          <w:lang w:bidi="ar-EG"/>
        </w:rPr>
        <w:t>العالي</w:t>
      </w:r>
      <w:r w:rsidRPr="0019520B">
        <w:rPr>
          <w:rFonts w:hint="cs"/>
          <w:rtl/>
          <w:lang w:bidi="ar-EG"/>
        </w:rPr>
        <w:t>"، يُستخدم الآن مصطلح "</w:t>
      </w:r>
      <w:r w:rsidRPr="0019520B">
        <w:rPr>
          <w:rFonts w:hint="cs"/>
          <w:rtl/>
        </w:rPr>
        <w:t>محيط" ومصطلح "حد خارجي". والهدف من ذلك هو المواءمة مع استخدام مصطلح "محيط" في</w:t>
      </w:r>
      <w:r w:rsidR="005A777D">
        <w:rPr>
          <w:rFonts w:hint="eastAsia"/>
          <w:rtl/>
        </w:rPr>
        <w:t> </w:t>
      </w:r>
      <w:r w:rsidRPr="0019520B">
        <w:rPr>
          <w:rFonts w:hint="cs"/>
          <w:rtl/>
        </w:rPr>
        <w:t xml:space="preserve">هيئات أخرى مثل المنظمة الدولية للتوحيد القياسي </w:t>
      </w:r>
      <w:r w:rsidR="005A777D">
        <w:t>(</w:t>
      </w:r>
      <w:r w:rsidRPr="0019520B">
        <w:rPr>
          <w:szCs w:val="24"/>
        </w:rPr>
        <w:t>ISO</w:t>
      </w:r>
      <w:r w:rsidR="005A777D">
        <w:t>)</w:t>
      </w:r>
      <w:r w:rsidRPr="0019520B">
        <w:rPr>
          <w:rFonts w:hint="cs"/>
          <w:rtl/>
        </w:rPr>
        <w:t>. ويعتبر هذا التعديل</w:t>
      </w:r>
      <w:r w:rsidR="00803556">
        <w:rPr>
          <w:rFonts w:hint="cs"/>
          <w:rtl/>
        </w:rPr>
        <w:t xml:space="preserve"> مصطلحياً فقط.</w:t>
      </w:r>
    </w:p>
    <w:p w:rsidR="00C51976" w:rsidRPr="0019520B" w:rsidRDefault="00C51976" w:rsidP="00C51976">
      <w:pPr>
        <w:rPr>
          <w:rtl/>
        </w:rPr>
      </w:pPr>
      <w:r w:rsidRPr="0019520B">
        <w:rPr>
          <w:rFonts w:hint="cs"/>
          <w:rtl/>
        </w:rPr>
        <w:t>وأ</w:t>
      </w:r>
      <w:r w:rsidR="002051DA">
        <w:rPr>
          <w:rFonts w:hint="cs"/>
          <w:rtl/>
        </w:rPr>
        <w:t>ُ</w:t>
      </w:r>
      <w:r w:rsidRPr="0019520B">
        <w:rPr>
          <w:rFonts w:hint="cs"/>
          <w:rtl/>
        </w:rPr>
        <w:t xml:space="preserve">ضيفت ملاحظة إلى الجدول </w:t>
      </w:r>
      <w:r w:rsidRPr="0019520B">
        <w:rPr>
          <w:szCs w:val="24"/>
        </w:rPr>
        <w:t>4</w:t>
      </w:r>
      <w:r w:rsidRPr="0019520B">
        <w:rPr>
          <w:rFonts w:hint="cs"/>
          <w:szCs w:val="24"/>
          <w:rtl/>
        </w:rPr>
        <w:t xml:space="preserve"> </w:t>
      </w:r>
      <w:r w:rsidRPr="0019520B">
        <w:rPr>
          <w:rFonts w:hint="cs"/>
          <w:rtl/>
        </w:rPr>
        <w:t>"دوال التحويل غير الخطية المرجعية لأنظمة التكمية الإدراكية" لتوضيح الخرج الأعلى الناتج عن جهاز استشعار الكاميرا</w:t>
      </w:r>
      <w:r w:rsidR="00CA5136">
        <w:rPr>
          <w:rFonts w:hint="cs"/>
          <w:rtl/>
        </w:rPr>
        <w:t>.</w:t>
      </w:r>
    </w:p>
    <w:p w:rsidR="00C51976" w:rsidRPr="003E0B61" w:rsidRDefault="00C51976" w:rsidP="00CE0DF9">
      <w:pPr>
        <w:rPr>
          <w:spacing w:val="-4"/>
          <w:rtl/>
          <w:lang w:bidi="ar-EG"/>
        </w:rPr>
      </w:pPr>
      <w:r w:rsidRPr="003E0B61">
        <w:rPr>
          <w:rFonts w:hint="cs"/>
          <w:spacing w:val="-4"/>
          <w:rtl/>
          <w:lang w:bidi="ar-EG"/>
        </w:rPr>
        <w:t xml:space="preserve">وأُدخل تعديل صياغي على دوال تحويل لوغاريتم-غاما الهجين </w:t>
      </w:r>
      <w:r w:rsidR="0062452E" w:rsidRPr="003E0B61">
        <w:rPr>
          <w:spacing w:val="-4"/>
          <w:lang w:bidi="ar-EG"/>
        </w:rPr>
        <w:t>(</w:t>
      </w:r>
      <w:r w:rsidRPr="003E0B61">
        <w:rPr>
          <w:spacing w:val="-4"/>
          <w:szCs w:val="24"/>
          <w:lang w:eastAsia="ja-JP"/>
        </w:rPr>
        <w:t>HLG</w:t>
      </w:r>
      <w:r w:rsidR="0062452E" w:rsidRPr="003E0B61">
        <w:rPr>
          <w:spacing w:val="-4"/>
          <w:lang w:bidi="ar-EG"/>
        </w:rPr>
        <w:t>)</w:t>
      </w:r>
      <w:r w:rsidRPr="003E0B61">
        <w:rPr>
          <w:rFonts w:hint="cs"/>
          <w:spacing w:val="-4"/>
          <w:rtl/>
          <w:lang w:bidi="ar-EG"/>
        </w:rPr>
        <w:t xml:space="preserve"> في الجدول </w:t>
      </w:r>
      <w:r w:rsidRPr="003E0B61">
        <w:rPr>
          <w:spacing w:val="-4"/>
          <w:lang w:bidi="ar-EG"/>
        </w:rPr>
        <w:t>5</w:t>
      </w:r>
      <w:r w:rsidRPr="003E0B61">
        <w:rPr>
          <w:rFonts w:hint="cs"/>
          <w:spacing w:val="-4"/>
          <w:rtl/>
          <w:lang w:bidi="ar-EG"/>
        </w:rPr>
        <w:t xml:space="preserve"> لكي تظهر الإشارات الخطية في المشهد مقيَّسة في</w:t>
      </w:r>
      <w:r w:rsidR="00FB3C36" w:rsidRPr="003E0B61">
        <w:rPr>
          <w:rFonts w:hint="eastAsia"/>
          <w:spacing w:val="-4"/>
          <w:rtl/>
          <w:lang w:bidi="ar-EG"/>
        </w:rPr>
        <w:t> </w:t>
      </w:r>
      <w:r w:rsidRPr="003E0B61">
        <w:rPr>
          <w:rFonts w:hint="cs"/>
          <w:spacing w:val="-4"/>
          <w:rtl/>
          <w:lang w:bidi="ar-EG"/>
        </w:rPr>
        <w:t xml:space="preserve">المدى </w:t>
      </w:r>
      <w:r w:rsidR="00FB3C36" w:rsidRPr="003E0B61">
        <w:rPr>
          <w:spacing w:val="-4"/>
          <w:lang w:bidi="ar-EG"/>
        </w:rPr>
        <w:t>[</w:t>
      </w:r>
      <w:r w:rsidRPr="003E0B61">
        <w:rPr>
          <w:spacing w:val="-4"/>
          <w:szCs w:val="24"/>
          <w:lang w:eastAsia="ja-JP"/>
        </w:rPr>
        <w:t>0:1</w:t>
      </w:r>
      <w:r w:rsidR="00FB3C36" w:rsidRPr="003E0B61">
        <w:rPr>
          <w:spacing w:val="-4"/>
          <w:lang w:bidi="ar-EG"/>
        </w:rPr>
        <w:t>]</w:t>
      </w:r>
      <w:r w:rsidRPr="003E0B61">
        <w:rPr>
          <w:rFonts w:hint="cs"/>
          <w:spacing w:val="-4"/>
          <w:rtl/>
          <w:lang w:bidi="ar-EG"/>
        </w:rPr>
        <w:t xml:space="preserve"> بدلاً من المدى </w:t>
      </w:r>
      <w:r w:rsidR="00FB3C36" w:rsidRPr="003E0B61">
        <w:rPr>
          <w:spacing w:val="-4"/>
          <w:lang w:bidi="ar-EG"/>
        </w:rPr>
        <w:t>[</w:t>
      </w:r>
      <w:r w:rsidRPr="003E0B61">
        <w:rPr>
          <w:spacing w:val="-4"/>
          <w:szCs w:val="24"/>
          <w:lang w:eastAsia="ja-JP"/>
        </w:rPr>
        <w:t>0:12</w:t>
      </w:r>
      <w:r w:rsidR="00FB3C36" w:rsidRPr="003E0B61">
        <w:rPr>
          <w:spacing w:val="-4"/>
          <w:lang w:bidi="ar-EG"/>
        </w:rPr>
        <w:t>]</w:t>
      </w:r>
      <w:r w:rsidRPr="003E0B61">
        <w:rPr>
          <w:rFonts w:hint="cs"/>
          <w:spacing w:val="-4"/>
          <w:rtl/>
          <w:lang w:bidi="ar-EG"/>
        </w:rPr>
        <w:t>. وعلاوة</w:t>
      </w:r>
      <w:r w:rsidR="00036074" w:rsidRPr="003E0B61">
        <w:rPr>
          <w:rFonts w:hint="cs"/>
          <w:spacing w:val="-4"/>
          <w:rtl/>
          <w:lang w:bidi="ar-EG"/>
        </w:rPr>
        <w:t>ً</w:t>
      </w:r>
      <w:r w:rsidRPr="003E0B61">
        <w:rPr>
          <w:rFonts w:hint="cs"/>
          <w:spacing w:val="-4"/>
          <w:rtl/>
          <w:lang w:bidi="ar-EG"/>
        </w:rPr>
        <w:t xml:space="preserve"> على ذ</w:t>
      </w:r>
      <w:r w:rsidR="00C97A8F" w:rsidRPr="003E0B61">
        <w:rPr>
          <w:rFonts w:hint="cs"/>
          <w:spacing w:val="-4"/>
          <w:rtl/>
          <w:lang w:bidi="ar-EG"/>
        </w:rPr>
        <w:t>لك، أضيفت المعادلة المشتقة فيما</w:t>
      </w:r>
      <w:r w:rsidR="00C97A8F" w:rsidRPr="003E0B61">
        <w:rPr>
          <w:rFonts w:hint="eastAsia"/>
          <w:spacing w:val="-4"/>
          <w:rtl/>
          <w:lang w:bidi="ar-EG"/>
        </w:rPr>
        <w:t> </w:t>
      </w:r>
      <w:r w:rsidRPr="003E0B61">
        <w:rPr>
          <w:rFonts w:hint="cs"/>
          <w:spacing w:val="-4"/>
          <w:rtl/>
          <w:lang w:bidi="ar-EG"/>
        </w:rPr>
        <w:t>يتعلق ب</w:t>
      </w:r>
      <w:r w:rsidR="005F2A7C" w:rsidRPr="003E0B61">
        <w:rPr>
          <w:rFonts w:hint="cs"/>
          <w:spacing w:val="-4"/>
          <w:rtl/>
          <w:lang w:bidi="ar-EG"/>
        </w:rPr>
        <w:t xml:space="preserve">معكوس </w:t>
      </w:r>
      <w:r w:rsidRPr="003E0B61">
        <w:rPr>
          <w:rFonts w:hint="cs"/>
          <w:spacing w:val="-4"/>
          <w:rtl/>
          <w:lang w:bidi="ar-EG"/>
        </w:rPr>
        <w:t>دالة التحويل الضوئي البصري</w:t>
      </w:r>
      <w:r w:rsidR="00587577" w:rsidRPr="003E0B61">
        <w:rPr>
          <w:rFonts w:hint="eastAsia"/>
          <w:spacing w:val="-4"/>
          <w:rtl/>
          <w:lang w:bidi="ar-EG"/>
        </w:rPr>
        <w:t> </w:t>
      </w:r>
      <w:r w:rsidR="00587577" w:rsidRPr="003E0B61">
        <w:rPr>
          <w:spacing w:val="-4"/>
          <w:lang w:bidi="ar-EG"/>
        </w:rPr>
        <w:t>(</w:t>
      </w:r>
      <w:r w:rsidRPr="003E0B61">
        <w:rPr>
          <w:spacing w:val="-4"/>
          <w:szCs w:val="24"/>
          <w:lang w:eastAsia="ja-JP"/>
        </w:rPr>
        <w:t>OOTF</w:t>
      </w:r>
      <w:r w:rsidR="00587577" w:rsidRPr="003E0B61">
        <w:rPr>
          <w:spacing w:val="-4"/>
          <w:lang w:bidi="ar-EG"/>
        </w:rPr>
        <w:t>)</w:t>
      </w:r>
      <w:r w:rsidRPr="003E0B61">
        <w:rPr>
          <w:rFonts w:hint="cs"/>
          <w:spacing w:val="-4"/>
          <w:rtl/>
          <w:lang w:bidi="ar-EG"/>
        </w:rPr>
        <w:t xml:space="preserve"> التي ستكون مفيدة في معالجة الإشارات). ويُلغى البيان القائل إن إشارات لوغاريتم</w:t>
      </w:r>
      <w:r w:rsidRPr="003E0B61">
        <w:rPr>
          <w:spacing w:val="-4"/>
          <w:rtl/>
          <w:lang w:bidi="ar-EG"/>
        </w:rPr>
        <w:t>–</w:t>
      </w:r>
      <w:r w:rsidRPr="003E0B61">
        <w:rPr>
          <w:rFonts w:hint="cs"/>
          <w:spacing w:val="-4"/>
          <w:rtl/>
          <w:lang w:bidi="ar-EG"/>
        </w:rPr>
        <w:t>غاما الهجين، عندما تكون قيمة</w:t>
      </w:r>
      <w:r w:rsidR="00C74FDB" w:rsidRPr="003E0B61">
        <w:rPr>
          <w:rFonts w:hint="eastAsia"/>
          <w:spacing w:val="-4"/>
          <w:rtl/>
          <w:lang w:bidi="ar-EG"/>
        </w:rPr>
        <w:t> </w:t>
      </w:r>
      <w:r w:rsidRPr="003E0B61">
        <w:rPr>
          <w:spacing w:val="-4"/>
          <w:szCs w:val="24"/>
        </w:rPr>
        <w:t>E'</w:t>
      </w:r>
      <w:r w:rsidRPr="003E0B61">
        <w:rPr>
          <w:rFonts w:hint="cs"/>
          <w:spacing w:val="-4"/>
          <w:szCs w:val="24"/>
          <w:rtl/>
        </w:rPr>
        <w:t xml:space="preserve"> </w:t>
      </w:r>
      <w:r w:rsidRPr="003E0B61">
        <w:rPr>
          <w:rFonts w:hint="cs"/>
          <w:spacing w:val="-4"/>
          <w:rtl/>
          <w:lang w:bidi="ar-EG"/>
        </w:rPr>
        <w:t>أكبر من</w:t>
      </w:r>
      <w:r w:rsidRPr="003E0B61">
        <w:rPr>
          <w:rFonts w:hint="cs"/>
          <w:spacing w:val="-4"/>
          <w:sz w:val="30"/>
          <w:rtl/>
        </w:rPr>
        <w:t xml:space="preserve"> </w:t>
      </w:r>
      <w:r w:rsidRPr="003E0B61">
        <w:rPr>
          <w:spacing w:val="-4"/>
          <w:szCs w:val="24"/>
        </w:rPr>
        <w:t>1</w:t>
      </w:r>
      <w:r w:rsidR="00910BA0" w:rsidRPr="003E0B61">
        <w:rPr>
          <w:spacing w:val="-4"/>
          <w:szCs w:val="24"/>
        </w:rPr>
        <w:t>,</w:t>
      </w:r>
      <w:r w:rsidRPr="003E0B61">
        <w:rPr>
          <w:spacing w:val="-4"/>
          <w:szCs w:val="24"/>
        </w:rPr>
        <w:t>00</w:t>
      </w:r>
      <w:r w:rsidRPr="003E0B61">
        <w:rPr>
          <w:rFonts w:hint="cs"/>
          <w:spacing w:val="-4"/>
          <w:rtl/>
          <w:lang w:bidi="ar-EG"/>
        </w:rPr>
        <w:t>، ينبغي أن تقلَّص ولا تظهر على شاشات العرض المرجعية</w:t>
      </w:r>
      <w:r w:rsidR="00893CB4" w:rsidRPr="003E0B61">
        <w:rPr>
          <w:rFonts w:hint="cs"/>
          <w:spacing w:val="-4"/>
          <w:rtl/>
          <w:lang w:bidi="ar-EG"/>
        </w:rPr>
        <w:t>،</w:t>
      </w:r>
      <w:r w:rsidRPr="003E0B61">
        <w:rPr>
          <w:rFonts w:hint="cs"/>
          <w:spacing w:val="-4"/>
          <w:rtl/>
          <w:lang w:bidi="ar-EG"/>
        </w:rPr>
        <w:t xml:space="preserve"> لأن التجربة أثبتت أن عرض هذه الإشارات قد</w:t>
      </w:r>
      <w:r w:rsidR="00CE0DF9" w:rsidRPr="003E0B61">
        <w:rPr>
          <w:rFonts w:hint="eastAsia"/>
          <w:spacing w:val="-4"/>
          <w:rtl/>
          <w:lang w:bidi="ar-EG"/>
        </w:rPr>
        <w:t> </w:t>
      </w:r>
      <w:r w:rsidRPr="003E0B61">
        <w:rPr>
          <w:rFonts w:hint="cs"/>
          <w:spacing w:val="-4"/>
          <w:rtl/>
          <w:lang w:bidi="ar-EG"/>
        </w:rPr>
        <w:t>يكون مفيداً</w:t>
      </w:r>
      <w:r w:rsidR="00C74FDB" w:rsidRPr="003E0B61">
        <w:rPr>
          <w:rFonts w:hint="cs"/>
          <w:spacing w:val="-4"/>
          <w:rtl/>
          <w:lang w:bidi="ar-EG"/>
        </w:rPr>
        <w:t>.</w:t>
      </w:r>
    </w:p>
    <w:p w:rsidR="00C51976" w:rsidRPr="0019520B" w:rsidRDefault="00C51976" w:rsidP="00382894">
      <w:pPr>
        <w:rPr>
          <w:rtl/>
          <w:lang w:bidi="ar-EG"/>
        </w:rPr>
      </w:pPr>
      <w:r w:rsidRPr="0019520B">
        <w:rPr>
          <w:rFonts w:hint="cs"/>
          <w:rtl/>
        </w:rPr>
        <w:lastRenderedPageBreak/>
        <w:t xml:space="preserve">ويصف الجدول </w:t>
      </w:r>
      <w:r w:rsidRPr="0019520B">
        <w:rPr>
          <w:szCs w:val="24"/>
        </w:rPr>
        <w:t>9</w:t>
      </w:r>
      <w:r w:rsidRPr="0019520B">
        <w:rPr>
          <w:rFonts w:hint="cs"/>
          <w:szCs w:val="24"/>
          <w:rtl/>
        </w:rPr>
        <w:t xml:space="preserve"> </w:t>
      </w:r>
      <w:r w:rsidRPr="0019520B">
        <w:rPr>
          <w:rFonts w:hint="cs"/>
          <w:rtl/>
          <w:lang w:bidi="ar-EG"/>
        </w:rPr>
        <w:t xml:space="preserve">تمثيلين مختلفين للإشارات: التمثيل "الضيق" والتمثيل "الكامل". وأعيد كتابة المعادلات للمواءمة مع المقاربة </w:t>
      </w:r>
      <w:r w:rsidRPr="005006B7">
        <w:rPr>
          <w:rFonts w:hint="cs"/>
          <w:spacing w:val="-4"/>
          <w:rtl/>
          <w:lang w:bidi="ar-EG"/>
        </w:rPr>
        <w:t xml:space="preserve">الرياضية التي استخدمتها لجنة الدراسات </w:t>
      </w:r>
      <w:r w:rsidRPr="005006B7">
        <w:rPr>
          <w:spacing w:val="-4"/>
          <w:szCs w:val="24"/>
        </w:rPr>
        <w:t>16</w:t>
      </w:r>
      <w:r w:rsidR="00CE0DF9" w:rsidRPr="005006B7">
        <w:rPr>
          <w:rFonts w:hint="cs"/>
          <w:spacing w:val="-4"/>
          <w:sz w:val="30"/>
          <w:rtl/>
        </w:rPr>
        <w:t xml:space="preserve"> </w:t>
      </w:r>
      <w:r w:rsidRPr="005006B7">
        <w:rPr>
          <w:rFonts w:hint="cs"/>
          <w:spacing w:val="-4"/>
          <w:rtl/>
          <w:lang w:bidi="ar-EG"/>
        </w:rPr>
        <w:t xml:space="preserve">لقطاع تقييس الاتصالات وفريق خبراء الصور المتحركة </w:t>
      </w:r>
      <w:r w:rsidR="0009646C" w:rsidRPr="005006B7">
        <w:rPr>
          <w:spacing w:val="-4"/>
          <w:lang w:bidi="ar-EG"/>
        </w:rPr>
        <w:t>(</w:t>
      </w:r>
      <w:r w:rsidRPr="005006B7">
        <w:rPr>
          <w:spacing w:val="-4"/>
          <w:szCs w:val="24"/>
        </w:rPr>
        <w:t>MPEG</w:t>
      </w:r>
      <w:r w:rsidR="0009646C" w:rsidRPr="005006B7">
        <w:rPr>
          <w:spacing w:val="-4"/>
          <w:lang w:bidi="ar-EG"/>
        </w:rPr>
        <w:t>)</w:t>
      </w:r>
      <w:r w:rsidRPr="005006B7">
        <w:rPr>
          <w:rFonts w:hint="cs"/>
          <w:spacing w:val="-4"/>
          <w:rtl/>
          <w:lang w:bidi="ar-EG"/>
        </w:rPr>
        <w:t xml:space="preserve"> بعد تبادل بيانات اتصال</w:t>
      </w:r>
      <w:r w:rsidRPr="0019520B">
        <w:rPr>
          <w:rFonts w:hint="cs"/>
          <w:rtl/>
          <w:lang w:bidi="ar-EG"/>
        </w:rPr>
        <w:t xml:space="preserve">. وتتوافق قيم النتائج مع قيم المعيار </w:t>
      </w:r>
      <w:r w:rsidRPr="0019520B">
        <w:rPr>
          <w:szCs w:val="24"/>
        </w:rPr>
        <w:t>2084</w:t>
      </w:r>
      <w:r w:rsidRPr="00CE0DF9">
        <w:rPr>
          <w:rFonts w:hint="cs"/>
          <w:sz w:val="30"/>
          <w:rtl/>
        </w:rPr>
        <w:t xml:space="preserve"> </w:t>
      </w:r>
      <w:r w:rsidRPr="0019520B">
        <w:rPr>
          <w:rFonts w:hint="cs"/>
          <w:rtl/>
          <w:lang w:bidi="ar-EG"/>
        </w:rPr>
        <w:t xml:space="preserve">لجمعية مهندسي الصور المتحركة والتلفزيون </w:t>
      </w:r>
      <w:r w:rsidR="00382894">
        <w:rPr>
          <w:lang w:bidi="ar-EG"/>
        </w:rPr>
        <w:t>(</w:t>
      </w:r>
      <w:r w:rsidRPr="0019520B">
        <w:rPr>
          <w:szCs w:val="24"/>
        </w:rPr>
        <w:t>SMPTE</w:t>
      </w:r>
      <w:r w:rsidR="00382894">
        <w:rPr>
          <w:lang w:bidi="ar-EG"/>
        </w:rPr>
        <w:t>)</w:t>
      </w:r>
      <w:r w:rsidR="00382894">
        <w:rPr>
          <w:rFonts w:hint="cs"/>
          <w:rtl/>
          <w:lang w:bidi="ar-EG"/>
        </w:rPr>
        <w:t>.</w:t>
      </w:r>
    </w:p>
    <w:p w:rsidR="00C51976" w:rsidRPr="0019520B" w:rsidRDefault="00C51976" w:rsidP="00557602">
      <w:pPr>
        <w:rPr>
          <w:rtl/>
          <w:lang w:bidi="ar-EG"/>
        </w:rPr>
      </w:pPr>
      <w:r w:rsidRPr="0019520B">
        <w:rPr>
          <w:rFonts w:hint="cs"/>
          <w:rtl/>
        </w:rPr>
        <w:t xml:space="preserve">ويصف الجدول </w:t>
      </w:r>
      <w:r w:rsidRPr="0019520B">
        <w:rPr>
          <w:szCs w:val="24"/>
        </w:rPr>
        <w:t>10</w:t>
      </w:r>
      <w:r w:rsidRPr="0019520B">
        <w:rPr>
          <w:rFonts w:hint="cs"/>
          <w:szCs w:val="24"/>
          <w:rtl/>
        </w:rPr>
        <w:t xml:space="preserve"> </w:t>
      </w:r>
      <w:r w:rsidRPr="0019520B">
        <w:rPr>
          <w:rFonts w:hint="cs"/>
          <w:rtl/>
          <w:lang w:bidi="ar-EG"/>
        </w:rPr>
        <w:t xml:space="preserve">تمثيل إشارات النقاط الطليقة. وبدلاً من الإحالة إلى التكمية الإدراكية وإلى لوغاريتم-غاما الهجين، توصف هذه الإشارات الآن بأنها إشارات </w:t>
      </w:r>
      <w:r w:rsidR="00557602" w:rsidRPr="0019520B">
        <w:rPr>
          <w:rFonts w:hint="cs"/>
          <w:rtl/>
          <w:lang w:bidi="ar-EG"/>
        </w:rPr>
        <w:t>تتعلق</w:t>
      </w:r>
      <w:r w:rsidRPr="0019520B">
        <w:rPr>
          <w:rFonts w:hint="cs"/>
          <w:rtl/>
          <w:lang w:bidi="ar-EG"/>
        </w:rPr>
        <w:t xml:space="preserve"> </w:t>
      </w:r>
      <w:r w:rsidR="00557602" w:rsidRPr="0019520B">
        <w:rPr>
          <w:rFonts w:hint="cs"/>
          <w:rtl/>
          <w:lang w:bidi="ar-EG"/>
        </w:rPr>
        <w:t>ب</w:t>
      </w:r>
      <w:r w:rsidRPr="0019520B">
        <w:rPr>
          <w:rFonts w:hint="cs"/>
          <w:rtl/>
          <w:lang w:bidi="ar-EG"/>
        </w:rPr>
        <w:t xml:space="preserve">العرض وإشارات </w:t>
      </w:r>
      <w:r w:rsidR="00557602" w:rsidRPr="0019520B">
        <w:rPr>
          <w:rFonts w:hint="cs"/>
          <w:rtl/>
          <w:lang w:bidi="ar-EG"/>
        </w:rPr>
        <w:t>تتعلق</w:t>
      </w:r>
      <w:r w:rsidRPr="0019520B">
        <w:rPr>
          <w:rFonts w:hint="cs"/>
          <w:rtl/>
          <w:lang w:bidi="ar-EG"/>
        </w:rPr>
        <w:t xml:space="preserve"> </w:t>
      </w:r>
      <w:r w:rsidR="00557602" w:rsidRPr="0019520B">
        <w:rPr>
          <w:rFonts w:hint="cs"/>
          <w:rtl/>
          <w:lang w:bidi="ar-EG"/>
        </w:rPr>
        <w:t>بالمشهد.</w:t>
      </w:r>
    </w:p>
    <w:p w:rsidR="00C51976" w:rsidRPr="0019520B" w:rsidRDefault="00C51976" w:rsidP="0088267A">
      <w:pPr>
        <w:rPr>
          <w:rtl/>
          <w:lang w:bidi="ar-EG"/>
        </w:rPr>
      </w:pPr>
      <w:r w:rsidRPr="0019520B">
        <w:rPr>
          <w:rFonts w:hint="cs"/>
          <w:rtl/>
        </w:rPr>
        <w:t xml:space="preserve">ويصف التقرير </w:t>
      </w:r>
      <w:r w:rsidRPr="0019520B">
        <w:rPr>
          <w:szCs w:val="24"/>
        </w:rPr>
        <w:t>ITU-R BT.2390</w:t>
      </w:r>
      <w:r w:rsidRPr="00812B75">
        <w:rPr>
          <w:rFonts w:hint="cs"/>
          <w:sz w:val="30"/>
          <w:rtl/>
        </w:rPr>
        <w:t xml:space="preserve"> </w:t>
      </w:r>
      <w:r w:rsidRPr="0019520B">
        <w:rPr>
          <w:rFonts w:hint="cs"/>
          <w:rtl/>
          <w:lang w:bidi="ar-EG"/>
        </w:rPr>
        <w:t xml:space="preserve">طريقة لتحويل إشارات المدى الدينامي </w:t>
      </w:r>
      <w:r w:rsidR="0088267A">
        <w:rPr>
          <w:rFonts w:hint="cs"/>
          <w:rtl/>
          <w:lang w:bidi="ar-EG"/>
        </w:rPr>
        <w:t>العالي</w:t>
      </w:r>
      <w:r w:rsidRPr="0019520B">
        <w:rPr>
          <w:rFonts w:hint="cs"/>
          <w:rtl/>
          <w:lang w:bidi="ar-EG"/>
        </w:rPr>
        <w:t xml:space="preserve"> بين التكمية الإدراكية ولوغاريتم-غاما الهجين. ويكرَّر هذا في الملحق </w:t>
      </w:r>
      <w:r w:rsidRPr="0019520B">
        <w:rPr>
          <w:lang w:bidi="ar-EG"/>
        </w:rPr>
        <w:t>2</w:t>
      </w:r>
      <w:r w:rsidRPr="0019520B">
        <w:rPr>
          <w:rFonts w:hint="cs"/>
          <w:rtl/>
          <w:lang w:bidi="ar-EG"/>
        </w:rPr>
        <w:t xml:space="preserve"> الإعلامي بالتوصية </w:t>
      </w:r>
      <w:r w:rsidRPr="0019520B">
        <w:rPr>
          <w:szCs w:val="24"/>
        </w:rPr>
        <w:t>BT.2100-0</w:t>
      </w:r>
      <w:r w:rsidRPr="0019520B">
        <w:rPr>
          <w:rFonts w:hint="cs"/>
          <w:rtl/>
          <w:lang w:bidi="ar-EG"/>
        </w:rPr>
        <w:t>، ولذلك</w:t>
      </w:r>
      <w:r w:rsidR="002F5993">
        <w:rPr>
          <w:rFonts w:hint="cs"/>
          <w:rtl/>
          <w:lang w:bidi="ar-EG"/>
        </w:rPr>
        <w:t xml:space="preserve"> يلغى هذا الملحق.</w:t>
      </w:r>
    </w:p>
    <w:p w:rsidR="00C51976" w:rsidRPr="0019520B" w:rsidRDefault="00C51976" w:rsidP="002F5993">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19520B">
        <w:rPr>
          <w:rFonts w:hint="cs"/>
          <w:u w:val="single"/>
          <w:rtl/>
        </w:rPr>
        <w:t xml:space="preserve">مشروع مراجعة التوصية </w:t>
      </w:r>
      <w:r w:rsidRPr="0019520B">
        <w:rPr>
          <w:u w:val="single"/>
        </w:rPr>
        <w:t>ITU</w:t>
      </w:r>
      <w:r w:rsidRPr="0019520B">
        <w:rPr>
          <w:u w:val="single"/>
        </w:rPr>
        <w:noBreakHyphen/>
        <w:t>R BS.2051-0</w:t>
      </w:r>
      <w:r w:rsidRPr="0019520B">
        <w:rPr>
          <w:rFonts w:hint="cs"/>
          <w:rtl/>
          <w:lang w:bidi="ar-EG"/>
        </w:rPr>
        <w:tab/>
        <w:t xml:space="preserve">الوثيقة </w:t>
      </w:r>
      <w:hyperlink r:id="rId24" w:history="1">
        <w:r w:rsidRPr="0019520B">
          <w:rPr>
            <w:rStyle w:val="Hyperlink"/>
            <w:rFonts w:ascii="Calibri" w:hAnsi="Calibri"/>
            <w:szCs w:val="24"/>
          </w:rPr>
          <w:t>6/114</w:t>
        </w:r>
      </w:hyperlink>
      <w:r w:rsidRPr="0019520B">
        <w:rPr>
          <w:szCs w:val="24"/>
        </w:rPr>
        <w:t>(Rev.1)</w:t>
      </w:r>
    </w:p>
    <w:p w:rsidR="00C51976" w:rsidRPr="0019520B" w:rsidRDefault="00C51976" w:rsidP="00087B6A">
      <w:pPr>
        <w:pStyle w:val="Rectitle"/>
        <w:spacing w:before="240" w:after="240"/>
        <w:rPr>
          <w:rFonts w:ascii="Calibri" w:hAnsi="Calibri"/>
          <w:rtl/>
        </w:rPr>
      </w:pPr>
      <w:r w:rsidRPr="0019520B">
        <w:rPr>
          <w:rFonts w:ascii="Calibri" w:hAnsi="Calibri" w:hint="cs"/>
          <w:rtl/>
        </w:rPr>
        <w:t>الأنظمة الصوتية المتقدمة من أجل إنتاج البرامج</w:t>
      </w:r>
    </w:p>
    <w:p w:rsidR="00C51976" w:rsidRPr="0019520B" w:rsidRDefault="00C51976" w:rsidP="007249FF">
      <w:pPr>
        <w:rPr>
          <w:rtl/>
        </w:rPr>
      </w:pPr>
      <w:r w:rsidRPr="007249FF">
        <w:rPr>
          <w:rFonts w:hint="cs"/>
          <w:spacing w:val="-4"/>
          <w:rtl/>
        </w:rPr>
        <w:t>تضيف هذه المراجعة نظامين صوتيين (</w:t>
      </w:r>
      <w:r w:rsidRPr="007249FF">
        <w:rPr>
          <w:spacing w:val="-4"/>
          <w:szCs w:val="24"/>
          <w:lang w:eastAsia="ja-JP"/>
        </w:rPr>
        <w:t>0+7+0</w:t>
      </w:r>
      <w:r w:rsidRPr="007249FF">
        <w:rPr>
          <w:rFonts w:hint="cs"/>
          <w:spacing w:val="-4"/>
          <w:sz w:val="30"/>
          <w:rtl/>
          <w:lang w:eastAsia="ja-JP"/>
        </w:rPr>
        <w:t xml:space="preserve"> </w:t>
      </w:r>
      <w:r w:rsidRPr="007249FF">
        <w:rPr>
          <w:rFonts w:hint="cs"/>
          <w:spacing w:val="-4"/>
          <w:rtl/>
        </w:rPr>
        <w:t>و</w:t>
      </w:r>
      <w:r w:rsidRPr="007249FF">
        <w:rPr>
          <w:spacing w:val="-4"/>
          <w:szCs w:val="24"/>
          <w:lang w:eastAsia="ja-JP"/>
        </w:rPr>
        <w:t>4+7+0</w:t>
      </w:r>
      <w:r w:rsidRPr="007249FF">
        <w:rPr>
          <w:rFonts w:hint="cs"/>
          <w:spacing w:val="-4"/>
          <w:rtl/>
        </w:rPr>
        <w:t xml:space="preserve">) يُستخدمان في الإذاعة. ويطلق على هذين النظامين اسم النظام </w:t>
      </w:r>
      <w:r w:rsidRPr="007249FF">
        <w:rPr>
          <w:spacing w:val="-4"/>
          <w:szCs w:val="24"/>
          <w:lang w:eastAsia="ja-JP"/>
        </w:rPr>
        <w:t>I</w:t>
      </w:r>
      <w:r w:rsidRPr="007249FF">
        <w:rPr>
          <w:rFonts w:hint="cs"/>
          <w:spacing w:val="-4"/>
          <w:sz w:val="30"/>
          <w:rtl/>
          <w:lang w:eastAsia="ja-JP"/>
        </w:rPr>
        <w:t xml:space="preserve"> </w:t>
      </w:r>
      <w:r w:rsidRPr="007249FF">
        <w:rPr>
          <w:rFonts w:hint="cs"/>
          <w:spacing w:val="-4"/>
          <w:rtl/>
        </w:rPr>
        <w:t>والنظام</w:t>
      </w:r>
      <w:r w:rsidR="007249FF">
        <w:rPr>
          <w:rFonts w:hint="eastAsia"/>
          <w:spacing w:val="-4"/>
          <w:rtl/>
        </w:rPr>
        <w:t> </w:t>
      </w:r>
      <w:r w:rsidRPr="007249FF">
        <w:rPr>
          <w:spacing w:val="-4"/>
        </w:rPr>
        <w:t>J</w:t>
      </w:r>
      <w:r w:rsidRPr="007249FF">
        <w:rPr>
          <w:rFonts w:hint="cs"/>
          <w:spacing w:val="-4"/>
          <w:rtl/>
        </w:rPr>
        <w:t>.</w:t>
      </w:r>
      <w:r w:rsidRPr="0019520B">
        <w:rPr>
          <w:rFonts w:hint="cs"/>
          <w:rtl/>
        </w:rPr>
        <w:t xml:space="preserve"> وتغير أيضاً موقعا مكبرين صوتيين في الطبقة العليا من النظام </w:t>
      </w:r>
      <w:r w:rsidRPr="0019520B">
        <w:rPr>
          <w:szCs w:val="24"/>
          <w:lang w:eastAsia="ja-JP"/>
        </w:rPr>
        <w:t>G</w:t>
      </w:r>
      <w:r w:rsidRPr="007249FF">
        <w:rPr>
          <w:rFonts w:hint="cs"/>
          <w:sz w:val="30"/>
          <w:rtl/>
          <w:lang w:eastAsia="ja-JP"/>
        </w:rPr>
        <w:t xml:space="preserve"> </w:t>
      </w:r>
      <w:r w:rsidR="007249FF">
        <w:t>(</w:t>
      </w:r>
      <w:r w:rsidRPr="0019520B">
        <w:rPr>
          <w:szCs w:val="24"/>
          <w:lang w:eastAsia="ja-JP"/>
        </w:rPr>
        <w:t>4+9+0</w:t>
      </w:r>
      <w:r w:rsidR="007249FF">
        <w:t>)</w:t>
      </w:r>
      <w:r w:rsidR="007249FF">
        <w:rPr>
          <w:rFonts w:hint="cs"/>
          <w:rtl/>
        </w:rPr>
        <w:t>.</w:t>
      </w:r>
    </w:p>
    <w:p w:rsidR="00C51976" w:rsidRPr="0019520B" w:rsidRDefault="00C51976" w:rsidP="0024199D">
      <w:pPr>
        <w:pStyle w:val="enumlev1"/>
        <w:rPr>
          <w:rtl/>
        </w:rPr>
      </w:pPr>
      <w:r w:rsidRPr="0019520B">
        <w:t>1</w:t>
      </w:r>
      <w:r w:rsidRPr="0019520B">
        <w:rPr>
          <w:rtl/>
        </w:rPr>
        <w:tab/>
      </w:r>
      <w:r w:rsidRPr="0019520B">
        <w:rPr>
          <w:rFonts w:hint="cs"/>
          <w:rtl/>
        </w:rPr>
        <w:t xml:space="preserve">إضافة نظامين جديدين </w:t>
      </w:r>
      <w:r w:rsidRPr="0019520B">
        <w:t>I</w:t>
      </w:r>
      <w:r w:rsidRPr="0019520B">
        <w:rPr>
          <w:rFonts w:hint="cs"/>
          <w:rtl/>
        </w:rPr>
        <w:t xml:space="preserve"> و</w:t>
      </w:r>
      <w:r w:rsidRPr="0019520B">
        <w:t>J</w:t>
      </w:r>
      <w:r w:rsidRPr="0019520B">
        <w:rPr>
          <w:rFonts w:hint="cs"/>
          <w:rtl/>
        </w:rPr>
        <w:t xml:space="preserve"> في الجدول </w:t>
      </w:r>
      <w:r w:rsidRPr="0019520B">
        <w:rPr>
          <w:szCs w:val="24"/>
        </w:rPr>
        <w:t>1</w:t>
      </w:r>
      <w:r w:rsidR="0077017C">
        <w:rPr>
          <w:rFonts w:hint="cs"/>
          <w:rtl/>
        </w:rPr>
        <w:t>.</w:t>
      </w:r>
    </w:p>
    <w:p w:rsidR="00C51976" w:rsidRPr="0019520B" w:rsidRDefault="00C51976" w:rsidP="009404EC">
      <w:pPr>
        <w:pStyle w:val="enumlev1"/>
        <w:rPr>
          <w:rtl/>
        </w:rPr>
      </w:pPr>
      <w:r w:rsidRPr="0019520B">
        <w:t>2</w:t>
      </w:r>
      <w:r w:rsidRPr="0019520B">
        <w:rPr>
          <w:rtl/>
        </w:rPr>
        <w:tab/>
      </w:r>
      <w:r w:rsidRPr="0019520B">
        <w:rPr>
          <w:rFonts w:hint="cs"/>
          <w:rtl/>
        </w:rPr>
        <w:t xml:space="preserve">مراجعة مواقع مكبرات الصوت للنظام </w:t>
      </w:r>
      <w:r w:rsidRPr="0019520B">
        <w:t>G</w:t>
      </w:r>
      <w:r w:rsidRPr="0019520B">
        <w:rPr>
          <w:rFonts w:hint="cs"/>
          <w:rtl/>
        </w:rPr>
        <w:t xml:space="preserve"> في الجدول </w:t>
      </w:r>
      <w:r w:rsidRPr="0019520B">
        <w:t>1</w:t>
      </w:r>
      <w:r w:rsidRPr="0019520B">
        <w:rPr>
          <w:rFonts w:hint="cs"/>
          <w:rtl/>
        </w:rPr>
        <w:t xml:space="preserve"> والجدول </w:t>
      </w:r>
      <w:r w:rsidRPr="0019520B">
        <w:t>9</w:t>
      </w:r>
      <w:r w:rsidRPr="0019520B">
        <w:rPr>
          <w:rFonts w:hint="cs"/>
          <w:rtl/>
        </w:rPr>
        <w:t xml:space="preserve"> الجديد</w:t>
      </w:r>
      <w:r w:rsidR="0077017C">
        <w:rPr>
          <w:rFonts w:hint="cs"/>
          <w:rtl/>
        </w:rPr>
        <w:t>.</w:t>
      </w:r>
    </w:p>
    <w:p w:rsidR="00C51976" w:rsidRPr="0019520B" w:rsidRDefault="00C51976" w:rsidP="009404EC">
      <w:pPr>
        <w:pStyle w:val="enumlev1"/>
        <w:rPr>
          <w:rtl/>
        </w:rPr>
      </w:pPr>
      <w:r w:rsidRPr="0019520B">
        <w:t>3</w:t>
      </w:r>
      <w:r w:rsidRPr="0019520B">
        <w:rPr>
          <w:rtl/>
        </w:rPr>
        <w:tab/>
      </w:r>
      <w:r w:rsidRPr="0019520B">
        <w:rPr>
          <w:rFonts w:hint="cs"/>
          <w:rtl/>
        </w:rPr>
        <w:t xml:space="preserve">إدراج جداول جديدة من </w:t>
      </w:r>
      <w:r w:rsidRPr="0019520B">
        <w:t>3</w:t>
      </w:r>
      <w:r w:rsidRPr="0019520B">
        <w:rPr>
          <w:rFonts w:hint="cs"/>
          <w:rtl/>
        </w:rPr>
        <w:t xml:space="preserve"> إلى </w:t>
      </w:r>
      <w:r w:rsidRPr="0019520B">
        <w:t>12</w:t>
      </w:r>
      <w:r w:rsidRPr="0019520B">
        <w:rPr>
          <w:rFonts w:hint="cs"/>
          <w:rtl/>
        </w:rPr>
        <w:t xml:space="preserve"> فيما يتعلق بالأنظمة من </w:t>
      </w:r>
      <w:r w:rsidRPr="0019520B">
        <w:t>A</w:t>
      </w:r>
      <w:r w:rsidRPr="0019520B">
        <w:rPr>
          <w:rFonts w:hint="cs"/>
          <w:rtl/>
        </w:rPr>
        <w:t xml:space="preserve"> إلى </w:t>
      </w:r>
      <w:r w:rsidRPr="0019520B">
        <w:t>J</w:t>
      </w:r>
      <w:r w:rsidR="0077017C">
        <w:rPr>
          <w:rFonts w:hint="cs"/>
          <w:rtl/>
        </w:rPr>
        <w:t>.</w:t>
      </w:r>
    </w:p>
    <w:p w:rsidR="00C51976" w:rsidRPr="0019520B" w:rsidRDefault="00C51976" w:rsidP="009404EC">
      <w:pPr>
        <w:pStyle w:val="enumlev1"/>
        <w:rPr>
          <w:rtl/>
          <w:lang w:bidi="ar-EG"/>
        </w:rPr>
      </w:pPr>
      <w:r w:rsidRPr="0019520B">
        <w:t>4</w:t>
      </w:r>
      <w:r w:rsidRPr="0019520B">
        <w:rPr>
          <w:rtl/>
        </w:rPr>
        <w:tab/>
      </w:r>
      <w:r w:rsidRPr="0019520B">
        <w:rPr>
          <w:rFonts w:hint="cs"/>
          <w:rtl/>
        </w:rPr>
        <w:t xml:space="preserve">رسم أشكال جديدة خاصة بالأنظمة من </w:t>
      </w:r>
      <w:r w:rsidRPr="0019520B">
        <w:t>A</w:t>
      </w:r>
      <w:r w:rsidRPr="0019520B">
        <w:rPr>
          <w:rFonts w:hint="cs"/>
          <w:rtl/>
        </w:rPr>
        <w:t xml:space="preserve"> إلى </w:t>
      </w:r>
      <w:r w:rsidRPr="0019520B">
        <w:t>J</w:t>
      </w:r>
      <w:r w:rsidRPr="0019520B">
        <w:rPr>
          <w:rFonts w:hint="cs"/>
          <w:rtl/>
        </w:rPr>
        <w:t xml:space="preserve"> في الجدول </w:t>
      </w:r>
      <w:r w:rsidRPr="0019520B">
        <w:t>13</w:t>
      </w:r>
      <w:r w:rsidR="0077017C">
        <w:rPr>
          <w:rFonts w:hint="cs"/>
          <w:rtl/>
          <w:lang w:bidi="ar-EG"/>
        </w:rPr>
        <w:t xml:space="preserve"> الجديد.</w:t>
      </w:r>
    </w:p>
    <w:p w:rsidR="00C51976" w:rsidRPr="0019520B" w:rsidRDefault="00C51976" w:rsidP="0024199D">
      <w:pPr>
        <w:pStyle w:val="enumlev1"/>
        <w:rPr>
          <w:rtl/>
        </w:rPr>
      </w:pPr>
      <w:r w:rsidRPr="0019520B">
        <w:t>5</w:t>
      </w:r>
      <w:r w:rsidRPr="0019520B">
        <w:rPr>
          <w:rtl/>
        </w:rPr>
        <w:tab/>
      </w:r>
      <w:r w:rsidRPr="0019520B">
        <w:rPr>
          <w:rFonts w:hint="cs"/>
          <w:rtl/>
        </w:rPr>
        <w:t>إضافة شرح للمكبرات الصوتية للنظامين "</w:t>
      </w:r>
      <w:r w:rsidRPr="0019520B">
        <w:rPr>
          <w:szCs w:val="24"/>
        </w:rPr>
        <w:t>M+SC</w:t>
      </w:r>
      <w:r w:rsidRPr="0019520B">
        <w:rPr>
          <w:rFonts w:hint="cs"/>
          <w:rtl/>
        </w:rPr>
        <w:t>" و"</w:t>
      </w:r>
      <w:r w:rsidRPr="0019520B">
        <w:rPr>
          <w:szCs w:val="24"/>
        </w:rPr>
        <w:t>M-SC</w:t>
      </w:r>
      <w:r w:rsidRPr="0019520B">
        <w:rPr>
          <w:rFonts w:hint="cs"/>
          <w:rtl/>
        </w:rPr>
        <w:t xml:space="preserve">" في التذييل </w:t>
      </w:r>
      <w:r w:rsidRPr="0019520B">
        <w:t>2</w:t>
      </w:r>
      <w:r w:rsidRPr="0019520B">
        <w:rPr>
          <w:rFonts w:hint="cs"/>
          <w:rtl/>
          <w:lang w:bidi="ar-EG"/>
        </w:rPr>
        <w:t xml:space="preserve"> </w:t>
      </w:r>
      <w:r w:rsidR="0077017C">
        <w:rPr>
          <w:rFonts w:hint="cs"/>
          <w:rtl/>
        </w:rPr>
        <w:t>الجديد.</w:t>
      </w:r>
    </w:p>
    <w:p w:rsidR="00C51976" w:rsidRPr="0019520B" w:rsidRDefault="00C51976" w:rsidP="0075267A">
      <w:pPr>
        <w:pStyle w:val="enumlev1"/>
        <w:rPr>
          <w:rtl/>
        </w:rPr>
      </w:pPr>
      <w:r w:rsidRPr="0019520B">
        <w:t>6</w:t>
      </w:r>
      <w:r w:rsidRPr="0019520B">
        <w:rPr>
          <w:rtl/>
        </w:rPr>
        <w:tab/>
      </w:r>
      <w:r w:rsidRPr="0019520B">
        <w:rPr>
          <w:rFonts w:hint="cs"/>
          <w:rtl/>
        </w:rPr>
        <w:t xml:space="preserve">إضافة فقرة جديدة </w:t>
      </w:r>
      <w:r w:rsidR="00E67262" w:rsidRPr="0024199D">
        <w:rPr>
          <w:rFonts w:hint="cs"/>
          <w:i/>
          <w:iCs/>
          <w:rtl/>
        </w:rPr>
        <w:t>"</w:t>
      </w:r>
      <w:r w:rsidRPr="0024199D">
        <w:rPr>
          <w:rFonts w:hint="cs"/>
          <w:i/>
          <w:iCs/>
          <w:rtl/>
        </w:rPr>
        <w:t>توصي كذلك</w:t>
      </w:r>
      <w:r w:rsidR="00E67262" w:rsidRPr="0019520B">
        <w:rPr>
          <w:rFonts w:hint="cs"/>
          <w:i/>
          <w:iCs/>
          <w:rtl/>
        </w:rPr>
        <w:t>"</w:t>
      </w:r>
      <w:r w:rsidR="0077017C">
        <w:rPr>
          <w:rFonts w:hint="cs"/>
          <w:rtl/>
        </w:rPr>
        <w:t>.</w:t>
      </w:r>
    </w:p>
    <w:p w:rsidR="00C51976" w:rsidRPr="0019520B" w:rsidRDefault="00C51976" w:rsidP="0075267A">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19520B">
        <w:rPr>
          <w:rFonts w:hint="cs"/>
          <w:u w:val="single"/>
          <w:rtl/>
        </w:rPr>
        <w:t xml:space="preserve">مشروع مراجعة التوصية </w:t>
      </w:r>
      <w:r w:rsidRPr="0019520B">
        <w:rPr>
          <w:u w:val="single"/>
        </w:rPr>
        <w:t>ITU</w:t>
      </w:r>
      <w:r w:rsidRPr="0019520B">
        <w:rPr>
          <w:u w:val="single"/>
        </w:rPr>
        <w:noBreakHyphen/>
        <w:t>R BT.1368-12</w:t>
      </w:r>
      <w:r w:rsidRPr="0019520B">
        <w:rPr>
          <w:rFonts w:hint="cs"/>
          <w:rtl/>
          <w:lang w:bidi="ar-EG"/>
        </w:rPr>
        <w:tab/>
        <w:t xml:space="preserve">الوثيقة </w:t>
      </w:r>
      <w:hyperlink r:id="rId25" w:history="1">
        <w:r w:rsidRPr="0019520B">
          <w:rPr>
            <w:rStyle w:val="Hyperlink"/>
            <w:rFonts w:ascii="Calibri" w:hAnsi="Calibri"/>
            <w:szCs w:val="24"/>
          </w:rPr>
          <w:t>6/121</w:t>
        </w:r>
      </w:hyperlink>
      <w:r w:rsidRPr="0019520B">
        <w:rPr>
          <w:szCs w:val="24"/>
        </w:rPr>
        <w:t>(Rev.1)</w:t>
      </w:r>
    </w:p>
    <w:p w:rsidR="00C51976" w:rsidRPr="0019520B" w:rsidRDefault="00C51976" w:rsidP="00087B6A">
      <w:pPr>
        <w:pStyle w:val="Rectitle"/>
        <w:spacing w:before="240" w:after="240"/>
        <w:rPr>
          <w:rFonts w:ascii="Calibri" w:hAnsi="Calibri"/>
          <w:rtl/>
        </w:rPr>
      </w:pPr>
      <w:r w:rsidRPr="0019520B">
        <w:rPr>
          <w:rFonts w:ascii="Calibri" w:hAnsi="Calibri" w:hint="cs"/>
          <w:rtl/>
        </w:rPr>
        <w:t>معايير التخطيط لخدمات التلفزيون الرقمي للأرض في نطاقات الموجات المترية</w:t>
      </w:r>
      <w:r w:rsidR="0075267A">
        <w:rPr>
          <w:rFonts w:ascii="Calibri" w:hAnsi="Calibri" w:hint="eastAsia"/>
          <w:rtl/>
        </w:rPr>
        <w:t> </w:t>
      </w:r>
      <w:r w:rsidRPr="0019520B">
        <w:rPr>
          <w:rFonts w:ascii="Calibri" w:hAnsi="Calibri"/>
        </w:rPr>
        <w:t>(VHF)</w:t>
      </w:r>
      <w:r w:rsidRPr="0019520B">
        <w:rPr>
          <w:rFonts w:ascii="Calibri" w:hAnsi="Calibri" w:hint="cs"/>
          <w:rtl/>
        </w:rPr>
        <w:t xml:space="preserve"> والديسيمترية </w:t>
      </w:r>
      <w:r w:rsidRPr="0019520B">
        <w:rPr>
          <w:rFonts w:ascii="Calibri" w:hAnsi="Calibri"/>
        </w:rPr>
        <w:t>(UHF)</w:t>
      </w:r>
      <w:r w:rsidRPr="0019520B">
        <w:rPr>
          <w:rFonts w:ascii="Calibri" w:hAnsi="Calibri" w:hint="cs"/>
          <w:rtl/>
        </w:rPr>
        <w:t>، بما في ذلك نسب الحماية</w:t>
      </w:r>
    </w:p>
    <w:p w:rsidR="00C51976" w:rsidRPr="0019520B" w:rsidRDefault="00C51976" w:rsidP="000D471B">
      <w:pPr>
        <w:rPr>
          <w:rtl/>
          <w:lang w:bidi="ar-EG"/>
        </w:rPr>
      </w:pPr>
      <w:r w:rsidRPr="0066302B">
        <w:rPr>
          <w:rFonts w:hint="cs"/>
          <w:spacing w:val="-4"/>
          <w:rtl/>
          <w:lang w:bidi="ar-EG"/>
        </w:rPr>
        <w:t xml:space="preserve">تشمل المراجعة إضافة معلمات تخطيط من أجل الإذاعة الرقمية المتعددة الوسائط للأرض </w:t>
      </w:r>
      <w:r w:rsidR="0075267A" w:rsidRPr="0066302B">
        <w:rPr>
          <w:spacing w:val="-4"/>
          <w:lang w:bidi="ar-EG"/>
        </w:rPr>
        <w:t>(</w:t>
      </w:r>
      <w:r w:rsidRPr="0066302B">
        <w:rPr>
          <w:spacing w:val="-4"/>
          <w:szCs w:val="24"/>
          <w:lang w:eastAsia="ja-JP"/>
        </w:rPr>
        <w:t>DTMB</w:t>
      </w:r>
      <w:r w:rsidR="0075267A" w:rsidRPr="0066302B">
        <w:rPr>
          <w:spacing w:val="-4"/>
          <w:lang w:bidi="ar-EG"/>
        </w:rPr>
        <w:t>)</w:t>
      </w:r>
      <w:r w:rsidRPr="0066302B">
        <w:rPr>
          <w:rFonts w:hint="cs"/>
          <w:spacing w:val="-4"/>
          <w:rtl/>
          <w:lang w:bidi="ar-EG"/>
        </w:rPr>
        <w:t xml:space="preserve"> التي تستعمل نطاقاً عرضه</w:t>
      </w:r>
      <w:r w:rsidR="0066302B">
        <w:rPr>
          <w:rFonts w:hint="eastAsia"/>
          <w:spacing w:val="-4"/>
          <w:rtl/>
          <w:lang w:bidi="ar-EG"/>
        </w:rPr>
        <w:t> </w:t>
      </w:r>
      <w:r w:rsidRPr="0066302B">
        <w:rPr>
          <w:spacing w:val="-4"/>
          <w:szCs w:val="24"/>
          <w:lang w:eastAsia="ja-JP"/>
        </w:rPr>
        <w:t>MHz</w:t>
      </w:r>
      <w:r w:rsidR="0066302B">
        <w:rPr>
          <w:rFonts w:hint="eastAsia"/>
          <w:spacing w:val="-4"/>
          <w:lang w:bidi="ar-EG"/>
        </w:rPr>
        <w:t> </w:t>
      </w:r>
      <w:r w:rsidR="0066302B" w:rsidRPr="0066302B">
        <w:rPr>
          <w:spacing w:val="-4"/>
          <w:szCs w:val="24"/>
          <w:lang w:eastAsia="ja-JP"/>
        </w:rPr>
        <w:t>7</w:t>
      </w:r>
      <w:r w:rsidRPr="0066302B">
        <w:rPr>
          <w:rFonts w:hint="cs"/>
          <w:sz w:val="30"/>
          <w:rtl/>
          <w:lang w:eastAsia="ja-JP"/>
        </w:rPr>
        <w:t xml:space="preserve"> </w:t>
      </w:r>
      <w:r w:rsidRPr="0019520B">
        <w:rPr>
          <w:rFonts w:hint="cs"/>
          <w:rtl/>
          <w:lang w:bidi="ar-EG"/>
        </w:rPr>
        <w:t>ومن أجل الإذاعة الرقمية المتعددة الوسائط للأرض</w:t>
      </w:r>
      <w:r w:rsidR="000D471B">
        <w:rPr>
          <w:rFonts w:hint="cs"/>
          <w:rtl/>
          <w:lang w:bidi="ar-EG"/>
        </w:rPr>
        <w:t>-</w:t>
      </w:r>
      <w:r w:rsidRPr="0019520B">
        <w:rPr>
          <w:rFonts w:hint="cs"/>
          <w:rtl/>
          <w:lang w:bidi="ar-EG"/>
        </w:rPr>
        <w:t xml:space="preserve">المتقدمة </w:t>
      </w:r>
      <w:r w:rsidR="002D4E77">
        <w:rPr>
          <w:lang w:bidi="ar-EG"/>
        </w:rPr>
        <w:t>(</w:t>
      </w:r>
      <w:r w:rsidRPr="0019520B">
        <w:rPr>
          <w:szCs w:val="24"/>
          <w:lang w:eastAsia="ja-JP"/>
        </w:rPr>
        <w:t>DTMB-A</w:t>
      </w:r>
      <w:r w:rsidR="002D4E77">
        <w:rPr>
          <w:lang w:bidi="ar-EG"/>
        </w:rPr>
        <w:t>)</w:t>
      </w:r>
      <w:r w:rsidRPr="0019520B">
        <w:rPr>
          <w:rFonts w:hint="cs"/>
          <w:rtl/>
          <w:lang w:bidi="ar-EG"/>
        </w:rPr>
        <w:t xml:space="preserve"> التي تست</w:t>
      </w:r>
      <w:r w:rsidR="00C845DD" w:rsidRPr="0019520B">
        <w:rPr>
          <w:rFonts w:hint="cs"/>
          <w:rtl/>
          <w:lang w:bidi="ar-EG"/>
        </w:rPr>
        <w:t>عمل</w:t>
      </w:r>
      <w:r w:rsidRPr="0019520B">
        <w:rPr>
          <w:rFonts w:hint="cs"/>
          <w:rtl/>
          <w:lang w:bidi="ar-EG"/>
        </w:rPr>
        <w:t xml:space="preserve"> نطاقاً عرضه</w:t>
      </w:r>
      <w:r w:rsidR="002D4E77">
        <w:rPr>
          <w:rFonts w:hint="cs"/>
          <w:rtl/>
          <w:lang w:bidi="ar-EG"/>
        </w:rPr>
        <w:t xml:space="preserve"> </w:t>
      </w:r>
      <w:r w:rsidRPr="0019520B">
        <w:rPr>
          <w:szCs w:val="24"/>
          <w:lang w:eastAsia="ja-JP"/>
        </w:rPr>
        <w:t>MHz</w:t>
      </w:r>
      <w:r w:rsidR="002D4E77">
        <w:rPr>
          <w:rFonts w:hint="eastAsia"/>
          <w:lang w:bidi="ar-EG"/>
        </w:rPr>
        <w:t> </w:t>
      </w:r>
      <w:r w:rsidR="002D4E77" w:rsidRPr="0019520B">
        <w:rPr>
          <w:szCs w:val="24"/>
          <w:lang w:eastAsia="ja-JP"/>
        </w:rPr>
        <w:t>8</w:t>
      </w:r>
      <w:r w:rsidRPr="002D4E77">
        <w:rPr>
          <w:rFonts w:hint="cs"/>
          <w:sz w:val="30"/>
          <w:rtl/>
          <w:lang w:eastAsia="ja-JP"/>
        </w:rPr>
        <w:t>.</w:t>
      </w:r>
      <w:r w:rsidRPr="00002CDB">
        <w:rPr>
          <w:rFonts w:hint="cs"/>
          <w:sz w:val="30"/>
          <w:rtl/>
          <w:lang w:eastAsia="ja-JP"/>
        </w:rPr>
        <w:t xml:space="preserve"> </w:t>
      </w:r>
      <w:r w:rsidRPr="0019520B">
        <w:rPr>
          <w:rFonts w:hint="cs"/>
          <w:rtl/>
          <w:lang w:bidi="ar-EG"/>
        </w:rPr>
        <w:t>ويرد وصف النظامين</w:t>
      </w:r>
      <w:r w:rsidR="00EC1DAE">
        <w:rPr>
          <w:rFonts w:hint="eastAsia"/>
          <w:rtl/>
          <w:lang w:bidi="ar-EG"/>
        </w:rPr>
        <w:t> </w:t>
      </w:r>
      <w:r w:rsidRPr="0019520B">
        <w:rPr>
          <w:lang w:bidi="ar-EG"/>
        </w:rPr>
        <w:t>DTMB</w:t>
      </w:r>
      <w:r w:rsidRPr="0019520B">
        <w:rPr>
          <w:rFonts w:hint="cs"/>
          <w:rtl/>
          <w:lang w:bidi="ar-EG"/>
        </w:rPr>
        <w:t xml:space="preserve"> و</w:t>
      </w:r>
      <w:r w:rsidRPr="0019520B">
        <w:rPr>
          <w:lang w:bidi="ar-EG"/>
        </w:rPr>
        <w:t>DTMB-A</w:t>
      </w:r>
      <w:r w:rsidRPr="0019520B">
        <w:rPr>
          <w:rFonts w:hint="cs"/>
          <w:rtl/>
          <w:lang w:bidi="ar-EG"/>
        </w:rPr>
        <w:t xml:space="preserve"> في التوصية </w:t>
      </w:r>
      <w:hyperlink r:id="rId26" w:history="1">
        <w:r w:rsidRPr="00D506AC">
          <w:rPr>
            <w:rStyle w:val="Hyperlink"/>
            <w:rFonts w:ascii="Calibri" w:eastAsia="Times New Roman" w:hAnsi="Calibri"/>
            <w:szCs w:val="22"/>
            <w:lang w:eastAsia="ja-JP"/>
          </w:rPr>
          <w:t>ITU-R BT.1306-7</w:t>
        </w:r>
      </w:hyperlink>
      <w:r w:rsidRPr="0019520B">
        <w:rPr>
          <w:rFonts w:hint="cs"/>
          <w:rtl/>
          <w:lang w:bidi="ar-EG"/>
        </w:rPr>
        <w:t xml:space="preserve"> وفي التقرير </w:t>
      </w:r>
      <w:hyperlink r:id="rId27" w:history="1">
        <w:r w:rsidRPr="0019520B">
          <w:rPr>
            <w:rStyle w:val="Hyperlink"/>
            <w:rFonts w:ascii="Calibri" w:hAnsi="Calibri"/>
            <w:szCs w:val="24"/>
            <w:lang w:eastAsia="ja-JP"/>
          </w:rPr>
          <w:t>ITU-R BT.2295-1</w:t>
        </w:r>
      </w:hyperlink>
      <w:r w:rsidRPr="0019520B">
        <w:rPr>
          <w:rFonts w:hint="cs"/>
          <w:rtl/>
          <w:lang w:bidi="ar-EG"/>
        </w:rPr>
        <w:t>.</w:t>
      </w:r>
    </w:p>
    <w:p w:rsidR="00C51976" w:rsidRPr="0019520B" w:rsidRDefault="00C51976" w:rsidP="0075267A">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19520B">
        <w:rPr>
          <w:rFonts w:hint="cs"/>
          <w:u w:val="single"/>
          <w:rtl/>
        </w:rPr>
        <w:lastRenderedPageBreak/>
        <w:t xml:space="preserve">مشروع مراجعة التوصية </w:t>
      </w:r>
      <w:r w:rsidRPr="0019520B">
        <w:rPr>
          <w:u w:val="single"/>
        </w:rPr>
        <w:t>ITU</w:t>
      </w:r>
      <w:r w:rsidRPr="0019520B">
        <w:rPr>
          <w:u w:val="single"/>
        </w:rPr>
        <w:noBreakHyphen/>
        <w:t xml:space="preserve">R </w:t>
      </w:r>
      <w:r w:rsidRPr="0019520B">
        <w:rPr>
          <w:szCs w:val="24"/>
          <w:u w:val="single"/>
          <w:lang w:eastAsia="ja-JP"/>
        </w:rPr>
        <w:t>BT.2077</w:t>
      </w:r>
      <w:r w:rsidRPr="0019520B">
        <w:rPr>
          <w:rFonts w:hint="eastAsia"/>
          <w:szCs w:val="24"/>
          <w:u w:val="single"/>
          <w:lang w:eastAsia="ja-JP"/>
        </w:rPr>
        <w:t>-1</w:t>
      </w:r>
      <w:r w:rsidRPr="0019520B">
        <w:rPr>
          <w:rFonts w:hint="cs"/>
          <w:rtl/>
          <w:lang w:bidi="ar-EG"/>
        </w:rPr>
        <w:tab/>
        <w:t xml:space="preserve">الوثيقة </w:t>
      </w:r>
      <w:hyperlink r:id="rId28" w:history="1">
        <w:r w:rsidRPr="0019520B">
          <w:rPr>
            <w:rStyle w:val="Hyperlink"/>
            <w:rFonts w:ascii="Calibri" w:hAnsi="Calibri"/>
            <w:szCs w:val="24"/>
          </w:rPr>
          <w:t>6/128</w:t>
        </w:r>
      </w:hyperlink>
    </w:p>
    <w:p w:rsidR="00C51976" w:rsidRPr="0019520B" w:rsidRDefault="00C51976" w:rsidP="000D471B">
      <w:pPr>
        <w:pStyle w:val="Rectitle"/>
        <w:spacing w:before="240" w:after="240"/>
        <w:rPr>
          <w:rFonts w:ascii="Calibri" w:hAnsi="Calibri"/>
          <w:rtl/>
          <w:lang w:bidi="ar-EG"/>
        </w:rPr>
      </w:pPr>
      <w:r w:rsidRPr="0019520B">
        <w:rPr>
          <w:rFonts w:ascii="Calibri" w:hAnsi="Calibri"/>
          <w:rtl/>
        </w:rPr>
        <w:t>السطوح البينية الرقمية التسلسلية في الوقت الفعلي</w:t>
      </w:r>
      <w:r w:rsidRPr="0019520B">
        <w:rPr>
          <w:rFonts w:ascii="Calibri" w:hAnsi="Calibri" w:hint="cs"/>
          <w:rtl/>
        </w:rPr>
        <w:t xml:space="preserve"> </w:t>
      </w:r>
      <w:r w:rsidRPr="0019520B">
        <w:rPr>
          <w:rFonts w:ascii="Calibri" w:hAnsi="Calibri"/>
          <w:rtl/>
        </w:rPr>
        <w:t>من أجل</w:t>
      </w:r>
      <w:r w:rsidR="000D471B">
        <w:rPr>
          <w:rFonts w:ascii="Calibri" w:hAnsi="Calibri"/>
          <w:rtl/>
        </w:rPr>
        <w:br/>
      </w:r>
      <w:r w:rsidRPr="0019520B">
        <w:rPr>
          <w:rFonts w:ascii="Calibri" w:hAnsi="Calibri"/>
          <w:rtl/>
        </w:rPr>
        <w:t>إشارات التلفزيون فائق</w:t>
      </w:r>
      <w:r w:rsidRPr="0019520B">
        <w:rPr>
          <w:rFonts w:ascii="Calibri" w:hAnsi="Calibri" w:hint="cs"/>
          <w:rtl/>
        </w:rPr>
        <w:t xml:space="preserve"> الوضوح </w:t>
      </w:r>
      <w:r w:rsidRPr="0019520B">
        <w:rPr>
          <w:rFonts w:ascii="Calibri" w:hAnsi="Calibri"/>
        </w:rPr>
        <w:t>(UHDTV)</w:t>
      </w:r>
    </w:p>
    <w:p w:rsidR="00C51976" w:rsidRPr="0019520B" w:rsidRDefault="00C51976" w:rsidP="000D471B">
      <w:pPr>
        <w:rPr>
          <w:rtl/>
          <w:lang w:bidi="ar-EG"/>
        </w:rPr>
      </w:pPr>
      <w:r w:rsidRPr="0019520B">
        <w:rPr>
          <w:rFonts w:hint="cs"/>
          <w:rtl/>
          <w:lang w:bidi="ar-EG"/>
        </w:rPr>
        <w:t xml:space="preserve">يهدف مشروع المراجعة هذا إلى دعم نقل إشارات التلفزيون ذي المدى الدينامي </w:t>
      </w:r>
      <w:r w:rsidR="000D471B">
        <w:rPr>
          <w:rFonts w:hint="cs"/>
          <w:rtl/>
          <w:lang w:bidi="ar-EG"/>
        </w:rPr>
        <w:t>العالي</w:t>
      </w:r>
      <w:r w:rsidRPr="0019520B">
        <w:rPr>
          <w:rFonts w:hint="cs"/>
          <w:rtl/>
          <w:lang w:bidi="ar-EG"/>
        </w:rPr>
        <w:t xml:space="preserve"> </w:t>
      </w:r>
      <w:r w:rsidR="006D23F9">
        <w:rPr>
          <w:lang w:bidi="ar-EG"/>
        </w:rPr>
        <w:t>(</w:t>
      </w:r>
      <w:r w:rsidRPr="0019520B">
        <w:rPr>
          <w:szCs w:val="24"/>
          <w:lang w:eastAsia="ja-JP"/>
        </w:rPr>
        <w:t>HDR-TV</w:t>
      </w:r>
      <w:r w:rsidR="006D23F9">
        <w:rPr>
          <w:lang w:bidi="ar-EG"/>
        </w:rPr>
        <w:t>)</w:t>
      </w:r>
      <w:r w:rsidRPr="0019520B">
        <w:rPr>
          <w:rFonts w:hint="cs"/>
          <w:rtl/>
          <w:lang w:bidi="ar-EG"/>
        </w:rPr>
        <w:t xml:space="preserve"> بأنساق عناصر الصورة للتلفزيون فائق الوضوح </w:t>
      </w:r>
      <w:r w:rsidR="004E0EED">
        <w:rPr>
          <w:lang w:bidi="ar-EG"/>
        </w:rPr>
        <w:t>(</w:t>
      </w:r>
      <w:r w:rsidRPr="0019520B">
        <w:rPr>
          <w:rFonts w:hint="eastAsia"/>
          <w:szCs w:val="24"/>
          <w:lang w:eastAsia="ja-JP"/>
        </w:rPr>
        <w:t>UHDTV</w:t>
      </w:r>
      <w:r w:rsidR="004E0EED">
        <w:rPr>
          <w:lang w:bidi="ar-EG"/>
        </w:rPr>
        <w:t>)</w:t>
      </w:r>
      <w:r w:rsidRPr="0019520B">
        <w:rPr>
          <w:rFonts w:hint="cs"/>
          <w:rtl/>
          <w:lang w:bidi="ar-EG"/>
        </w:rPr>
        <w:t>. وتُعدَّل تخصيصات البتات لمعرفات</w:t>
      </w:r>
      <w:r w:rsidRPr="0019520B">
        <w:rPr>
          <w:rtl/>
          <w:lang w:bidi="ar-EG"/>
        </w:rPr>
        <w:t xml:space="preserve"> </w:t>
      </w:r>
      <w:r w:rsidRPr="0019520B">
        <w:rPr>
          <w:rFonts w:hint="cs"/>
          <w:rtl/>
          <w:lang w:bidi="ar-EG"/>
        </w:rPr>
        <w:t>هوية</w:t>
      </w:r>
      <w:r w:rsidRPr="0019520B">
        <w:rPr>
          <w:rtl/>
          <w:lang w:bidi="ar-EG"/>
        </w:rPr>
        <w:t xml:space="preserve"> </w:t>
      </w:r>
      <w:r w:rsidRPr="0019520B">
        <w:rPr>
          <w:rFonts w:hint="cs"/>
          <w:rtl/>
          <w:lang w:bidi="ar-EG"/>
        </w:rPr>
        <w:t>الحمولة</w:t>
      </w:r>
      <w:r w:rsidRPr="0019520B">
        <w:rPr>
          <w:rtl/>
          <w:lang w:bidi="ar-EG"/>
        </w:rPr>
        <w:t xml:space="preserve"> </w:t>
      </w:r>
      <w:r w:rsidRPr="0019520B">
        <w:rPr>
          <w:rFonts w:hint="cs"/>
          <w:rtl/>
          <w:lang w:bidi="ar-EG"/>
        </w:rPr>
        <w:t xml:space="preserve">النافعة إلى خصائص تحويل الإشارات وتمثيل إشارات النصوع واختلاف الألوان ومدى التشفير الرقمي. وتُعدَّل أيضاً أطوال الموجات </w:t>
      </w:r>
      <w:r w:rsidR="001E4726" w:rsidRPr="0019520B">
        <w:rPr>
          <w:rFonts w:hint="cs"/>
          <w:rtl/>
          <w:lang w:bidi="ar-EG"/>
        </w:rPr>
        <w:t>لأنظمة الوصلات</w:t>
      </w:r>
      <w:r w:rsidRPr="0019520B">
        <w:rPr>
          <w:rFonts w:hint="cs"/>
          <w:rtl/>
          <w:lang w:bidi="ar-EG"/>
        </w:rPr>
        <w:t xml:space="preserve"> المتعددة التي تستخدم تعدد الإرسال</w:t>
      </w:r>
      <w:r w:rsidR="001E4726" w:rsidRPr="0019520B">
        <w:rPr>
          <w:rFonts w:hint="cs"/>
          <w:rtl/>
          <w:lang w:bidi="ar-EG"/>
        </w:rPr>
        <w:t xml:space="preserve"> التقريبي</w:t>
      </w:r>
      <w:r w:rsidRPr="0019520B">
        <w:rPr>
          <w:rFonts w:hint="cs"/>
          <w:rtl/>
          <w:lang w:bidi="ar-EG"/>
        </w:rPr>
        <w:t xml:space="preserve"> بتقسيم الموجة الكثيف </w:t>
      </w:r>
      <w:r w:rsidR="00991732">
        <w:rPr>
          <w:lang w:bidi="ar-EG"/>
        </w:rPr>
        <w:t>(</w:t>
      </w:r>
      <w:r w:rsidRPr="0019520B">
        <w:rPr>
          <w:szCs w:val="24"/>
        </w:rPr>
        <w:t>CWDM</w:t>
      </w:r>
      <w:r w:rsidR="00991732">
        <w:rPr>
          <w:lang w:bidi="ar-EG"/>
        </w:rPr>
        <w:t>)</w:t>
      </w:r>
      <w:r w:rsidRPr="0019520B">
        <w:rPr>
          <w:rFonts w:hint="cs"/>
          <w:rtl/>
          <w:lang w:bidi="ar-EG"/>
        </w:rPr>
        <w:t xml:space="preserve"> في الجزء </w:t>
      </w:r>
      <w:r w:rsidRPr="0019520B">
        <w:rPr>
          <w:lang w:bidi="ar-EG"/>
        </w:rPr>
        <w:t>3</w:t>
      </w:r>
      <w:r w:rsidRPr="0019520B">
        <w:rPr>
          <w:rFonts w:hint="cs"/>
          <w:rtl/>
          <w:lang w:bidi="ar-EG"/>
        </w:rPr>
        <w:t xml:space="preserve"> بأطوال موجات أقل من أج</w:t>
      </w:r>
      <w:r w:rsidR="00991732">
        <w:rPr>
          <w:rFonts w:hint="cs"/>
          <w:rtl/>
          <w:lang w:bidi="ar-EG"/>
        </w:rPr>
        <w:t>ل زيادة توافر العناصر البصرية.</w:t>
      </w:r>
    </w:p>
    <w:p w:rsidR="00C51976" w:rsidRPr="0019520B" w:rsidRDefault="00C51976" w:rsidP="00C51976">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19520B">
        <w:rPr>
          <w:rFonts w:hint="cs"/>
          <w:u w:val="single"/>
          <w:rtl/>
        </w:rPr>
        <w:t xml:space="preserve">مشروع مراجعة التوصية </w:t>
      </w:r>
      <w:r w:rsidRPr="0019520B">
        <w:rPr>
          <w:u w:val="single"/>
        </w:rPr>
        <w:t>ITU</w:t>
      </w:r>
      <w:r w:rsidRPr="0019520B">
        <w:rPr>
          <w:u w:val="single"/>
        </w:rPr>
        <w:noBreakHyphen/>
        <w:t xml:space="preserve">R </w:t>
      </w:r>
      <w:r w:rsidRPr="0019520B">
        <w:rPr>
          <w:rStyle w:val="href"/>
          <w:szCs w:val="24"/>
          <w:u w:val="single"/>
        </w:rPr>
        <w:t>BS.2076-0</w:t>
      </w:r>
      <w:r w:rsidRPr="0019520B">
        <w:rPr>
          <w:rFonts w:hint="cs"/>
          <w:rtl/>
          <w:lang w:bidi="ar-EG"/>
        </w:rPr>
        <w:tab/>
        <w:t xml:space="preserve">الوثيقة </w:t>
      </w:r>
      <w:hyperlink r:id="rId29" w:history="1">
        <w:r w:rsidRPr="0019520B">
          <w:rPr>
            <w:rStyle w:val="Hyperlink"/>
            <w:rFonts w:ascii="Calibri" w:hAnsi="Calibri"/>
            <w:szCs w:val="24"/>
          </w:rPr>
          <w:t>6/134</w:t>
        </w:r>
      </w:hyperlink>
    </w:p>
    <w:p w:rsidR="00C51976" w:rsidRPr="0019520B" w:rsidRDefault="00C51976" w:rsidP="00087B6A">
      <w:pPr>
        <w:pStyle w:val="Rectitle"/>
        <w:spacing w:before="240" w:after="240"/>
        <w:rPr>
          <w:rFonts w:ascii="Calibri" w:hAnsi="Calibri"/>
          <w:rtl/>
          <w:lang w:bidi="ar-EG"/>
        </w:rPr>
      </w:pPr>
      <w:r w:rsidRPr="0019520B">
        <w:rPr>
          <w:rFonts w:ascii="Calibri" w:hAnsi="Calibri" w:hint="cs"/>
          <w:rtl/>
        </w:rPr>
        <w:t xml:space="preserve">نموذج </w:t>
      </w:r>
      <w:r w:rsidRPr="0019520B">
        <w:rPr>
          <w:rFonts w:ascii="Calibri" w:hAnsi="Calibri"/>
          <w:rtl/>
        </w:rPr>
        <w:t xml:space="preserve">تعريف </w:t>
      </w:r>
      <w:r w:rsidRPr="0019520B">
        <w:rPr>
          <w:rFonts w:ascii="Calibri" w:hAnsi="Calibri" w:hint="cs"/>
          <w:rtl/>
        </w:rPr>
        <w:t>الصوت</w:t>
      </w:r>
    </w:p>
    <w:p w:rsidR="00C51976" w:rsidRPr="0019520B" w:rsidRDefault="00C51976" w:rsidP="00AE22A8">
      <w:pPr>
        <w:rPr>
          <w:rtl/>
          <w:lang w:bidi="ar-EG"/>
        </w:rPr>
      </w:pPr>
      <w:r w:rsidRPr="0019520B">
        <w:rPr>
          <w:rFonts w:hint="cs"/>
          <w:rtl/>
          <w:lang w:bidi="ar-EG"/>
        </w:rPr>
        <w:t>يضيف مشروع المراجعة هذا واصفات جديدة للبيانات الشرحية من أجل تصفيف الصوت ومن أجل وصفٍ أكمل للإشارة السمعية القائمة</w:t>
      </w:r>
      <w:r w:rsidR="00AE22A8">
        <w:rPr>
          <w:rFonts w:hint="cs"/>
          <w:rtl/>
          <w:lang w:bidi="ar-EG"/>
        </w:rPr>
        <w:t xml:space="preserve"> على المشهد.</w:t>
      </w:r>
    </w:p>
    <w:p w:rsidR="00C51976" w:rsidRPr="0019520B" w:rsidRDefault="00C51976" w:rsidP="00AE22A8">
      <w:pPr>
        <w:rPr>
          <w:rtl/>
        </w:rPr>
      </w:pPr>
      <w:r w:rsidRPr="0019520B">
        <w:rPr>
          <w:rFonts w:hint="cs"/>
          <w:rtl/>
        </w:rPr>
        <w:t>إضافةً إلى ذلك، يقدّم مشروع التوصية أعمدة إضافية في الجداول لوصف القيم الافتراضية لعناصر البيانات الشرحية وكذلك معلومات إضافية عن الاختيارية في حالة انعدامها.</w:t>
      </w:r>
    </w:p>
    <w:p w:rsidR="00C51976" w:rsidRPr="0019520B" w:rsidRDefault="00C51976" w:rsidP="00AE22A8">
      <w:pPr>
        <w:rPr>
          <w:rtl/>
        </w:rPr>
      </w:pPr>
      <w:r w:rsidRPr="0019520B">
        <w:rPr>
          <w:rFonts w:hint="cs"/>
          <w:rtl/>
        </w:rPr>
        <w:t>وإلى جانب ذلك، تضاف بعض واصفات البيانات الشرحية لضمان إمكانية وصف جميع الخصائص باستخدام نظا</w:t>
      </w:r>
      <w:r w:rsidR="00AE22A8">
        <w:rPr>
          <w:rFonts w:hint="cs"/>
          <w:rtl/>
        </w:rPr>
        <w:t>م إحداثيات إما كروي أو ديكارتي.</w:t>
      </w:r>
    </w:p>
    <w:p w:rsidR="00C51976" w:rsidRPr="0019520B" w:rsidRDefault="00C51976" w:rsidP="00AE22A8">
      <w:pPr>
        <w:keepNext/>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19520B">
        <w:rPr>
          <w:rFonts w:hint="cs"/>
          <w:u w:val="single"/>
          <w:rtl/>
        </w:rPr>
        <w:t xml:space="preserve">مشروع مراجعة التوصية </w:t>
      </w:r>
      <w:r w:rsidRPr="0019520B">
        <w:rPr>
          <w:u w:val="single"/>
        </w:rPr>
        <w:t>ITU</w:t>
      </w:r>
      <w:r w:rsidRPr="0019520B">
        <w:rPr>
          <w:u w:val="single"/>
        </w:rPr>
        <w:noBreakHyphen/>
        <w:t xml:space="preserve">R </w:t>
      </w:r>
      <w:r w:rsidRPr="0019520B">
        <w:rPr>
          <w:rStyle w:val="href"/>
          <w:szCs w:val="24"/>
          <w:u w:val="single"/>
        </w:rPr>
        <w:t>BS.2094-0</w:t>
      </w:r>
      <w:r w:rsidRPr="0019520B">
        <w:rPr>
          <w:rFonts w:hint="cs"/>
          <w:rtl/>
          <w:lang w:bidi="ar-EG"/>
        </w:rPr>
        <w:tab/>
        <w:t xml:space="preserve">الوثيقة </w:t>
      </w:r>
      <w:hyperlink r:id="rId30" w:history="1">
        <w:r w:rsidRPr="0019520B">
          <w:rPr>
            <w:rStyle w:val="Hyperlink"/>
            <w:rFonts w:ascii="Calibri" w:hAnsi="Calibri"/>
            <w:szCs w:val="24"/>
          </w:rPr>
          <w:t>6/135</w:t>
        </w:r>
      </w:hyperlink>
    </w:p>
    <w:p w:rsidR="00C51976" w:rsidRPr="0019520B" w:rsidRDefault="00C51976" w:rsidP="00087B6A">
      <w:pPr>
        <w:pStyle w:val="Rectitle"/>
        <w:spacing w:before="240" w:after="240"/>
        <w:rPr>
          <w:rFonts w:ascii="Calibri" w:hAnsi="Calibri"/>
          <w:rtl/>
          <w:lang w:bidi="ar-EG"/>
        </w:rPr>
      </w:pPr>
      <w:r w:rsidRPr="0019520B">
        <w:rPr>
          <w:rFonts w:ascii="Calibri" w:hAnsi="Calibri" w:hint="cs"/>
          <w:rtl/>
          <w:lang w:bidi="ar-EG"/>
        </w:rPr>
        <w:t>ت</w:t>
      </w:r>
      <w:r w:rsidR="006900FA">
        <w:rPr>
          <w:rFonts w:ascii="Calibri" w:hAnsi="Calibri" w:hint="cs"/>
          <w:rtl/>
          <w:lang w:bidi="ar-EG"/>
        </w:rPr>
        <w:t>عاريف مشتركة لنموذج تعريف الصوت</w:t>
      </w:r>
    </w:p>
    <w:p w:rsidR="00C51976" w:rsidRPr="0019520B" w:rsidRDefault="00C51976" w:rsidP="000D7567">
      <w:pPr>
        <w:rPr>
          <w:rtl/>
        </w:rPr>
      </w:pPr>
      <w:r w:rsidRPr="0019520B">
        <w:rPr>
          <w:rFonts w:hint="cs"/>
          <w:rtl/>
        </w:rPr>
        <w:t xml:space="preserve">يضيف مشروع المراجعة هذا تعاريف مشتركة جديدة لقنوات ورزم الصوتيات المحيطة من الرتبة العليا </w:t>
      </w:r>
      <w:r w:rsidR="006060D5">
        <w:t>(</w:t>
      </w:r>
      <w:r w:rsidRPr="0019520B">
        <w:rPr>
          <w:rFonts w:eastAsia="SimSun"/>
          <w:spacing w:val="-2"/>
          <w:szCs w:val="24"/>
        </w:rPr>
        <w:t>HOA</w:t>
      </w:r>
      <w:r w:rsidR="006060D5">
        <w:t>)</w:t>
      </w:r>
      <w:r w:rsidRPr="0019520B">
        <w:rPr>
          <w:rFonts w:hint="cs"/>
          <w:rtl/>
        </w:rPr>
        <w:t xml:space="preserve"> ويحدِّث بعض تعاريف "المجاهير المباشرة" وفقاً لمراجعة التوصيتين </w:t>
      </w:r>
      <w:r w:rsidRPr="0019520B">
        <w:rPr>
          <w:rFonts w:hint="eastAsia"/>
          <w:spacing w:val="-2"/>
          <w:szCs w:val="24"/>
          <w:lang w:eastAsia="ja-JP"/>
        </w:rPr>
        <w:t>ITU</w:t>
      </w:r>
      <w:r w:rsidRPr="0019520B">
        <w:rPr>
          <w:rFonts w:hint="eastAsia"/>
        </w:rPr>
        <w:t>-R BS.2051</w:t>
      </w:r>
      <w:r w:rsidRPr="0019520B">
        <w:rPr>
          <w:rFonts w:hint="cs"/>
          <w:rtl/>
        </w:rPr>
        <w:t xml:space="preserve"> و</w:t>
      </w:r>
      <w:r w:rsidRPr="0019520B">
        <w:rPr>
          <w:rFonts w:hint="eastAsia"/>
        </w:rPr>
        <w:t>ITU-R BS.2076</w:t>
      </w:r>
      <w:r w:rsidR="000D7567">
        <w:rPr>
          <w:rFonts w:hint="cs"/>
          <w:rtl/>
        </w:rPr>
        <w:t>.</w:t>
      </w:r>
    </w:p>
    <w:p w:rsidR="00C51976" w:rsidRPr="0019520B" w:rsidRDefault="00C51976" w:rsidP="000D7567">
      <w:pPr>
        <w:pStyle w:val="enumlev1"/>
        <w:rPr>
          <w:rtl/>
        </w:rPr>
      </w:pPr>
      <w:r w:rsidRPr="0019520B">
        <w:t>1</w:t>
      </w:r>
      <w:r w:rsidRPr="0019520B">
        <w:rPr>
          <w:rtl/>
        </w:rPr>
        <w:tab/>
      </w:r>
      <w:r w:rsidRPr="0019520B">
        <w:rPr>
          <w:rFonts w:hint="cs"/>
          <w:rtl/>
        </w:rPr>
        <w:t xml:space="preserve">إضافة شرح لترتيب المقاطع في القسم </w:t>
      </w:r>
      <w:r w:rsidRPr="0019520B">
        <w:t>3</w:t>
      </w:r>
      <w:r w:rsidRPr="0019520B">
        <w:rPr>
          <w:rFonts w:hint="cs"/>
          <w:rtl/>
          <w:lang w:bidi="ar-EG"/>
        </w:rPr>
        <w:t>.</w:t>
      </w:r>
    </w:p>
    <w:p w:rsidR="00C51976" w:rsidRPr="0019520B" w:rsidRDefault="00C51976" w:rsidP="000D7567">
      <w:pPr>
        <w:pStyle w:val="enumlev1"/>
        <w:rPr>
          <w:rtl/>
          <w:lang w:bidi="ar-EG"/>
        </w:rPr>
      </w:pPr>
      <w:r w:rsidRPr="0019520B">
        <w:t>2</w:t>
      </w:r>
      <w:r w:rsidRPr="0019520B">
        <w:rPr>
          <w:rtl/>
        </w:rPr>
        <w:tab/>
      </w:r>
      <w:r w:rsidRPr="0019520B">
        <w:rPr>
          <w:rFonts w:hint="cs"/>
          <w:rtl/>
        </w:rPr>
        <w:t xml:space="preserve">تحديث بعض التعاريف المشتركة لرزم "المجاهير المباشرة" في الجدول </w:t>
      </w:r>
      <w:r w:rsidRPr="0019520B">
        <w:t>2</w:t>
      </w:r>
      <w:r w:rsidRPr="0019520B">
        <w:rPr>
          <w:rFonts w:hint="cs"/>
          <w:rtl/>
          <w:lang w:bidi="ar-EG"/>
        </w:rPr>
        <w:t>.</w:t>
      </w:r>
    </w:p>
    <w:p w:rsidR="00C51976" w:rsidRPr="0019520B" w:rsidRDefault="00C51976" w:rsidP="000D7567">
      <w:pPr>
        <w:pStyle w:val="enumlev1"/>
        <w:rPr>
          <w:rtl/>
        </w:rPr>
      </w:pPr>
      <w:r w:rsidRPr="0019520B">
        <w:t>3</w:t>
      </w:r>
      <w:r w:rsidRPr="0019520B">
        <w:rPr>
          <w:rtl/>
        </w:rPr>
        <w:tab/>
      </w:r>
      <w:r w:rsidRPr="0019520B">
        <w:rPr>
          <w:rFonts w:hint="cs"/>
          <w:rtl/>
        </w:rPr>
        <w:t xml:space="preserve">إضافة تعاريف مشتركة جديدة لقنوات ورزم "الصوتيات المحيطة من الرتبة العليا" في القسم </w:t>
      </w:r>
      <w:r w:rsidRPr="0019520B">
        <w:rPr>
          <w:rFonts w:eastAsia="MS Mincho" w:hint="eastAsia"/>
          <w:szCs w:val="24"/>
          <w:lang w:eastAsia="ja-JP"/>
        </w:rPr>
        <w:t>4.4</w:t>
      </w:r>
      <w:r w:rsidR="000D7567">
        <w:rPr>
          <w:rFonts w:hint="cs"/>
          <w:rtl/>
        </w:rPr>
        <w:t>.</w:t>
      </w:r>
    </w:p>
    <w:p w:rsidR="002506BA" w:rsidRPr="0019520B" w:rsidRDefault="00C51976" w:rsidP="000D7567">
      <w:pPr>
        <w:pStyle w:val="enumlev1"/>
        <w:rPr>
          <w:rtl/>
        </w:rPr>
      </w:pPr>
      <w:r w:rsidRPr="0019520B">
        <w:t>4</w:t>
      </w:r>
      <w:r w:rsidRPr="0019520B">
        <w:rPr>
          <w:rtl/>
        </w:rPr>
        <w:tab/>
      </w:r>
      <w:r w:rsidRPr="0019520B">
        <w:rPr>
          <w:rFonts w:hint="cs"/>
          <w:rtl/>
        </w:rPr>
        <w:t xml:space="preserve">تحديث المرفقات في القسم </w:t>
      </w:r>
      <w:r w:rsidRPr="0019520B">
        <w:t>5</w:t>
      </w:r>
      <w:r w:rsidRPr="0019520B">
        <w:rPr>
          <w:rFonts w:hint="cs"/>
          <w:rtl/>
        </w:rPr>
        <w:t>.</w:t>
      </w:r>
    </w:p>
    <w:p w:rsidR="00E45EC2" w:rsidRPr="0019520B" w:rsidRDefault="00A717AC" w:rsidP="00E45EC2">
      <w:pPr>
        <w:spacing w:before="600"/>
        <w:jc w:val="center"/>
        <w:rPr>
          <w:rtl/>
          <w:lang w:bidi="ar-EG"/>
        </w:rPr>
      </w:pPr>
      <w:r>
        <w:rPr>
          <w:rFonts w:hint="cs"/>
          <w:rtl/>
          <w:lang w:bidi="ar-EG"/>
        </w:rPr>
        <w:t>___________</w:t>
      </w:r>
    </w:p>
    <w:sectPr w:rsidR="00E45EC2" w:rsidRPr="0019520B" w:rsidSect="008B5B5D">
      <w:headerReference w:type="default" r:id="rId31"/>
      <w:foot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3D" w:rsidRDefault="00EF0A3D" w:rsidP="00E07379">
      <w:pPr>
        <w:spacing w:before="0" w:line="240" w:lineRule="auto"/>
      </w:pPr>
      <w:r>
        <w:separator/>
      </w:r>
    </w:p>
  </w:endnote>
  <w:endnote w:type="continuationSeparator" w:id="0">
    <w:p w:rsidR="00EF0A3D" w:rsidRDefault="00EF0A3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C2" w:rsidRPr="00C51976" w:rsidRDefault="00E45EC2" w:rsidP="00C519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jc w:val="left"/>
      <w:rPr>
        <w:rFonts w:eastAsia="Times New Roman" w:cs="Calibri"/>
        <w:sz w:val="16"/>
        <w:szCs w:val="16"/>
        <w:lang w:val="es-ES"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D" w:rsidRPr="00FA55ED" w:rsidRDefault="00FA55ED" w:rsidP="00FA55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sz w:val="18"/>
        <w:szCs w:val="18"/>
        <w:lang w:eastAsia="en-US"/>
      </w:rPr>
    </w:pPr>
    <w:r w:rsidRPr="00FA55ED">
      <w:rPr>
        <w:rFonts w:eastAsia="Times New Roman" w:cs="Calibri"/>
        <w:sz w:val="18"/>
        <w:szCs w:val="18"/>
        <w:lang w:eastAsia="en-US"/>
      </w:rPr>
      <w:t>International Telecommunication Union • Place des Nations • CH</w:t>
    </w:r>
    <w:r w:rsidRPr="00FA55ED">
      <w:rPr>
        <w:rFonts w:eastAsia="Times New Roman" w:cs="Calibri"/>
        <w:sz w:val="18"/>
        <w:szCs w:val="18"/>
        <w:lang w:eastAsia="en-US"/>
      </w:rPr>
      <w:noBreakHyphen/>
      <w:t xml:space="preserve">1211 Geneva 20 • Switzerland </w:t>
    </w:r>
    <w:r w:rsidRPr="00FA55ED">
      <w:rPr>
        <w:rFonts w:eastAsia="Times New Roman" w:cs="Calibri"/>
        <w:sz w:val="18"/>
        <w:szCs w:val="18"/>
        <w:lang w:eastAsia="en-US"/>
      </w:rPr>
      <w:br/>
      <w:t xml:space="preserve">Tel: +41 22 730 5111 • Fax: +41 22 733 7256 • E-mail: </w:t>
    </w:r>
    <w:hyperlink r:id="rId1" w:history="1">
      <w:r w:rsidRPr="00FA55ED">
        <w:rPr>
          <w:rFonts w:eastAsia="Times New Roman" w:cs="Calibri"/>
          <w:color w:val="0000FF"/>
          <w:sz w:val="18"/>
          <w:szCs w:val="18"/>
          <w:u w:val="single"/>
          <w:lang w:eastAsia="en-US"/>
        </w:rPr>
        <w:t>itumail@itu.int</w:t>
      </w:r>
    </w:hyperlink>
    <w:r w:rsidRPr="00FA55ED">
      <w:rPr>
        <w:rFonts w:eastAsia="Times New Roman" w:cs="Calibri"/>
        <w:sz w:val="18"/>
        <w:szCs w:val="18"/>
        <w:lang w:eastAsia="en-US"/>
      </w:rPr>
      <w:t xml:space="preserve"> • </w:t>
    </w:r>
    <w:hyperlink r:id="rId2" w:history="1">
      <w:r w:rsidRPr="00FA55ED">
        <w:rPr>
          <w:rFonts w:eastAsia="Times New Roman" w:cs="Calibri"/>
          <w:color w:val="0000FF"/>
          <w:sz w:val="18"/>
          <w:szCs w:val="18"/>
          <w:u w:val="single"/>
          <w:lang w:eastAsia="en-US"/>
        </w:rPr>
        <w:t>www.itu.int</w:t>
      </w:r>
    </w:hyperlink>
    <w:r w:rsidRPr="00FA55ED">
      <w:rPr>
        <w:rFonts w:eastAsia="Times New Roman" w:cs="Calibri"/>
        <w:sz w:val="18"/>
        <w:szCs w:val="18"/>
        <w:lang w:eastAsia="en-US"/>
      </w:rPr>
      <w:t xml:space="preserve"> •</w:t>
    </w:r>
  </w:p>
  <w:p w:rsidR="002506BA" w:rsidRPr="002506BA" w:rsidRDefault="00FA55ED" w:rsidP="00195C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center"/>
      <w:rPr>
        <w:rFonts w:eastAsia="Times New Roman" w:cs="Calibri"/>
        <w:color w:val="2E74B5" w:themeColor="accent1" w:themeShade="BF"/>
        <w:sz w:val="18"/>
        <w:szCs w:val="18"/>
        <w:lang w:eastAsia="en-US"/>
      </w:rPr>
    </w:pPr>
    <w:r w:rsidRPr="00FA55ED">
      <w:rPr>
        <w:rFonts w:eastAsia="Times New Roman" w:cs="Calibri"/>
        <w:b/>
        <w:bCs/>
        <w:color w:val="1F497D"/>
        <w:sz w:val="18"/>
        <w:szCs w:val="18"/>
        <w:lang w:eastAsia="en-US"/>
      </w:rPr>
      <w:t>90</w:t>
    </w:r>
    <w:r w:rsidRPr="00FA55ED">
      <w:rPr>
        <w:rFonts w:eastAsia="Times New Roman" w:cs="Calibri"/>
        <w:b/>
        <w:bCs/>
        <w:color w:val="1F497D"/>
        <w:sz w:val="18"/>
        <w:szCs w:val="18"/>
        <w:vertAlign w:val="superscript"/>
        <w:lang w:eastAsia="en-US"/>
      </w:rPr>
      <w:t>th</w:t>
    </w:r>
    <w:r w:rsidRPr="00FA55ED">
      <w:rPr>
        <w:rFonts w:eastAsia="Times New Roman" w:cs="Calibri"/>
        <w:b/>
        <w:bCs/>
        <w:color w:val="1F497D"/>
        <w:sz w:val="18"/>
        <w:szCs w:val="18"/>
        <w:lang w:eastAsia="en-US"/>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3D" w:rsidRDefault="00EF0A3D" w:rsidP="00E07379">
      <w:pPr>
        <w:spacing w:before="0" w:line="240" w:lineRule="auto"/>
      </w:pPr>
      <w:r>
        <w:separator/>
      </w:r>
    </w:p>
  </w:footnote>
  <w:footnote w:type="continuationSeparator" w:id="0">
    <w:p w:rsidR="00EF0A3D" w:rsidRDefault="00EF0A3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24836" w:rsidRDefault="00E45EC2" w:rsidP="00E45EC2">
    <w:pPr>
      <w:bidi w:val="0"/>
      <w:spacing w:after="240" w:line="240" w:lineRule="auto"/>
      <w:jc w:val="center"/>
      <w:rPr>
        <w:rStyle w:val="PageNumber"/>
        <w:rFonts w:ascii="Calibri" w:hAnsi="Calibri"/>
        <w:rtl/>
        <w:lang w:bidi="ar-EG"/>
      </w:rPr>
    </w:pPr>
    <w:r w:rsidRPr="00024836">
      <w:rPr>
        <w:rStyle w:val="PageNumber"/>
        <w:rFonts w:ascii="Calibri" w:hAnsi="Calibri"/>
      </w:rPr>
      <w:t xml:space="preserve">- </w:t>
    </w:r>
    <w:r w:rsidR="0022345D" w:rsidRPr="00576C53">
      <w:rPr>
        <w:rStyle w:val="PageNumber"/>
        <w:rFonts w:ascii="Calibri" w:hAnsi="Calibri"/>
        <w:sz w:val="18"/>
        <w:szCs w:val="18"/>
      </w:rPr>
      <w:fldChar w:fldCharType="begin"/>
    </w:r>
    <w:r w:rsidR="0022345D" w:rsidRPr="00576C53">
      <w:rPr>
        <w:rStyle w:val="PageNumber"/>
        <w:rFonts w:ascii="Calibri" w:hAnsi="Calibri"/>
        <w:sz w:val="18"/>
        <w:szCs w:val="18"/>
      </w:rPr>
      <w:instrText xml:space="preserve"> PAGE </w:instrText>
    </w:r>
    <w:r w:rsidR="0022345D" w:rsidRPr="00576C53">
      <w:rPr>
        <w:rStyle w:val="PageNumber"/>
        <w:rFonts w:ascii="Calibri" w:hAnsi="Calibri"/>
        <w:sz w:val="18"/>
        <w:szCs w:val="18"/>
      </w:rPr>
      <w:fldChar w:fldCharType="separate"/>
    </w:r>
    <w:r w:rsidR="004F33C2">
      <w:rPr>
        <w:rStyle w:val="PageNumber"/>
        <w:rFonts w:ascii="Calibri" w:hAnsi="Calibri"/>
        <w:noProof/>
        <w:sz w:val="18"/>
        <w:szCs w:val="18"/>
      </w:rPr>
      <w:t>5</w:t>
    </w:r>
    <w:r w:rsidR="0022345D" w:rsidRPr="00576C53">
      <w:rPr>
        <w:rStyle w:val="PageNumber"/>
        <w:rFonts w:ascii="Calibri" w:hAnsi="Calibri"/>
        <w:sz w:val="18"/>
        <w:szCs w:val="18"/>
      </w:rPr>
      <w:fldChar w:fldCharType="end"/>
    </w:r>
    <w:r w:rsidRPr="00024836">
      <w:rPr>
        <w:rStyle w:val="PageNumber"/>
        <w:rFonts w:ascii="Calibri" w:hAnsi="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06BA" w:rsidTr="00BA295F">
      <w:tc>
        <w:tcPr>
          <w:tcW w:w="4814" w:type="dxa"/>
        </w:tcPr>
        <w:p w:rsidR="002506BA" w:rsidRDefault="002506BA" w:rsidP="00BA295F">
          <w:pPr>
            <w:spacing w:before="0" w:line="240" w:lineRule="auto"/>
            <w:jc w:val="left"/>
            <w:rPr>
              <w:rtl/>
            </w:rPr>
          </w:pPr>
          <w:r>
            <w:rPr>
              <w:noProof/>
              <w:rtl/>
            </w:rPr>
            <w:drawing>
              <wp:inline distT="0" distB="0" distL="0" distR="0" wp14:anchorId="7A3C235A" wp14:editId="70252330">
                <wp:extent cx="539138" cy="6080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172" cy="620472"/>
                        </a:xfrm>
                        <a:prstGeom prst="rect">
                          <a:avLst/>
                        </a:prstGeom>
                      </pic:spPr>
                    </pic:pic>
                  </a:graphicData>
                </a:graphic>
              </wp:inline>
            </w:drawing>
          </w:r>
        </w:p>
      </w:tc>
      <w:tc>
        <w:tcPr>
          <w:tcW w:w="4815" w:type="dxa"/>
        </w:tcPr>
        <w:p w:rsidR="002506BA" w:rsidRDefault="00BA295F" w:rsidP="00BA295F">
          <w:pPr>
            <w:spacing w:before="0" w:line="240" w:lineRule="auto"/>
            <w:jc w:val="right"/>
          </w:pPr>
          <w:r w:rsidRPr="00BA295F">
            <w:rPr>
              <w:noProof/>
              <w:rtl/>
            </w:rPr>
            <w:drawing>
              <wp:inline distT="0" distB="0" distL="0" distR="0">
                <wp:extent cx="1169812" cy="914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083" cy="935981"/>
                        </a:xfrm>
                        <a:prstGeom prst="rect">
                          <a:avLst/>
                        </a:prstGeom>
                        <a:noFill/>
                        <a:ln>
                          <a:noFill/>
                        </a:ln>
                      </pic:spPr>
                    </pic:pic>
                  </a:graphicData>
                </a:graphic>
              </wp:inline>
            </w:drawing>
          </w:r>
        </w:p>
      </w:tc>
    </w:tr>
  </w:tbl>
  <w:p w:rsidR="00E45EC2" w:rsidRPr="002506BA" w:rsidRDefault="00E45EC2" w:rsidP="002506BA">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3D"/>
    <w:rsid w:val="00002CDB"/>
    <w:rsid w:val="000124CC"/>
    <w:rsid w:val="00024836"/>
    <w:rsid w:val="00036074"/>
    <w:rsid w:val="00041F8B"/>
    <w:rsid w:val="00046444"/>
    <w:rsid w:val="0006023B"/>
    <w:rsid w:val="0008638B"/>
    <w:rsid w:val="00087B6A"/>
    <w:rsid w:val="00090574"/>
    <w:rsid w:val="00092FC2"/>
    <w:rsid w:val="0009379A"/>
    <w:rsid w:val="0009646C"/>
    <w:rsid w:val="000A1677"/>
    <w:rsid w:val="000B407F"/>
    <w:rsid w:val="000C13C2"/>
    <w:rsid w:val="000D471B"/>
    <w:rsid w:val="000D7567"/>
    <w:rsid w:val="000F0B1C"/>
    <w:rsid w:val="000F1D42"/>
    <w:rsid w:val="000F4D07"/>
    <w:rsid w:val="00102A03"/>
    <w:rsid w:val="001040A3"/>
    <w:rsid w:val="00147210"/>
    <w:rsid w:val="00173915"/>
    <w:rsid w:val="00180824"/>
    <w:rsid w:val="0019520B"/>
    <w:rsid w:val="00195C8E"/>
    <w:rsid w:val="001E4726"/>
    <w:rsid w:val="002051DA"/>
    <w:rsid w:val="0022345D"/>
    <w:rsid w:val="00225854"/>
    <w:rsid w:val="0023283D"/>
    <w:rsid w:val="0024199D"/>
    <w:rsid w:val="002506BA"/>
    <w:rsid w:val="00252E0C"/>
    <w:rsid w:val="00267DCA"/>
    <w:rsid w:val="00276881"/>
    <w:rsid w:val="002916BE"/>
    <w:rsid w:val="002978F4"/>
    <w:rsid w:val="002B028D"/>
    <w:rsid w:val="002B435E"/>
    <w:rsid w:val="002C4DAE"/>
    <w:rsid w:val="002D4E77"/>
    <w:rsid w:val="002D6669"/>
    <w:rsid w:val="002E6541"/>
    <w:rsid w:val="002F5560"/>
    <w:rsid w:val="002F5993"/>
    <w:rsid w:val="0030486B"/>
    <w:rsid w:val="003231B9"/>
    <w:rsid w:val="003275AC"/>
    <w:rsid w:val="00333D29"/>
    <w:rsid w:val="003409F4"/>
    <w:rsid w:val="00357185"/>
    <w:rsid w:val="00382894"/>
    <w:rsid w:val="0038443E"/>
    <w:rsid w:val="0039568F"/>
    <w:rsid w:val="003C475F"/>
    <w:rsid w:val="003E0B61"/>
    <w:rsid w:val="003E4132"/>
    <w:rsid w:val="003F678F"/>
    <w:rsid w:val="0042686F"/>
    <w:rsid w:val="004367CE"/>
    <w:rsid w:val="00443869"/>
    <w:rsid w:val="004577C7"/>
    <w:rsid w:val="004712C6"/>
    <w:rsid w:val="00497703"/>
    <w:rsid w:val="004A5A31"/>
    <w:rsid w:val="004B387C"/>
    <w:rsid w:val="004E0EED"/>
    <w:rsid w:val="004F0F06"/>
    <w:rsid w:val="004F33C2"/>
    <w:rsid w:val="005006B7"/>
    <w:rsid w:val="00501E0E"/>
    <w:rsid w:val="005204D7"/>
    <w:rsid w:val="00530420"/>
    <w:rsid w:val="00552BC5"/>
    <w:rsid w:val="0055516A"/>
    <w:rsid w:val="00557602"/>
    <w:rsid w:val="0056374C"/>
    <w:rsid w:val="0056614F"/>
    <w:rsid w:val="00566D21"/>
    <w:rsid w:val="0057656F"/>
    <w:rsid w:val="00576731"/>
    <w:rsid w:val="00576C53"/>
    <w:rsid w:val="00587577"/>
    <w:rsid w:val="0059285F"/>
    <w:rsid w:val="005A24B1"/>
    <w:rsid w:val="005A777D"/>
    <w:rsid w:val="005B7B8A"/>
    <w:rsid w:val="005D6476"/>
    <w:rsid w:val="005D6C0D"/>
    <w:rsid w:val="005E5283"/>
    <w:rsid w:val="005E58F5"/>
    <w:rsid w:val="005F2A7C"/>
    <w:rsid w:val="006060D5"/>
    <w:rsid w:val="00606660"/>
    <w:rsid w:val="006157A3"/>
    <w:rsid w:val="00620E60"/>
    <w:rsid w:val="0062452E"/>
    <w:rsid w:val="0063315A"/>
    <w:rsid w:val="00633CCF"/>
    <w:rsid w:val="00645419"/>
    <w:rsid w:val="0065591D"/>
    <w:rsid w:val="00662C5A"/>
    <w:rsid w:val="0066302B"/>
    <w:rsid w:val="00663596"/>
    <w:rsid w:val="00670AF5"/>
    <w:rsid w:val="006900FA"/>
    <w:rsid w:val="00692123"/>
    <w:rsid w:val="006A7927"/>
    <w:rsid w:val="006B6415"/>
    <w:rsid w:val="006C1556"/>
    <w:rsid w:val="006D23F9"/>
    <w:rsid w:val="006F267F"/>
    <w:rsid w:val="006F631F"/>
    <w:rsid w:val="006F63F7"/>
    <w:rsid w:val="006F6F03"/>
    <w:rsid w:val="00706D7A"/>
    <w:rsid w:val="007249FF"/>
    <w:rsid w:val="00726AEC"/>
    <w:rsid w:val="0075267A"/>
    <w:rsid w:val="007530CA"/>
    <w:rsid w:val="0077017C"/>
    <w:rsid w:val="00786136"/>
    <w:rsid w:val="0079553D"/>
    <w:rsid w:val="007B01CC"/>
    <w:rsid w:val="007E7C6C"/>
    <w:rsid w:val="007F6238"/>
    <w:rsid w:val="007F646C"/>
    <w:rsid w:val="00801FCD"/>
    <w:rsid w:val="00803556"/>
    <w:rsid w:val="00803D7E"/>
    <w:rsid w:val="00803F08"/>
    <w:rsid w:val="00807F49"/>
    <w:rsid w:val="00812B75"/>
    <w:rsid w:val="008235CD"/>
    <w:rsid w:val="00823A07"/>
    <w:rsid w:val="00835FEC"/>
    <w:rsid w:val="008513CB"/>
    <w:rsid w:val="00874D9C"/>
    <w:rsid w:val="0088267A"/>
    <w:rsid w:val="00893CB4"/>
    <w:rsid w:val="008A0AD9"/>
    <w:rsid w:val="008A1810"/>
    <w:rsid w:val="008B5B5D"/>
    <w:rsid w:val="008E6D6F"/>
    <w:rsid w:val="008F2E35"/>
    <w:rsid w:val="009029AF"/>
    <w:rsid w:val="00910BA0"/>
    <w:rsid w:val="00917694"/>
    <w:rsid w:val="009263CD"/>
    <w:rsid w:val="00930868"/>
    <w:rsid w:val="00930E6D"/>
    <w:rsid w:val="009404EC"/>
    <w:rsid w:val="00972CA2"/>
    <w:rsid w:val="00977F99"/>
    <w:rsid w:val="00982B28"/>
    <w:rsid w:val="00984EA5"/>
    <w:rsid w:val="00991732"/>
    <w:rsid w:val="00992593"/>
    <w:rsid w:val="009A3EC2"/>
    <w:rsid w:val="009C17E1"/>
    <w:rsid w:val="009C35ED"/>
    <w:rsid w:val="009F1C12"/>
    <w:rsid w:val="00A124CB"/>
    <w:rsid w:val="00A2167A"/>
    <w:rsid w:val="00A25A43"/>
    <w:rsid w:val="00A3295B"/>
    <w:rsid w:val="00A42AE5"/>
    <w:rsid w:val="00A52B61"/>
    <w:rsid w:val="00A53CB5"/>
    <w:rsid w:val="00A64820"/>
    <w:rsid w:val="00A717AC"/>
    <w:rsid w:val="00A71DD6"/>
    <w:rsid w:val="00A723C7"/>
    <w:rsid w:val="00A80E11"/>
    <w:rsid w:val="00A97F94"/>
    <w:rsid w:val="00AA7F14"/>
    <w:rsid w:val="00AB1309"/>
    <w:rsid w:val="00AC2C52"/>
    <w:rsid w:val="00AD1503"/>
    <w:rsid w:val="00AE22A8"/>
    <w:rsid w:val="00AE5B59"/>
    <w:rsid w:val="00AE7244"/>
    <w:rsid w:val="00AF3FEE"/>
    <w:rsid w:val="00B02F46"/>
    <w:rsid w:val="00B2000C"/>
    <w:rsid w:val="00B20ADE"/>
    <w:rsid w:val="00B52FDD"/>
    <w:rsid w:val="00B66B9A"/>
    <w:rsid w:val="00B67A90"/>
    <w:rsid w:val="00B71C6C"/>
    <w:rsid w:val="00B82089"/>
    <w:rsid w:val="00B969ED"/>
    <w:rsid w:val="00B970AE"/>
    <w:rsid w:val="00BA1427"/>
    <w:rsid w:val="00BA295F"/>
    <w:rsid w:val="00BC6FC9"/>
    <w:rsid w:val="00BC7EC8"/>
    <w:rsid w:val="00BE49D0"/>
    <w:rsid w:val="00BF2C38"/>
    <w:rsid w:val="00C033F1"/>
    <w:rsid w:val="00C22FB4"/>
    <w:rsid w:val="00C23331"/>
    <w:rsid w:val="00C265DA"/>
    <w:rsid w:val="00C272E1"/>
    <w:rsid w:val="00C35819"/>
    <w:rsid w:val="00C442F2"/>
    <w:rsid w:val="00C51976"/>
    <w:rsid w:val="00C674FE"/>
    <w:rsid w:val="00C7297D"/>
    <w:rsid w:val="00C74FDB"/>
    <w:rsid w:val="00C75633"/>
    <w:rsid w:val="00C8242E"/>
    <w:rsid w:val="00C82615"/>
    <w:rsid w:val="00C845DD"/>
    <w:rsid w:val="00C867DB"/>
    <w:rsid w:val="00C97A8F"/>
    <w:rsid w:val="00CA2A38"/>
    <w:rsid w:val="00CA50FF"/>
    <w:rsid w:val="00CA5136"/>
    <w:rsid w:val="00CC3CD2"/>
    <w:rsid w:val="00CC43BE"/>
    <w:rsid w:val="00CD123C"/>
    <w:rsid w:val="00CD2085"/>
    <w:rsid w:val="00CE0DF9"/>
    <w:rsid w:val="00CE2EE1"/>
    <w:rsid w:val="00CF3FFD"/>
    <w:rsid w:val="00CF5ED3"/>
    <w:rsid w:val="00D0494C"/>
    <w:rsid w:val="00D14BEB"/>
    <w:rsid w:val="00D21C89"/>
    <w:rsid w:val="00D45542"/>
    <w:rsid w:val="00D506AC"/>
    <w:rsid w:val="00D77D0F"/>
    <w:rsid w:val="00D90F99"/>
    <w:rsid w:val="00DA1CF0"/>
    <w:rsid w:val="00DB2271"/>
    <w:rsid w:val="00DB5659"/>
    <w:rsid w:val="00DC24B4"/>
    <w:rsid w:val="00DC5E81"/>
    <w:rsid w:val="00DD7A05"/>
    <w:rsid w:val="00DF16DC"/>
    <w:rsid w:val="00DF5361"/>
    <w:rsid w:val="00E009A1"/>
    <w:rsid w:val="00E00D15"/>
    <w:rsid w:val="00E071BE"/>
    <w:rsid w:val="00E07379"/>
    <w:rsid w:val="00E12339"/>
    <w:rsid w:val="00E14494"/>
    <w:rsid w:val="00E17033"/>
    <w:rsid w:val="00E22744"/>
    <w:rsid w:val="00E32189"/>
    <w:rsid w:val="00E45211"/>
    <w:rsid w:val="00E45EC2"/>
    <w:rsid w:val="00E67262"/>
    <w:rsid w:val="00E7380C"/>
    <w:rsid w:val="00E74BE7"/>
    <w:rsid w:val="00E810A4"/>
    <w:rsid w:val="00E86CC9"/>
    <w:rsid w:val="00E96624"/>
    <w:rsid w:val="00EC1DAE"/>
    <w:rsid w:val="00ED4969"/>
    <w:rsid w:val="00ED6B1F"/>
    <w:rsid w:val="00EF0A3D"/>
    <w:rsid w:val="00F01F1A"/>
    <w:rsid w:val="00F07106"/>
    <w:rsid w:val="00F126F1"/>
    <w:rsid w:val="00F159AB"/>
    <w:rsid w:val="00F2106A"/>
    <w:rsid w:val="00F36D8B"/>
    <w:rsid w:val="00F401D0"/>
    <w:rsid w:val="00F45F2B"/>
    <w:rsid w:val="00F57AE4"/>
    <w:rsid w:val="00F603CF"/>
    <w:rsid w:val="00F67150"/>
    <w:rsid w:val="00F67371"/>
    <w:rsid w:val="00F84366"/>
    <w:rsid w:val="00F8503D"/>
    <w:rsid w:val="00F85089"/>
    <w:rsid w:val="00F85564"/>
    <w:rsid w:val="00F86CFA"/>
    <w:rsid w:val="00FA55ED"/>
    <w:rsid w:val="00FB3C36"/>
    <w:rsid w:val="00FD2031"/>
    <w:rsid w:val="00FD25C1"/>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05F4B47-C92F-49A4-B150-A0E80E26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C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E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C51976"/>
    <w:pPr>
      <w:spacing w:before="360" w:after="120"/>
      <w:jc w:val="center"/>
    </w:pPr>
    <w:rPr>
      <w:sz w:val="26"/>
      <w:szCs w:val="36"/>
      <w:lang w:bidi="ar-SY"/>
    </w:rPr>
  </w:style>
  <w:style w:type="paragraph" w:customStyle="1" w:styleId="Annextitle0">
    <w:name w:val="Annex title"/>
    <w:basedOn w:val="AnnexNo0"/>
    <w:qFormat/>
    <w:rsid w:val="00C51976"/>
    <w:pPr>
      <w:keepNext/>
      <w:keepLines/>
      <w:spacing w:before="120" w:after="360"/>
    </w:pPr>
    <w:rPr>
      <w:b/>
      <w:bCs/>
      <w:sz w:val="28"/>
      <w:szCs w:val="40"/>
    </w:rPr>
  </w:style>
  <w:style w:type="character" w:customStyle="1" w:styleId="href">
    <w:name w:val="href"/>
    <w:basedOn w:val="DefaultParagraphFont"/>
    <w:uiPriority w:val="99"/>
    <w:rsid w:val="00C5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6-C-0106/en" TargetMode="External"/><Relationship Id="rId18" Type="http://schemas.openxmlformats.org/officeDocument/2006/relationships/hyperlink" Target="https://www.itu.int/md/R15-SG06-C-0135/en" TargetMode="External"/><Relationship Id="rId26" Type="http://schemas.openxmlformats.org/officeDocument/2006/relationships/hyperlink" Target="http://www.itu.int/rec/R-REC-BT.1306/en" TargetMode="External"/><Relationship Id="rId3" Type="http://schemas.openxmlformats.org/officeDocument/2006/relationships/customXml" Target="../customXml/item3.xml"/><Relationship Id="rId21" Type="http://schemas.openxmlformats.org/officeDocument/2006/relationships/hyperlink" Target="https://www.itu.int/md/R15-SG06-C-0104/e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R15-SG06-C-0104/en" TargetMode="External"/><Relationship Id="rId17" Type="http://schemas.openxmlformats.org/officeDocument/2006/relationships/hyperlink" Target="https://www.itu.int/md/R15-SG06-C-0128/en" TargetMode="External"/><Relationship Id="rId25" Type="http://schemas.openxmlformats.org/officeDocument/2006/relationships/hyperlink" Target="https://www.itu.int/md/R15-SG06-C-0121/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R15-SG06-C-0121/en" TargetMode="External"/><Relationship Id="rId20" Type="http://schemas.openxmlformats.org/officeDocument/2006/relationships/hyperlink" Target="https://www.itu.int/md/R15-SG06-C/en" TargetMode="External"/><Relationship Id="rId29" Type="http://schemas.openxmlformats.org/officeDocument/2006/relationships/hyperlink" Target="https://www.itu.int/md/R15-SG06-C-013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24" Type="http://schemas.openxmlformats.org/officeDocument/2006/relationships/hyperlink" Target="https://www.itu.int/md/R15-SG06-C-0114/en"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R15-SG06-C-0114/en" TargetMode="External"/><Relationship Id="rId23" Type="http://schemas.openxmlformats.org/officeDocument/2006/relationships/hyperlink" Target="https://www.itu.int/md/R15-SG06-C-0112/en" TargetMode="External"/><Relationship Id="rId28" Type="http://schemas.openxmlformats.org/officeDocument/2006/relationships/hyperlink" Target="https://www.itu.int/md/R15-SG06-C-0128/en" TargetMode="External"/><Relationship Id="rId36" Type="http://schemas.openxmlformats.org/officeDocument/2006/relationships/theme" Target="theme/theme1.xml"/><Relationship Id="rId10" Type="http://schemas.openxmlformats.org/officeDocument/2006/relationships/hyperlink" Target="http://www.itu.int/pub/R-REC" TargetMode="External"/><Relationship Id="rId19" Type="http://schemas.openxmlformats.org/officeDocument/2006/relationships/hyperlink" Target="https://www.itu.int/md/R15-SG06-C-0135/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6-C-0112/en" TargetMode="External"/><Relationship Id="rId22" Type="http://schemas.openxmlformats.org/officeDocument/2006/relationships/hyperlink" Target="https://www.itu.int/md/R15-SG06-C-0106/en" TargetMode="External"/><Relationship Id="rId27" Type="http://schemas.openxmlformats.org/officeDocument/2006/relationships/hyperlink" Target="http://www.itu.int/pub/R-REP-BT.2295" TargetMode="External"/><Relationship Id="rId30" Type="http://schemas.openxmlformats.org/officeDocument/2006/relationships/hyperlink" Target="https://www.itu.int/md/R15-SG06-C-0135/en"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20Letter_T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996b2e75-67fd-4955-a3b0-5ab9934cb50b"/>
    <ds:schemaRef ds:uri="de10a323-94a9-4e93-88b4-ea964576960d"/>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B3119FE-9C5E-431B-AE68-85D89FFA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Letter_TSD.dotx</Template>
  <TotalTime>7</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Jovet, Nathalie</cp:lastModifiedBy>
  <cp:revision>5</cp:revision>
  <cp:lastPrinted>2016-06-07T13:25:00Z</cp:lastPrinted>
  <dcterms:created xsi:type="dcterms:W3CDTF">2017-04-18T07:55:00Z</dcterms:created>
  <dcterms:modified xsi:type="dcterms:W3CDTF">2017-04-18T12:59:00Z</dcterms:modified>
  <cp:category>Conference document</cp:category>
</cp:coreProperties>
</file>