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A6A6A6" w:themeColor="background1" w:themeShade="A6"/>
                <w:sz w:val="30"/>
                <w:szCs w:val="40"/>
                <w:rtl/>
                <w:lang w:eastAsia="zh-CN" w:bidi="ar-EG"/>
              </w:rPr>
            </w:pPr>
            <w:r w:rsidRPr="00AF70F6">
              <w:rPr>
                <w:rFonts w:eastAsiaTheme="minorEastAsia"/>
                <w:b/>
                <w:bCs/>
                <w:color w:val="A6A6A6" w:themeColor="background1" w:themeShade="A6"/>
                <w:sz w:val="30"/>
                <w:szCs w:val="40"/>
                <w:rtl/>
                <w:lang w:eastAsia="zh-CN"/>
              </w:rPr>
              <w:t>مكتب</w:t>
            </w:r>
            <w:r w:rsidRPr="00AF70F6">
              <w:rPr>
                <w:rFonts w:eastAsiaTheme="minorEastAsia" w:hint="cs"/>
                <w:b/>
                <w:bCs/>
                <w:color w:val="A6A6A6" w:themeColor="background1" w:themeShade="A6"/>
                <w:sz w:val="30"/>
                <w:szCs w:val="40"/>
                <w:rtl/>
                <w:lang w:eastAsia="zh-CN"/>
              </w:rPr>
              <w:t xml:space="preserve"> </w:t>
            </w:r>
            <w:r w:rsidRPr="00AF70F6">
              <w:rPr>
                <w:rFonts w:eastAsiaTheme="minorEastAsia"/>
                <w:b/>
                <w:bCs/>
                <w:color w:val="A6A6A6" w:themeColor="background1" w:themeShade="A6"/>
                <w:sz w:val="30"/>
                <w:szCs w:val="40"/>
                <w:rtl/>
                <w:lang w:eastAsia="zh-CN"/>
              </w:rPr>
              <w:t>الاتصالات</w:t>
            </w:r>
            <w:r w:rsidRPr="00AF70F6">
              <w:rPr>
                <w:rFonts w:eastAsiaTheme="minorEastAsia" w:hint="cs"/>
                <w:b/>
                <w:bCs/>
                <w:color w:val="A6A6A6" w:themeColor="background1" w:themeShade="A6"/>
                <w:sz w:val="30"/>
                <w:szCs w:val="40"/>
                <w:rtl/>
                <w:lang w:eastAsia="zh-CN"/>
              </w:rPr>
              <w:t xml:space="preserve"> </w:t>
            </w:r>
            <w:r w:rsidRPr="00AF70F6">
              <w:rPr>
                <w:rFonts w:eastAsiaTheme="minorEastAsia"/>
                <w:b/>
                <w:bCs/>
                <w:color w:val="A6A6A6" w:themeColor="background1" w:themeShade="A6"/>
                <w:sz w:val="30"/>
                <w:szCs w:val="40"/>
                <w:rtl/>
                <w:lang w:eastAsia="zh-CN"/>
              </w:rPr>
              <w:t>الراديوية</w:t>
            </w:r>
            <w:r w:rsidRPr="00AF70F6">
              <w:rPr>
                <w:rFonts w:eastAsiaTheme="minorEastAsia" w:hint="cs"/>
                <w:b/>
                <w:bCs/>
                <w:color w:val="A6A6A6" w:themeColor="background1" w:themeShade="A6"/>
                <w:sz w:val="30"/>
                <w:szCs w:val="40"/>
                <w:rtl/>
                <w:lang w:eastAsia="zh-CN"/>
              </w:rPr>
              <w:t xml:space="preserve"> </w:t>
            </w:r>
            <w:r w:rsidRPr="00AF70F6">
              <w:rPr>
                <w:rFonts w:eastAsiaTheme="minorEastAsia"/>
                <w:b/>
                <w:bCs/>
                <w:color w:val="A6A6A6" w:themeColor="background1" w:themeShade="A6"/>
                <w:sz w:val="30"/>
                <w:szCs w:val="40"/>
                <w:lang w:eastAsia="zh-CN" w:bidi="ar-SY"/>
              </w:rPr>
              <w:t>(BR)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68365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68365E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68365E" w:rsidP="0068365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800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A44581" w:rsidP="00A4458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3</w:t>
            </w:r>
            <w:r w:rsidR="0068365E">
              <w:rPr>
                <w:rFonts w:eastAsiaTheme="minorEastAsia"/>
                <w:lang w:val="fr-FR" w:eastAsia="zh-CN" w:bidi="ar-SY"/>
              </w:rPr>
              <w:t>1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يناير </w:t>
            </w:r>
            <w:r w:rsidR="00AF70F6" w:rsidRPr="00AF70F6">
              <w:rPr>
                <w:rFonts w:eastAsiaTheme="minorEastAsia"/>
                <w:lang w:eastAsia="zh-CN" w:bidi="ar-SY"/>
              </w:rPr>
              <w:t>2017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68365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/>
              </w:rPr>
              <w:t xml:space="preserve"> و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t>المنتسبين إليه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="0068365E">
              <w:rPr>
                <w:rFonts w:eastAsiaTheme="minorEastAsia"/>
                <w:b/>
                <w:bCs/>
                <w:lang w:val="en-GB" w:eastAsia="zh-CN" w:bidi="ar-SY"/>
              </w:rPr>
              <w:t>5</w:t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8D3F8E" w:rsidRDefault="00AF70F6" w:rsidP="0068365E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68365E">
              <w:rPr>
                <w:b/>
                <w:bCs/>
                <w:lang w:bidi="ar-SY"/>
              </w:rPr>
              <w:t>5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68365E">
              <w:rPr>
                <w:rFonts w:hint="cs"/>
                <w:b/>
                <w:bCs/>
                <w:rtl/>
                <w:lang w:bidi="ar-EG"/>
              </w:rPr>
              <w:t>الخدمات الأرضية</w:t>
            </w:r>
            <w:r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AF70F6" w:rsidRPr="0068365E" w:rsidRDefault="00AF70F6" w:rsidP="0068365E">
            <w:pPr>
              <w:tabs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اعتماد </w:t>
            </w:r>
            <w:r w:rsidR="0068365E">
              <w:rPr>
                <w:rFonts w:hint="cs"/>
                <w:b/>
                <w:bCs/>
                <w:rtl/>
                <w:lang w:bidi="ar-EG"/>
              </w:rPr>
              <w:t>توصيتين مراجعتين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 والموافقة عليه</w:t>
            </w:r>
            <w:r w:rsidR="0098108B">
              <w:rPr>
                <w:rFonts w:hint="cs"/>
                <w:b/>
                <w:bCs/>
                <w:rtl/>
                <w:lang w:bidi="ar-EG"/>
              </w:rPr>
              <w:t>م</w:t>
            </w:r>
            <w:r>
              <w:rPr>
                <w:rFonts w:hint="cs"/>
                <w:b/>
                <w:bCs/>
                <w:rtl/>
                <w:lang w:bidi="ar-EG"/>
              </w:rPr>
              <w:t>ا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r>
              <w:rPr>
                <w:b/>
                <w:bCs/>
                <w:lang w:bidi="ar-EG"/>
              </w:rPr>
              <w:t>4.2.6.A2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>
              <w:rPr>
                <w:b/>
                <w:bCs/>
                <w:lang w:bidi="ar-EG"/>
              </w:rPr>
              <w:t>ITU</w:t>
            </w:r>
            <w:r>
              <w:rPr>
                <w:b/>
                <w:bCs/>
                <w:lang w:bidi="ar-EG"/>
              </w:rPr>
              <w:noBreakHyphen/>
              <w:t>R 1</w:t>
            </w:r>
            <w:r>
              <w:rPr>
                <w:b/>
                <w:bCs/>
                <w:lang w:bidi="ar-EG"/>
              </w:rPr>
              <w:noBreakHyphen/>
              <w:t>7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</w:tbl>
    <w:p w:rsidR="00AF70F6" w:rsidRPr="00AF70F6" w:rsidRDefault="00AF70F6" w:rsidP="00AF70F6">
      <w:pPr>
        <w:rPr>
          <w:rtl/>
        </w:rPr>
      </w:pPr>
      <w:r w:rsidRPr="00AF70F6">
        <w:rPr>
          <w:rFonts w:hint="cs"/>
          <w:rtl/>
        </w:rPr>
        <w:t>تحية طيبة وبعد،</w:t>
      </w:r>
    </w:p>
    <w:p w:rsidR="00AF70F6" w:rsidRPr="00AF70F6" w:rsidRDefault="00AF70F6" w:rsidP="0068365E">
      <w:pPr>
        <w:rPr>
          <w:rtl/>
        </w:rPr>
      </w:pPr>
      <w:r w:rsidRPr="00AF70F6">
        <w:rPr>
          <w:rtl/>
          <w:lang w:bidi="ar-EG"/>
        </w:rPr>
        <w:t xml:space="preserve">تم بموجب </w:t>
      </w:r>
      <w:r w:rsidRPr="00AF70F6">
        <w:rPr>
          <w:rFonts w:hint="cs"/>
          <w:rtl/>
          <w:lang w:bidi="ar-EG"/>
        </w:rPr>
        <w:t>الرسالة</w:t>
      </w:r>
      <w:r w:rsidRPr="00AF70F6">
        <w:rPr>
          <w:rtl/>
          <w:lang w:bidi="ar-EG"/>
        </w:rPr>
        <w:t xml:space="preserve"> الإدارية</w:t>
      </w:r>
      <w:r w:rsidRPr="00AF70F6">
        <w:rPr>
          <w:rFonts w:hint="cs"/>
          <w:rtl/>
          <w:lang w:bidi="ar-EG"/>
        </w:rPr>
        <w:t xml:space="preserve"> المعممة</w:t>
      </w:r>
      <w:r w:rsidRPr="00AF70F6">
        <w:rPr>
          <w:rtl/>
          <w:lang w:bidi="ar-EG"/>
        </w:rPr>
        <w:t xml:space="preserve"> </w:t>
      </w:r>
      <w:r w:rsidRPr="00AF70F6">
        <w:rPr>
          <w:lang w:bidi="ar-EG"/>
        </w:rPr>
        <w:t>CACE/</w:t>
      </w:r>
      <w:r w:rsidR="0068365E">
        <w:rPr>
          <w:lang w:bidi="ar-EG"/>
        </w:rPr>
        <w:t>793</w:t>
      </w:r>
      <w:r w:rsidRPr="00AF70F6">
        <w:rPr>
          <w:rtl/>
          <w:lang w:bidi="ar-EG"/>
        </w:rPr>
        <w:t xml:space="preserve"> المؤرخة </w:t>
      </w:r>
      <w:r w:rsidR="0068365E">
        <w:rPr>
          <w:lang w:bidi="ar-EG"/>
        </w:rPr>
        <w:t>30</w:t>
      </w:r>
      <w:r w:rsidR="0068365E">
        <w:rPr>
          <w:rFonts w:hint="cs"/>
          <w:rtl/>
          <w:lang w:bidi="ar-EG"/>
        </w:rPr>
        <w:t xml:space="preserve"> نوفمبر </w:t>
      </w:r>
      <w:r w:rsidRPr="00AF70F6">
        <w:rPr>
          <w:lang w:bidi="ar-EG"/>
        </w:rPr>
        <w:t>2016</w:t>
      </w:r>
      <w:r w:rsidRPr="00AF70F6">
        <w:rPr>
          <w:rtl/>
          <w:lang w:bidi="ar-EG"/>
        </w:rPr>
        <w:t xml:space="preserve">، تقديم </w:t>
      </w:r>
      <w:r w:rsidR="0068365E">
        <w:rPr>
          <w:rFonts w:hint="cs"/>
          <w:rtl/>
          <w:lang w:bidi="ar-EG"/>
        </w:rPr>
        <w:t xml:space="preserve">مشروعَي توصيتين مراجعتين </w:t>
      </w:r>
      <w:r w:rsidRPr="00AF70F6">
        <w:rPr>
          <w:rtl/>
          <w:lang w:bidi="ar-EG"/>
        </w:rPr>
        <w:t>لاعتماده</w:t>
      </w:r>
      <w:r w:rsidR="0068365E">
        <w:rPr>
          <w:rFonts w:hint="cs"/>
          <w:rtl/>
          <w:lang w:bidi="ar-EG"/>
        </w:rPr>
        <w:t>م</w:t>
      </w:r>
      <w:r w:rsidRPr="00AF70F6">
        <w:rPr>
          <w:rtl/>
          <w:lang w:bidi="ar-EG"/>
        </w:rPr>
        <w:t>ا والموافقة عليه</w:t>
      </w:r>
      <w:r w:rsidR="0068365E">
        <w:rPr>
          <w:rFonts w:hint="cs"/>
          <w:rtl/>
          <w:lang w:bidi="ar-EG"/>
        </w:rPr>
        <w:t>م</w:t>
      </w:r>
      <w:r w:rsidRPr="00AF70F6">
        <w:rPr>
          <w:rtl/>
          <w:lang w:bidi="ar-EG"/>
        </w:rPr>
        <w:t>ا في نفس الوقت عن طريق المراسلة</w:t>
      </w:r>
      <w:r w:rsidRPr="00AF70F6">
        <w:rPr>
          <w:rFonts w:hint="cs"/>
          <w:rtl/>
          <w:lang w:bidi="ar-EG"/>
        </w:rPr>
        <w:t xml:space="preserve"> </w:t>
      </w:r>
      <w:r w:rsidRPr="00AF70F6">
        <w:rPr>
          <w:lang w:bidi="ar-EG"/>
        </w:rPr>
        <w:t>(PSAA)</w:t>
      </w:r>
      <w:r w:rsidRPr="00AF70F6">
        <w:rPr>
          <w:rtl/>
          <w:lang w:bidi="ar-EG"/>
        </w:rPr>
        <w:t xml:space="preserve"> وفقاً للإجراء المنصوص عليه في</w:t>
      </w:r>
      <w:r w:rsidRPr="00AF70F6">
        <w:rPr>
          <w:rFonts w:hint="cs"/>
          <w:rtl/>
          <w:lang w:bidi="ar-EG"/>
        </w:rPr>
        <w:t> </w:t>
      </w:r>
      <w:r w:rsidRPr="00AF70F6">
        <w:rPr>
          <w:rtl/>
          <w:lang w:bidi="ar-EG"/>
        </w:rPr>
        <w:t>القرار</w:t>
      </w:r>
      <w:r w:rsidRPr="00AF70F6">
        <w:rPr>
          <w:rFonts w:hint="cs"/>
          <w:rtl/>
          <w:lang w:bidi="ar-EG"/>
        </w:rPr>
        <w:t> </w:t>
      </w:r>
      <w:r w:rsidRPr="00AF70F6">
        <w:rPr>
          <w:lang w:bidi="ar-EG"/>
        </w:rPr>
        <w:t>ITU</w:t>
      </w:r>
      <w:r w:rsidRPr="00AF70F6">
        <w:rPr>
          <w:lang w:bidi="ar-EG"/>
        </w:rPr>
        <w:sym w:font="Symbol" w:char="F02D"/>
      </w:r>
      <w:r w:rsidRPr="00AF70F6">
        <w:rPr>
          <w:lang w:bidi="ar-EG"/>
        </w:rPr>
        <w:t>R 1</w:t>
      </w:r>
      <w:r w:rsidRPr="00AF70F6">
        <w:rPr>
          <w:lang w:bidi="ar-EG"/>
        </w:rPr>
        <w:noBreakHyphen/>
        <w:t>7</w:t>
      </w:r>
      <w:r w:rsidRPr="00AF70F6">
        <w:rPr>
          <w:rtl/>
          <w:lang w:bidi="ar-EG"/>
        </w:rPr>
        <w:t xml:space="preserve"> (الفقرة </w:t>
      </w:r>
      <w:r w:rsidRPr="00AF70F6">
        <w:rPr>
          <w:lang w:bidi="ar-EG"/>
        </w:rPr>
        <w:t>4.2.6.A2</w:t>
      </w:r>
      <w:r w:rsidRPr="00AF70F6">
        <w:rPr>
          <w:rtl/>
          <w:lang w:bidi="ar-EG"/>
        </w:rPr>
        <w:t>).</w:t>
      </w:r>
    </w:p>
    <w:p w:rsidR="006157A3" w:rsidRDefault="00AF70F6" w:rsidP="0068365E">
      <w:pPr>
        <w:rPr>
          <w:rtl/>
          <w:lang w:bidi="ar-EG"/>
        </w:rPr>
      </w:pPr>
      <w:r w:rsidRPr="00AF70F6">
        <w:rPr>
          <w:rtl/>
          <w:lang w:bidi="ar-EG"/>
        </w:rPr>
        <w:t xml:space="preserve">وقد استوفيت الشروط </w:t>
      </w:r>
      <w:r w:rsidRPr="00AF70F6">
        <w:rPr>
          <w:rFonts w:hint="cs"/>
          <w:rtl/>
          <w:lang w:bidi="ar-EG"/>
        </w:rPr>
        <w:t xml:space="preserve">التي تحكم هذا </w:t>
      </w:r>
      <w:r w:rsidRPr="00AF70F6">
        <w:rPr>
          <w:rtl/>
          <w:lang w:bidi="ar-EG"/>
        </w:rPr>
        <w:t xml:space="preserve">الإجراء في </w:t>
      </w:r>
      <w:r w:rsidR="0068365E">
        <w:rPr>
          <w:lang w:bidi="ar-EG"/>
        </w:rPr>
        <w:t>30</w:t>
      </w:r>
      <w:r w:rsidRPr="00AF70F6">
        <w:rPr>
          <w:rFonts w:hint="cs"/>
          <w:rtl/>
          <w:lang w:bidi="ar-EG"/>
        </w:rPr>
        <w:t xml:space="preserve"> </w:t>
      </w:r>
      <w:r w:rsidR="0068365E">
        <w:rPr>
          <w:rFonts w:hint="cs"/>
          <w:rtl/>
          <w:lang w:bidi="ar-EG"/>
        </w:rPr>
        <w:t xml:space="preserve">يناير </w:t>
      </w:r>
      <w:r w:rsidR="0068365E">
        <w:rPr>
          <w:lang w:bidi="ar-EG"/>
        </w:rPr>
        <w:t>2017</w:t>
      </w:r>
      <w:r w:rsidRPr="00AF70F6">
        <w:rPr>
          <w:rFonts w:hint="cs"/>
          <w:rtl/>
          <w:lang w:bidi="ar-EG"/>
        </w:rPr>
        <w:t>.</w:t>
      </w:r>
    </w:p>
    <w:p w:rsidR="00AF70F6" w:rsidRDefault="00AF70F6" w:rsidP="00B7159D">
      <w:pPr>
        <w:rPr>
          <w:rtl/>
        </w:rPr>
      </w:pPr>
      <w:r w:rsidRPr="00AF70F6">
        <w:rPr>
          <w:rtl/>
          <w:lang w:bidi="ar-EG"/>
        </w:rPr>
        <w:t xml:space="preserve">وسينشر الاتحاد </w:t>
      </w:r>
      <w:r w:rsidR="0068365E">
        <w:rPr>
          <w:rFonts w:hint="cs"/>
          <w:rtl/>
          <w:lang w:bidi="ar-EG"/>
        </w:rPr>
        <w:t>التوصيتين</w:t>
      </w:r>
      <w:r w:rsidRPr="00AF70F6">
        <w:rPr>
          <w:rFonts w:hint="cs"/>
          <w:rtl/>
          <w:lang w:bidi="ar-EG"/>
        </w:rPr>
        <w:t xml:space="preserve"> الموافَق</w:t>
      </w:r>
      <w:r w:rsidRPr="00AF70F6">
        <w:rPr>
          <w:rtl/>
          <w:lang w:bidi="ar-EG"/>
        </w:rPr>
        <w:t xml:space="preserve"> عليه</w:t>
      </w:r>
      <w:r w:rsidR="0068365E">
        <w:rPr>
          <w:rFonts w:hint="cs"/>
          <w:rtl/>
          <w:lang w:bidi="ar-EG"/>
        </w:rPr>
        <w:t>م</w:t>
      </w:r>
      <w:r w:rsidRPr="00AF70F6">
        <w:rPr>
          <w:rtl/>
          <w:lang w:bidi="ar-EG"/>
        </w:rPr>
        <w:t xml:space="preserve">ا، ويتضمن الملحق </w:t>
      </w:r>
      <w:r w:rsidRPr="00AF70F6">
        <w:rPr>
          <w:rFonts w:hint="cs"/>
          <w:rtl/>
          <w:lang w:bidi="ar-EG"/>
        </w:rPr>
        <w:t>ب</w:t>
      </w:r>
      <w:r w:rsidRPr="00AF70F6">
        <w:rPr>
          <w:rtl/>
          <w:lang w:bidi="ar-EG"/>
        </w:rPr>
        <w:t xml:space="preserve">هذه </w:t>
      </w:r>
      <w:r w:rsidRPr="00AF70F6">
        <w:rPr>
          <w:rFonts w:hint="cs"/>
          <w:rtl/>
          <w:lang w:bidi="ar-EG"/>
        </w:rPr>
        <w:t>الرسالة المعممة</w:t>
      </w:r>
      <w:r w:rsidRPr="00AF70F6">
        <w:rPr>
          <w:rtl/>
          <w:lang w:bidi="ar-EG"/>
        </w:rPr>
        <w:t xml:space="preserve"> </w:t>
      </w:r>
      <w:r w:rsidR="0068365E">
        <w:rPr>
          <w:rFonts w:hint="cs"/>
          <w:rtl/>
          <w:lang w:bidi="ar-EG"/>
        </w:rPr>
        <w:t xml:space="preserve">عنوانَي هاتين التوصيتين </w:t>
      </w:r>
      <w:r w:rsidRPr="00AF70F6">
        <w:rPr>
          <w:rFonts w:hint="cs"/>
          <w:rtl/>
          <w:lang w:bidi="ar-EG"/>
        </w:rPr>
        <w:t>والأرقام المخصصة</w:t>
      </w:r>
      <w:r w:rsidRPr="00AF70F6">
        <w:rPr>
          <w:rtl/>
          <w:lang w:bidi="ar-EG"/>
        </w:rPr>
        <w:t xml:space="preserve"> له</w:t>
      </w:r>
      <w:r w:rsidR="0068365E">
        <w:rPr>
          <w:rFonts w:hint="cs"/>
          <w:rtl/>
          <w:lang w:bidi="ar-EG"/>
        </w:rPr>
        <w:t>م</w:t>
      </w:r>
      <w:r w:rsidRPr="00AF70F6">
        <w:rPr>
          <w:rtl/>
          <w:lang w:bidi="ar-EG"/>
        </w:rPr>
        <w:t>ا.</w:t>
      </w:r>
    </w:p>
    <w:p w:rsidR="00AF70F6" w:rsidRDefault="00AF70F6" w:rsidP="00AF70F6">
      <w:pPr>
        <w:spacing w:before="240"/>
        <w:rPr>
          <w:rtl/>
          <w:lang w:bidi="ar-EG"/>
        </w:rPr>
      </w:pPr>
      <w:r w:rsidRPr="00AF70F6">
        <w:rPr>
          <w:rFonts w:hint="cs"/>
          <w:rtl/>
          <w:lang w:bidi="ar-EG"/>
        </w:rPr>
        <w:t>وتفضلوا بقبول فائق التقدير والاحترام.</w:t>
      </w:r>
    </w:p>
    <w:p w:rsidR="00AF70F6" w:rsidRPr="00AF70F6" w:rsidRDefault="00AF70F6" w:rsidP="00B7159D">
      <w:pPr>
        <w:spacing w:before="1200"/>
        <w:jc w:val="left"/>
        <w:rPr>
          <w:rtl/>
        </w:rPr>
      </w:pPr>
      <w:r w:rsidRPr="00AF70F6">
        <w:rPr>
          <w:rFonts w:hint="cs"/>
          <w:rtl/>
        </w:rPr>
        <w:t>فرانسوا</w:t>
      </w:r>
      <w:r w:rsidRPr="00AF70F6">
        <w:rPr>
          <w:rtl/>
        </w:rPr>
        <w:t xml:space="preserve"> </w:t>
      </w:r>
      <w:proofErr w:type="spellStart"/>
      <w:r w:rsidRPr="00AF70F6">
        <w:rPr>
          <w:rFonts w:hint="cs"/>
          <w:rtl/>
        </w:rPr>
        <w:t>رانسي</w:t>
      </w:r>
      <w:proofErr w:type="spellEnd"/>
      <w:r w:rsidRPr="00AF70F6">
        <w:rPr>
          <w:rtl/>
        </w:rPr>
        <w:br/>
      </w:r>
      <w:r w:rsidRPr="00AF70F6">
        <w:rPr>
          <w:rFonts w:hint="cs"/>
          <w:rtl/>
        </w:rPr>
        <w:t>المدير</w:t>
      </w:r>
    </w:p>
    <w:p w:rsidR="00AF70F6" w:rsidRDefault="00AF70F6" w:rsidP="00B7159D">
      <w:pPr>
        <w:spacing w:before="240"/>
        <w:rPr>
          <w:rtl/>
          <w:lang w:bidi="ar-EG"/>
        </w:rPr>
      </w:pPr>
      <w:r w:rsidRPr="00AF70F6">
        <w:rPr>
          <w:b/>
          <w:bCs/>
          <w:rtl/>
          <w:lang w:bidi="ar-EG"/>
        </w:rPr>
        <w:t>الملحقات</w:t>
      </w:r>
      <w:r w:rsidRPr="00AF70F6">
        <w:rPr>
          <w:rtl/>
          <w:lang w:bidi="ar-EG"/>
        </w:rPr>
        <w:t xml:space="preserve">: </w:t>
      </w:r>
      <w:r w:rsidR="00084081">
        <w:rPr>
          <w:lang w:bidi="ar-EG"/>
        </w:rPr>
        <w:t>1</w:t>
      </w:r>
    </w:p>
    <w:p w:rsidR="00AF70F6" w:rsidRPr="00E45690" w:rsidRDefault="00AF70F6" w:rsidP="00B7159D">
      <w:pPr>
        <w:tabs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  <w:bookmarkStart w:id="0" w:name="_GoBack"/>
      <w:bookmarkEnd w:id="0"/>
    </w:p>
    <w:p w:rsidR="00AF70F6" w:rsidRPr="00415359" w:rsidRDefault="00AF70F6" w:rsidP="006130CD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fr-CH"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إدارات الدول الأعضاء</w:t>
      </w:r>
      <w:r w:rsidRPr="00415359">
        <w:rPr>
          <w:rFonts w:hint="cs"/>
          <w:sz w:val="18"/>
          <w:szCs w:val="24"/>
          <w:rtl/>
          <w:lang w:bidi="ar-EG"/>
        </w:rPr>
        <w:t xml:space="preserve"> في الاتحاد</w:t>
      </w:r>
      <w:r w:rsidRPr="00415359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415359">
        <w:rPr>
          <w:rFonts w:hint="cs"/>
          <w:sz w:val="18"/>
          <w:szCs w:val="24"/>
          <w:rtl/>
          <w:lang w:bidi="ar-EG"/>
        </w:rPr>
        <w:t xml:space="preserve"> المشاركون في أعمال لجنة الدراسات </w:t>
      </w:r>
      <w:r w:rsidR="00084081">
        <w:rPr>
          <w:sz w:val="18"/>
          <w:szCs w:val="24"/>
          <w:lang w:val="fr-CH" w:bidi="ar-EG"/>
        </w:rPr>
        <w:t>5</w:t>
      </w:r>
      <w:r w:rsidRPr="00415359"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:rsidR="00AF70F6" w:rsidRPr="00415359" w:rsidRDefault="00AF70F6" w:rsidP="00084081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="00084081">
        <w:rPr>
          <w:sz w:val="18"/>
          <w:szCs w:val="24"/>
          <w:lang w:bidi="ar-EG"/>
        </w:rPr>
        <w:t>5</w:t>
      </w:r>
      <w:r w:rsidRPr="00415359">
        <w:rPr>
          <w:sz w:val="18"/>
          <w:szCs w:val="24"/>
          <w:rtl/>
          <w:lang w:bidi="ar-EG"/>
        </w:rPr>
        <w:t xml:space="preserve"> للاتصالات الراديوية</w:t>
      </w:r>
    </w:p>
    <w:p w:rsidR="00AF70F6" w:rsidRPr="00415359" w:rsidRDefault="00AF70F6" w:rsidP="00AF70F6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rFonts w:hint="cs"/>
          <w:sz w:val="18"/>
          <w:szCs w:val="24"/>
          <w:rtl/>
          <w:lang w:bidi="ar-EG"/>
        </w:rPr>
        <w:t>-</w:t>
      </w:r>
      <w:r w:rsidRPr="00415359">
        <w:rPr>
          <w:rFonts w:hint="cs"/>
          <w:sz w:val="18"/>
          <w:szCs w:val="24"/>
          <w:rtl/>
          <w:lang w:bidi="ar-EG"/>
        </w:rPr>
        <w:tab/>
      </w:r>
      <w:r w:rsidRPr="00415359">
        <w:rPr>
          <w:rFonts w:hint="cs"/>
          <w:sz w:val="18"/>
          <w:szCs w:val="24"/>
          <w:rtl/>
        </w:rPr>
        <w:t xml:space="preserve">الهيئات الأكاديمية المنضمة إلى </w:t>
      </w:r>
      <w:r>
        <w:rPr>
          <w:rFonts w:hint="cs"/>
          <w:sz w:val="18"/>
          <w:szCs w:val="24"/>
          <w:rtl/>
        </w:rPr>
        <w:t>الاتحاد</w:t>
      </w:r>
    </w:p>
    <w:p w:rsidR="00AF70F6" w:rsidRPr="00415359" w:rsidRDefault="00AF70F6" w:rsidP="00084081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رؤساء لجان دراسات الاتصالات الراديوية ونوابهم</w:t>
      </w:r>
    </w:p>
    <w:p w:rsidR="00AF70F6" w:rsidRPr="00415359" w:rsidRDefault="00AF70F6" w:rsidP="00AF70F6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رئيس الاجتماع التحضيري للمؤتمر ونوابه</w:t>
      </w:r>
    </w:p>
    <w:p w:rsidR="00AF70F6" w:rsidRPr="00415359" w:rsidRDefault="00AF70F6" w:rsidP="00AF70F6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أعضاء لجنة لوائح الراديو</w:t>
      </w:r>
    </w:p>
    <w:p w:rsidR="00AF70F6" w:rsidRPr="00415359" w:rsidRDefault="00AF70F6" w:rsidP="00AF70F6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الأمين العام للاتحاد ومدير مكتب تقييس الاتصالات ومدير مكتب تنمية الاتصالات</w:t>
      </w:r>
    </w:p>
    <w:p w:rsidR="00AF70F6" w:rsidRDefault="00AF70F6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AF70F6" w:rsidRPr="00AF70F6" w:rsidRDefault="00AF70F6" w:rsidP="00084081">
      <w:pPr>
        <w:pStyle w:val="AnnexNo"/>
        <w:rPr>
          <w:rFonts w:eastAsiaTheme="minorEastAsia"/>
          <w:rtl/>
          <w:lang w:eastAsia="zh-CN"/>
        </w:rPr>
      </w:pPr>
      <w:r w:rsidRPr="00AF70F6">
        <w:rPr>
          <w:rFonts w:eastAsiaTheme="minorEastAsia" w:hint="cs"/>
          <w:rtl/>
          <w:lang w:eastAsia="zh-CN"/>
        </w:rPr>
        <w:lastRenderedPageBreak/>
        <w:t>الملحق</w:t>
      </w:r>
    </w:p>
    <w:p w:rsidR="00AF70F6" w:rsidRPr="00AF70F6" w:rsidRDefault="00AF70F6" w:rsidP="00AF70F6">
      <w:pPr>
        <w:pStyle w:val="Annextitle"/>
        <w:rPr>
          <w:rFonts w:eastAsiaTheme="minorEastAsia"/>
          <w:rtl/>
          <w:lang w:eastAsia="zh-CN" w:bidi="ar-SY"/>
        </w:rPr>
      </w:pPr>
      <w:r w:rsidRPr="00AF70F6">
        <w:rPr>
          <w:rFonts w:eastAsiaTheme="minorEastAsia" w:hint="cs"/>
          <w:rtl/>
          <w:lang w:eastAsia="zh-CN" w:bidi="ar-SY"/>
        </w:rPr>
        <w:t>عناوين التوصيات</w:t>
      </w:r>
      <w:r w:rsidRPr="00AF70F6">
        <w:rPr>
          <w:rFonts w:eastAsiaTheme="minorEastAsia"/>
          <w:rtl/>
          <w:lang w:eastAsia="zh-CN" w:bidi="ar-SY"/>
        </w:rPr>
        <w:t xml:space="preserve"> </w:t>
      </w:r>
      <w:r w:rsidRPr="00AF70F6">
        <w:rPr>
          <w:rFonts w:eastAsiaTheme="minorEastAsia" w:hint="eastAsia"/>
          <w:rtl/>
          <w:lang w:eastAsia="zh-CN" w:bidi="ar-SY"/>
        </w:rPr>
        <w:t>المواف</w:t>
      </w:r>
      <w:r w:rsidRPr="00AF70F6">
        <w:rPr>
          <w:rFonts w:eastAsiaTheme="minorEastAsia" w:hint="cs"/>
          <w:rtl/>
          <w:lang w:eastAsia="zh-CN" w:bidi="ar-SY"/>
        </w:rPr>
        <w:t>َ</w:t>
      </w:r>
      <w:r w:rsidRPr="00AF70F6">
        <w:rPr>
          <w:rFonts w:eastAsiaTheme="minorEastAsia" w:hint="eastAsia"/>
          <w:rtl/>
          <w:lang w:eastAsia="zh-CN" w:bidi="ar-SY"/>
        </w:rPr>
        <w:t>ق</w:t>
      </w:r>
      <w:r w:rsidRPr="00AF70F6">
        <w:rPr>
          <w:rFonts w:eastAsiaTheme="minorEastAsia"/>
          <w:rtl/>
          <w:lang w:eastAsia="zh-CN" w:bidi="ar-SY"/>
        </w:rPr>
        <w:t xml:space="preserve"> </w:t>
      </w:r>
      <w:r w:rsidRPr="00AF70F6">
        <w:rPr>
          <w:rFonts w:eastAsiaTheme="minorEastAsia" w:hint="eastAsia"/>
          <w:rtl/>
          <w:lang w:eastAsia="zh-CN" w:bidi="ar-SY"/>
        </w:rPr>
        <w:t>عليها</w:t>
      </w:r>
    </w:p>
    <w:p w:rsidR="00AF70F6" w:rsidRDefault="00AF70F6" w:rsidP="00AE4315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AF70F6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AF70F6">
        <w:rPr>
          <w:rFonts w:eastAsiaTheme="minorEastAsia"/>
          <w:u w:val="single"/>
          <w:lang w:eastAsia="zh-CN"/>
        </w:rPr>
        <w:t xml:space="preserve">ITU-R </w:t>
      </w:r>
      <w:r w:rsidR="00AE4315">
        <w:rPr>
          <w:rFonts w:eastAsiaTheme="minorEastAsia"/>
          <w:u w:val="single"/>
          <w:lang w:eastAsia="zh-CN"/>
        </w:rPr>
        <w:t>M</w:t>
      </w:r>
      <w:r w:rsidRPr="00AF70F6">
        <w:rPr>
          <w:rFonts w:eastAsiaTheme="minorEastAsia"/>
          <w:u w:val="single"/>
          <w:lang w:eastAsia="zh-CN"/>
        </w:rPr>
        <w:t>.</w:t>
      </w:r>
      <w:r w:rsidR="00AE4315">
        <w:rPr>
          <w:rFonts w:eastAsiaTheme="minorEastAsia"/>
          <w:u w:val="single"/>
          <w:lang w:eastAsia="zh-CN"/>
        </w:rPr>
        <w:t>1466-1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r w:rsidR="00AE4315">
        <w:rPr>
          <w:rFonts w:eastAsiaTheme="minorEastAsia"/>
          <w:lang w:eastAsia="zh-CN" w:bidi="ar-EG"/>
        </w:rPr>
        <w:t>5</w:t>
      </w:r>
      <w:r w:rsidRPr="00AF70F6">
        <w:rPr>
          <w:rFonts w:eastAsiaTheme="minorEastAsia"/>
          <w:lang w:eastAsia="zh-CN" w:bidi="ar-EG"/>
        </w:rPr>
        <w:t>/</w:t>
      </w:r>
      <w:r w:rsidR="00AE4315">
        <w:rPr>
          <w:rFonts w:eastAsiaTheme="minorEastAsia"/>
          <w:lang w:eastAsia="zh-CN" w:bidi="ar-EG"/>
        </w:rPr>
        <w:t>28</w:t>
      </w:r>
    </w:p>
    <w:p w:rsidR="00AF70F6" w:rsidRDefault="00421292" w:rsidP="00416B76">
      <w:pPr>
        <w:pStyle w:val="Restitle"/>
        <w:spacing w:before="240" w:after="240"/>
        <w:rPr>
          <w:rFonts w:eastAsiaTheme="minorEastAsia"/>
          <w:rtl/>
          <w:lang w:eastAsia="zh-CN" w:bidi="ar-SY"/>
        </w:rPr>
      </w:pPr>
      <w:r w:rsidRPr="00421292">
        <w:rPr>
          <w:rFonts w:eastAsiaTheme="minorEastAsia" w:hint="cs"/>
          <w:rtl/>
          <w:lang w:eastAsia="zh-CN"/>
        </w:rPr>
        <w:t>الخصائص ومعايير الحماية للرادارات العاملة في خدمة الملاحة الراديوية</w:t>
      </w:r>
      <w:r w:rsidRPr="00421292">
        <w:rPr>
          <w:rFonts w:eastAsiaTheme="minorEastAsia"/>
          <w:rtl/>
          <w:lang w:eastAsia="zh-CN"/>
        </w:rPr>
        <w:br/>
      </w:r>
      <w:r w:rsidRPr="00421292">
        <w:rPr>
          <w:rFonts w:eastAsiaTheme="minorEastAsia" w:hint="cs"/>
          <w:rtl/>
          <w:lang w:eastAsia="zh-CN"/>
        </w:rPr>
        <w:t>في نطاق التردد</w:t>
      </w:r>
      <w:r w:rsidRPr="00421292">
        <w:rPr>
          <w:rFonts w:eastAsiaTheme="minorEastAsia" w:hint="eastAsia"/>
          <w:rtl/>
          <w:lang w:eastAsia="zh-CN"/>
        </w:rPr>
        <w:t> </w:t>
      </w:r>
      <w:r w:rsidRPr="00421292">
        <w:rPr>
          <w:rFonts w:eastAsiaTheme="minorEastAsia"/>
          <w:lang w:eastAsia="zh-CN" w:bidi="ar-SY"/>
        </w:rPr>
        <w:t>GHz 33,4</w:t>
      </w:r>
      <w:r w:rsidRPr="00421292">
        <w:rPr>
          <w:rFonts w:eastAsiaTheme="minorEastAsia"/>
          <w:lang w:eastAsia="zh-CN" w:bidi="ar-SY"/>
        </w:rPr>
        <w:noBreakHyphen/>
        <w:t>31,8</w:t>
      </w:r>
    </w:p>
    <w:p w:rsidR="00AE4315" w:rsidRPr="00AF70F6" w:rsidRDefault="00AE4315" w:rsidP="00E830B7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AF70F6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AF70F6">
        <w:rPr>
          <w:rFonts w:eastAsiaTheme="minorEastAsia"/>
          <w:u w:val="single"/>
          <w:lang w:eastAsia="zh-CN"/>
        </w:rPr>
        <w:t xml:space="preserve">ITU-R </w:t>
      </w:r>
      <w:proofErr w:type="spellStart"/>
      <w:r>
        <w:rPr>
          <w:rFonts w:eastAsiaTheme="minorEastAsia"/>
          <w:u w:val="single"/>
          <w:lang w:eastAsia="zh-CN"/>
        </w:rPr>
        <w:t>M</w:t>
      </w:r>
      <w:r w:rsidRPr="00AF70F6">
        <w:rPr>
          <w:rFonts w:eastAsiaTheme="minorEastAsia"/>
          <w:u w:val="single"/>
          <w:lang w:eastAsia="zh-CN"/>
        </w:rPr>
        <w:t>.</w:t>
      </w:r>
      <w:r>
        <w:rPr>
          <w:rFonts w:eastAsiaTheme="minorEastAsia"/>
          <w:u w:val="single"/>
          <w:lang w:eastAsia="zh-CN"/>
        </w:rPr>
        <w:t>1</w:t>
      </w:r>
      <w:r w:rsidR="00E830B7">
        <w:rPr>
          <w:rFonts w:eastAsiaTheme="minorEastAsia"/>
          <w:u w:val="single"/>
          <w:lang w:eastAsia="zh-CN"/>
        </w:rPr>
        <w:t>732</w:t>
      </w:r>
      <w:proofErr w:type="spellEnd"/>
      <w:r>
        <w:rPr>
          <w:rFonts w:eastAsiaTheme="minorEastAsia"/>
          <w:u w:val="single"/>
          <w:lang w:eastAsia="zh-CN"/>
        </w:rPr>
        <w:t>-</w:t>
      </w:r>
      <w:r w:rsidR="00E830B7">
        <w:rPr>
          <w:rFonts w:eastAsiaTheme="minorEastAsia"/>
          <w:u w:val="single"/>
          <w:lang w:eastAsia="zh-CN"/>
        </w:rPr>
        <w:t>2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r>
        <w:rPr>
          <w:rFonts w:eastAsiaTheme="minorEastAsia"/>
          <w:lang w:eastAsia="zh-CN" w:bidi="ar-EG"/>
        </w:rPr>
        <w:t>5</w:t>
      </w:r>
      <w:r w:rsidRPr="00AF70F6">
        <w:rPr>
          <w:rFonts w:eastAsiaTheme="minorEastAsia"/>
          <w:lang w:eastAsia="zh-CN" w:bidi="ar-EG"/>
        </w:rPr>
        <w:t>/</w:t>
      </w:r>
      <w:r w:rsidR="00E830B7">
        <w:rPr>
          <w:rFonts w:eastAsiaTheme="minorEastAsia"/>
          <w:lang w:eastAsia="zh-CN" w:bidi="ar-EG"/>
        </w:rPr>
        <w:t>32</w:t>
      </w:r>
    </w:p>
    <w:p w:rsidR="00AE4315" w:rsidRDefault="00421292" w:rsidP="00416B76">
      <w:pPr>
        <w:pStyle w:val="Restitle"/>
        <w:spacing w:before="240" w:after="240"/>
        <w:rPr>
          <w:rFonts w:eastAsiaTheme="minorEastAsia"/>
          <w:rtl/>
          <w:lang w:eastAsia="zh-CN"/>
        </w:rPr>
      </w:pPr>
      <w:r w:rsidRPr="00421292">
        <w:rPr>
          <w:rFonts w:eastAsiaTheme="minorEastAsia"/>
          <w:rtl/>
          <w:lang w:eastAsia="zh-CN"/>
        </w:rPr>
        <w:t xml:space="preserve">خصائص الأنظمة العاملة في خدمة الهواة وخدمة الهواة </w:t>
      </w:r>
      <w:proofErr w:type="spellStart"/>
      <w:r w:rsidRPr="00421292">
        <w:rPr>
          <w:rFonts w:eastAsiaTheme="minorEastAsia"/>
          <w:rtl/>
          <w:lang w:eastAsia="zh-CN"/>
        </w:rPr>
        <w:t>الساتلية</w:t>
      </w:r>
      <w:proofErr w:type="spellEnd"/>
      <w:r w:rsidRPr="00421292">
        <w:rPr>
          <w:rFonts w:eastAsiaTheme="minorEastAsia"/>
          <w:rtl/>
          <w:lang w:eastAsia="zh-CN"/>
        </w:rPr>
        <w:br/>
        <w:t>لأغراض</w:t>
      </w:r>
      <w:r w:rsidRPr="00421292">
        <w:rPr>
          <w:rFonts w:eastAsiaTheme="minorEastAsia" w:hint="cs"/>
          <w:rtl/>
          <w:lang w:eastAsia="zh-CN"/>
        </w:rPr>
        <w:t xml:space="preserve"> استعمالها في</w:t>
      </w:r>
      <w:r w:rsidRPr="00421292">
        <w:rPr>
          <w:rFonts w:eastAsiaTheme="minorEastAsia"/>
          <w:rtl/>
          <w:lang w:eastAsia="zh-CN"/>
        </w:rPr>
        <w:t xml:space="preserve"> دراسات التقاسم</w:t>
      </w:r>
    </w:p>
    <w:p w:rsidR="00AF70F6" w:rsidRDefault="00AF70F6" w:rsidP="00AF70F6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AF70F6" w:rsidSect="008B5B5D">
      <w:head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B66" w:rsidRDefault="00714B66" w:rsidP="00E07379">
      <w:pPr>
        <w:spacing w:before="0" w:line="240" w:lineRule="auto"/>
      </w:pPr>
      <w:r>
        <w:separator/>
      </w:r>
    </w:p>
  </w:endnote>
  <w:endnote w:type="continuationSeparator" w:id="0">
    <w:p w:rsidR="00714B66" w:rsidRDefault="00714B6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783A16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B66" w:rsidRDefault="00714B66" w:rsidP="00E07379">
      <w:pPr>
        <w:spacing w:before="0" w:line="240" w:lineRule="auto"/>
      </w:pPr>
      <w:r>
        <w:separator/>
      </w:r>
    </w:p>
  </w:footnote>
  <w:footnote w:type="continuationSeparator" w:id="0">
    <w:p w:rsidR="00714B66" w:rsidRDefault="00714B6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6130CD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0F6" w:rsidRDefault="00AF70F6" w:rsidP="00C938A9">
    <w:pPr>
      <w:pStyle w:val="Header"/>
      <w:spacing w:after="120"/>
      <w:jc w:val="center"/>
    </w:pPr>
    <w:r>
      <w:rPr>
        <w:noProof/>
        <w:rtl/>
        <w:lang w:eastAsia="zh-CN"/>
      </w:rPr>
      <w:drawing>
        <wp:inline distT="0" distB="0" distL="0" distR="0" wp14:anchorId="50D59323" wp14:editId="2C7A7EA8">
          <wp:extent cx="648000" cy="730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1-ITU-logo-of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73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isplayBackgroundShape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66"/>
    <w:rsid w:val="000124CC"/>
    <w:rsid w:val="00041F8B"/>
    <w:rsid w:val="00046444"/>
    <w:rsid w:val="0006023B"/>
    <w:rsid w:val="00084081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57185"/>
    <w:rsid w:val="003C475F"/>
    <w:rsid w:val="003E4132"/>
    <w:rsid w:val="003F678F"/>
    <w:rsid w:val="00416B76"/>
    <w:rsid w:val="00421292"/>
    <w:rsid w:val="0042686F"/>
    <w:rsid w:val="004367CE"/>
    <w:rsid w:val="00443869"/>
    <w:rsid w:val="004712C6"/>
    <w:rsid w:val="00497703"/>
    <w:rsid w:val="004C56B8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30CD"/>
    <w:rsid w:val="006157A3"/>
    <w:rsid w:val="00620E60"/>
    <w:rsid w:val="0063315A"/>
    <w:rsid w:val="0065591D"/>
    <w:rsid w:val="00662C5A"/>
    <w:rsid w:val="00670AF5"/>
    <w:rsid w:val="0068365E"/>
    <w:rsid w:val="006C1556"/>
    <w:rsid w:val="006F267F"/>
    <w:rsid w:val="006F63F7"/>
    <w:rsid w:val="006F6F03"/>
    <w:rsid w:val="00706D7A"/>
    <w:rsid w:val="00714B66"/>
    <w:rsid w:val="00726AEC"/>
    <w:rsid w:val="007530CA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72CA2"/>
    <w:rsid w:val="0098108B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44581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4315"/>
    <w:rsid w:val="00AE7244"/>
    <w:rsid w:val="00AF3FEE"/>
    <w:rsid w:val="00AF70F6"/>
    <w:rsid w:val="00B02F46"/>
    <w:rsid w:val="00B2000C"/>
    <w:rsid w:val="00B20ADE"/>
    <w:rsid w:val="00B66B9A"/>
    <w:rsid w:val="00B7159D"/>
    <w:rsid w:val="00B82089"/>
    <w:rsid w:val="00B970AE"/>
    <w:rsid w:val="00BA1427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A602A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30B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0BBDAC7-D691-4E4A-86FA-CC898BE9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R%20(BR)\PA_BR_CACE%20Mod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4DA3A-6406-4942-9E36-01A5BD7D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PA_BR_CACE Model.dotx</Template>
  <TotalTime>14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Imad RIZ</dc:creator>
  <cp:keywords>DPM_v2016.12.12.1_prod</cp:keywords>
  <dc:description>Template used by DPM and CPI for the WTSA-16</dc:description>
  <cp:lastModifiedBy>^_^</cp:lastModifiedBy>
  <cp:revision>12</cp:revision>
  <cp:lastPrinted>2017-01-27T15:05:00Z</cp:lastPrinted>
  <dcterms:created xsi:type="dcterms:W3CDTF">2017-01-27T13:37:00Z</dcterms:created>
  <dcterms:modified xsi:type="dcterms:W3CDTF">2017-01-30T08:27:00Z</dcterms:modified>
  <cp:category>Conference document</cp:category>
</cp:coreProperties>
</file>