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9F25BD" w:rsidTr="00EA15B3">
        <w:tc>
          <w:tcPr>
            <w:tcW w:w="9889" w:type="dxa"/>
            <w:gridSpan w:val="3"/>
            <w:shd w:val="clear" w:color="auto" w:fill="auto"/>
          </w:tcPr>
          <w:p w:rsidR="00EA15B3" w:rsidRPr="009F25BD" w:rsidRDefault="008E38B4" w:rsidP="00117282">
            <w:pPr>
              <w:spacing w:before="0"/>
              <w:jc w:val="left"/>
              <w:rPr>
                <w:rFonts w:cstheme="minorHAnsi"/>
                <w:b/>
                <w:bCs/>
                <w:color w:val="808080"/>
                <w:sz w:val="28"/>
                <w:szCs w:val="28"/>
                <w:lang w:val="en-GB"/>
              </w:rPr>
            </w:pPr>
            <w:r w:rsidRPr="009F25BD">
              <w:rPr>
                <w:rFonts w:cstheme="minorHAnsi"/>
                <w:b/>
                <w:bCs/>
                <w:color w:val="808080"/>
                <w:sz w:val="28"/>
                <w:szCs w:val="28"/>
                <w:lang w:val="en-GB"/>
              </w:rPr>
              <w:t xml:space="preserve">Radiocommunication </w:t>
            </w:r>
            <w:r w:rsidR="00AF70DA" w:rsidRPr="009F25BD">
              <w:rPr>
                <w:rFonts w:cstheme="minorHAnsi"/>
                <w:b/>
                <w:bCs/>
                <w:color w:val="808080"/>
                <w:sz w:val="28"/>
                <w:szCs w:val="28"/>
                <w:lang w:val="en-GB"/>
              </w:rPr>
              <w:t>Bureau (BR)</w:t>
            </w:r>
          </w:p>
          <w:p w:rsidR="008E38B4" w:rsidRPr="009F25BD" w:rsidRDefault="008E38B4" w:rsidP="00117282">
            <w:pPr>
              <w:spacing w:before="0"/>
              <w:jc w:val="left"/>
              <w:rPr>
                <w:rFonts w:cstheme="minorHAnsi"/>
                <w:b/>
                <w:bCs/>
                <w:color w:val="808080"/>
                <w:sz w:val="28"/>
                <w:szCs w:val="28"/>
                <w:lang w:val="en-GB"/>
              </w:rPr>
            </w:pPr>
          </w:p>
          <w:p w:rsidR="008E38B4" w:rsidRPr="009F25BD" w:rsidRDefault="008E38B4" w:rsidP="00117282">
            <w:pPr>
              <w:spacing w:before="0"/>
              <w:jc w:val="left"/>
              <w:rPr>
                <w:rFonts w:cs="Times New Roman Bold"/>
                <w:b/>
                <w:bCs/>
                <w:color w:val="808080"/>
                <w:sz w:val="28"/>
                <w:szCs w:val="28"/>
                <w:lang w:val="en-GB"/>
              </w:rPr>
            </w:pPr>
          </w:p>
        </w:tc>
      </w:tr>
      <w:tr w:rsidR="00651777" w:rsidRPr="009F25BD" w:rsidTr="00034340">
        <w:tc>
          <w:tcPr>
            <w:tcW w:w="7054" w:type="dxa"/>
            <w:gridSpan w:val="2"/>
            <w:shd w:val="clear" w:color="auto" w:fill="auto"/>
          </w:tcPr>
          <w:p w:rsidR="00C76D7F" w:rsidRPr="009F25BD" w:rsidRDefault="00D21694" w:rsidP="00E17344">
            <w:pPr>
              <w:spacing w:before="0"/>
              <w:jc w:val="left"/>
              <w:rPr>
                <w:sz w:val="24"/>
                <w:szCs w:val="24"/>
                <w:lang w:val="fr-CH"/>
              </w:rPr>
            </w:pPr>
            <w:r w:rsidRPr="009F25BD">
              <w:rPr>
                <w:sz w:val="24"/>
                <w:szCs w:val="24"/>
                <w:lang w:val="fr-CH"/>
              </w:rPr>
              <w:t xml:space="preserve">Administrative </w:t>
            </w:r>
            <w:r w:rsidR="008B35A3" w:rsidRPr="009F25BD">
              <w:rPr>
                <w:sz w:val="24"/>
                <w:szCs w:val="24"/>
                <w:lang w:val="fr-CH"/>
              </w:rPr>
              <w:t>C</w:t>
            </w:r>
            <w:r w:rsidR="00C76D7F" w:rsidRPr="009F25BD">
              <w:rPr>
                <w:sz w:val="24"/>
                <w:szCs w:val="24"/>
                <w:lang w:val="fr-CH"/>
              </w:rPr>
              <w:t>ircular</w:t>
            </w:r>
          </w:p>
          <w:p w:rsidR="00651777" w:rsidRPr="009F25BD" w:rsidRDefault="00E17344" w:rsidP="00111E58">
            <w:pPr>
              <w:spacing w:before="0"/>
              <w:jc w:val="left"/>
              <w:rPr>
                <w:b/>
                <w:bCs/>
                <w:sz w:val="24"/>
                <w:szCs w:val="24"/>
                <w:lang w:val="fr-CH"/>
              </w:rPr>
            </w:pPr>
            <w:r w:rsidRPr="009F25BD">
              <w:rPr>
                <w:b/>
                <w:bCs/>
                <w:sz w:val="24"/>
                <w:szCs w:val="24"/>
                <w:lang w:val="fr-CH"/>
              </w:rPr>
              <w:t>CA</w:t>
            </w:r>
            <w:r w:rsidR="004A7970" w:rsidRPr="009F25BD">
              <w:rPr>
                <w:b/>
                <w:bCs/>
                <w:sz w:val="24"/>
                <w:szCs w:val="24"/>
                <w:lang w:val="fr-CH"/>
              </w:rPr>
              <w:t>CE</w:t>
            </w:r>
            <w:r w:rsidR="003836D4" w:rsidRPr="009F25BD">
              <w:rPr>
                <w:b/>
                <w:bCs/>
                <w:sz w:val="24"/>
                <w:szCs w:val="24"/>
                <w:lang w:val="fr-CH"/>
              </w:rPr>
              <w:t>/</w:t>
            </w:r>
            <w:r w:rsidR="00111E58" w:rsidRPr="009F25BD">
              <w:rPr>
                <w:b/>
                <w:bCs/>
                <w:sz w:val="24"/>
                <w:szCs w:val="24"/>
                <w:lang w:val="fr-CH"/>
              </w:rPr>
              <w:t>774</w:t>
            </w:r>
          </w:p>
        </w:tc>
        <w:tc>
          <w:tcPr>
            <w:tcW w:w="2835" w:type="dxa"/>
            <w:shd w:val="clear" w:color="auto" w:fill="auto"/>
          </w:tcPr>
          <w:p w:rsidR="00651777" w:rsidRPr="009F25BD" w:rsidRDefault="00111E58" w:rsidP="00034340">
            <w:pPr>
              <w:spacing w:before="0"/>
              <w:jc w:val="right"/>
              <w:rPr>
                <w:sz w:val="24"/>
                <w:szCs w:val="24"/>
                <w:lang w:val="en-GB"/>
              </w:rPr>
            </w:pPr>
            <w:r w:rsidRPr="009F25BD">
              <w:rPr>
                <w:sz w:val="24"/>
                <w:szCs w:val="24"/>
                <w:lang w:val="en-GB"/>
              </w:rPr>
              <w:t>21 June 2016</w:t>
            </w:r>
          </w:p>
        </w:tc>
      </w:tr>
      <w:tr w:rsidR="0037309C" w:rsidRPr="009F25BD" w:rsidTr="004D02EC">
        <w:tc>
          <w:tcPr>
            <w:tcW w:w="9889" w:type="dxa"/>
            <w:gridSpan w:val="3"/>
            <w:shd w:val="clear" w:color="auto" w:fill="auto"/>
          </w:tcPr>
          <w:p w:rsidR="0037309C" w:rsidRPr="009F25BD" w:rsidRDefault="0037309C" w:rsidP="006047E5">
            <w:pPr>
              <w:spacing w:before="0"/>
              <w:jc w:val="left"/>
              <w:rPr>
                <w:rFonts w:cs="Arial"/>
                <w:sz w:val="24"/>
                <w:szCs w:val="24"/>
                <w:lang w:val="en-GB"/>
              </w:rPr>
            </w:pPr>
          </w:p>
        </w:tc>
      </w:tr>
      <w:tr w:rsidR="0037309C" w:rsidRPr="009F25BD" w:rsidTr="00D374CD">
        <w:tc>
          <w:tcPr>
            <w:tcW w:w="9889" w:type="dxa"/>
            <w:gridSpan w:val="3"/>
            <w:shd w:val="clear" w:color="auto" w:fill="auto"/>
          </w:tcPr>
          <w:p w:rsidR="0037309C" w:rsidRPr="009F25BD" w:rsidRDefault="0037309C" w:rsidP="00D374CD">
            <w:pPr>
              <w:spacing w:before="0"/>
              <w:jc w:val="left"/>
              <w:rPr>
                <w:sz w:val="24"/>
                <w:szCs w:val="24"/>
              </w:rPr>
            </w:pPr>
          </w:p>
        </w:tc>
      </w:tr>
      <w:tr w:rsidR="0037309C" w:rsidRPr="009F25BD" w:rsidTr="004D02EC">
        <w:tc>
          <w:tcPr>
            <w:tcW w:w="9889" w:type="dxa"/>
            <w:gridSpan w:val="3"/>
            <w:shd w:val="clear" w:color="auto" w:fill="auto"/>
          </w:tcPr>
          <w:p w:rsidR="00D21694" w:rsidRPr="009F25BD" w:rsidRDefault="004A7970">
            <w:pPr>
              <w:spacing w:before="0"/>
              <w:jc w:val="left"/>
              <w:rPr>
                <w:b/>
                <w:bCs/>
                <w:sz w:val="24"/>
                <w:szCs w:val="24"/>
              </w:rPr>
            </w:pPr>
            <w:r w:rsidRPr="009F25BD">
              <w:rPr>
                <w:b/>
                <w:bCs/>
                <w:sz w:val="24"/>
                <w:szCs w:val="24"/>
              </w:rPr>
              <w:t>To Administrations of Member States of the ITU, Radiocommunication Sector Members,</w:t>
            </w:r>
            <w:r w:rsidR="00BF5F50" w:rsidRPr="009F25BD">
              <w:rPr>
                <w:b/>
                <w:bCs/>
                <w:sz w:val="24"/>
                <w:szCs w:val="24"/>
              </w:rPr>
              <w:t xml:space="preserve"> </w:t>
            </w:r>
            <w:r w:rsidRPr="009F25BD">
              <w:rPr>
                <w:b/>
                <w:bCs/>
                <w:sz w:val="24"/>
                <w:szCs w:val="24"/>
              </w:rPr>
              <w:br/>
              <w:t xml:space="preserve">ITU-R Associates participating in the work of Radiocommunication Study Group </w:t>
            </w:r>
            <w:r w:rsidR="00111E58" w:rsidRPr="009F25BD">
              <w:rPr>
                <w:b/>
                <w:bCs/>
                <w:sz w:val="24"/>
                <w:szCs w:val="24"/>
              </w:rPr>
              <w:t>1</w:t>
            </w:r>
            <w:r w:rsidRPr="009F25BD">
              <w:rPr>
                <w:b/>
                <w:bCs/>
                <w:sz w:val="24"/>
                <w:szCs w:val="24"/>
              </w:rPr>
              <w:br/>
              <w:t>and ITU Academia</w:t>
            </w:r>
          </w:p>
          <w:p w:rsidR="00D21694" w:rsidRPr="009F25BD" w:rsidRDefault="00D21694" w:rsidP="00DA16A9">
            <w:pPr>
              <w:spacing w:before="0"/>
              <w:jc w:val="left"/>
              <w:rPr>
                <w:b/>
                <w:bCs/>
                <w:sz w:val="24"/>
                <w:szCs w:val="24"/>
              </w:rPr>
            </w:pPr>
          </w:p>
        </w:tc>
      </w:tr>
      <w:tr w:rsidR="0037309C" w:rsidRPr="009F25BD" w:rsidTr="004D02EC">
        <w:tc>
          <w:tcPr>
            <w:tcW w:w="9889" w:type="dxa"/>
            <w:gridSpan w:val="3"/>
            <w:shd w:val="clear" w:color="auto" w:fill="auto"/>
          </w:tcPr>
          <w:p w:rsidR="0037309C" w:rsidRPr="009F25BD" w:rsidRDefault="0037309C" w:rsidP="006047E5">
            <w:pPr>
              <w:spacing w:before="0"/>
              <w:jc w:val="left"/>
              <w:rPr>
                <w:sz w:val="24"/>
                <w:szCs w:val="24"/>
              </w:rPr>
            </w:pPr>
          </w:p>
        </w:tc>
      </w:tr>
      <w:tr w:rsidR="0037309C" w:rsidRPr="009F25BD" w:rsidTr="004D02EC">
        <w:tc>
          <w:tcPr>
            <w:tcW w:w="9889" w:type="dxa"/>
            <w:gridSpan w:val="3"/>
            <w:shd w:val="clear" w:color="auto" w:fill="auto"/>
          </w:tcPr>
          <w:p w:rsidR="0037309C" w:rsidRPr="009F25BD" w:rsidRDefault="0037309C" w:rsidP="006047E5">
            <w:pPr>
              <w:spacing w:before="0"/>
              <w:jc w:val="left"/>
              <w:rPr>
                <w:sz w:val="24"/>
                <w:szCs w:val="24"/>
              </w:rPr>
            </w:pPr>
          </w:p>
        </w:tc>
      </w:tr>
      <w:tr w:rsidR="00B4054B" w:rsidRPr="009F25BD" w:rsidTr="0037309C">
        <w:tc>
          <w:tcPr>
            <w:tcW w:w="1526" w:type="dxa"/>
            <w:shd w:val="clear" w:color="auto" w:fill="auto"/>
          </w:tcPr>
          <w:p w:rsidR="00B4054B" w:rsidRPr="009F25BD" w:rsidRDefault="00B4054B" w:rsidP="006A0053">
            <w:pPr>
              <w:spacing w:before="0"/>
              <w:jc w:val="left"/>
              <w:rPr>
                <w:sz w:val="24"/>
                <w:szCs w:val="24"/>
                <w:lang w:val="en-GB"/>
              </w:rPr>
            </w:pPr>
            <w:r w:rsidRPr="009F25BD">
              <w:rPr>
                <w:sz w:val="24"/>
                <w:szCs w:val="24"/>
              </w:rPr>
              <w:t>Subject:</w:t>
            </w:r>
          </w:p>
        </w:tc>
        <w:tc>
          <w:tcPr>
            <w:tcW w:w="8363" w:type="dxa"/>
            <w:gridSpan w:val="2"/>
            <w:vMerge w:val="restart"/>
            <w:shd w:val="clear" w:color="auto" w:fill="auto"/>
          </w:tcPr>
          <w:p w:rsidR="00B4054B" w:rsidRPr="009F25BD" w:rsidRDefault="004A7970" w:rsidP="00111E58">
            <w:pPr>
              <w:spacing w:before="0"/>
              <w:jc w:val="left"/>
              <w:rPr>
                <w:b/>
                <w:bCs/>
                <w:sz w:val="24"/>
                <w:szCs w:val="24"/>
              </w:rPr>
            </w:pPr>
            <w:r w:rsidRPr="009F25BD">
              <w:rPr>
                <w:b/>
                <w:bCs/>
                <w:sz w:val="24"/>
                <w:szCs w:val="24"/>
              </w:rPr>
              <w:t xml:space="preserve">Radiocommunication Study Group </w:t>
            </w:r>
            <w:r w:rsidR="00111E58" w:rsidRPr="009F25BD">
              <w:rPr>
                <w:b/>
                <w:bCs/>
                <w:sz w:val="24"/>
                <w:szCs w:val="24"/>
              </w:rPr>
              <w:t xml:space="preserve">1 </w:t>
            </w:r>
            <w:r w:rsidRPr="009F25BD">
              <w:rPr>
                <w:b/>
                <w:bCs/>
                <w:sz w:val="24"/>
                <w:szCs w:val="24"/>
              </w:rPr>
              <w:t>(</w:t>
            </w:r>
            <w:r w:rsidR="00111E58" w:rsidRPr="009F25BD">
              <w:rPr>
                <w:b/>
                <w:bCs/>
                <w:sz w:val="24"/>
                <w:szCs w:val="24"/>
              </w:rPr>
              <w:t>Spectrum Management</w:t>
            </w:r>
            <w:r w:rsidRPr="009F25BD">
              <w:rPr>
                <w:b/>
                <w:bCs/>
                <w:sz w:val="24"/>
                <w:szCs w:val="24"/>
              </w:rPr>
              <w:t>)</w:t>
            </w:r>
          </w:p>
          <w:p w:rsidR="004A7970" w:rsidRPr="009F25BD" w:rsidRDefault="002D1E80" w:rsidP="002D1E80">
            <w:pPr>
              <w:keepNext/>
              <w:keepLines/>
              <w:tabs>
                <w:tab w:val="clear" w:pos="794"/>
                <w:tab w:val="clear" w:pos="1191"/>
                <w:tab w:val="clear" w:pos="1588"/>
                <w:tab w:val="left" w:pos="493"/>
              </w:tabs>
              <w:spacing w:before="240" w:after="120" w:line="240" w:lineRule="auto"/>
              <w:ind w:left="493" w:right="-284" w:hanging="493"/>
              <w:jc w:val="left"/>
              <w:rPr>
                <w:rFonts w:asciiTheme="minorHAnsi" w:hAnsiTheme="minorHAnsi" w:cstheme="minorHAnsi"/>
                <w:b/>
                <w:sz w:val="24"/>
                <w:szCs w:val="24"/>
              </w:rPr>
            </w:pPr>
            <w:r>
              <w:rPr>
                <w:rFonts w:asciiTheme="minorHAnsi" w:hAnsiTheme="minorHAnsi" w:cstheme="minorHAnsi"/>
                <w:b/>
                <w:sz w:val="24"/>
                <w:szCs w:val="24"/>
              </w:rPr>
              <w:t>–</w:t>
            </w:r>
            <w:r>
              <w:rPr>
                <w:rFonts w:asciiTheme="minorHAnsi" w:hAnsiTheme="minorHAnsi" w:cstheme="minorHAnsi"/>
                <w:b/>
                <w:sz w:val="24"/>
                <w:szCs w:val="24"/>
              </w:rPr>
              <w:tab/>
            </w:r>
            <w:r w:rsidR="004A7970" w:rsidRPr="009F25BD">
              <w:rPr>
                <w:rFonts w:asciiTheme="minorHAnsi" w:hAnsiTheme="minorHAnsi" w:cstheme="minorHAnsi"/>
                <w:b/>
                <w:sz w:val="24"/>
                <w:szCs w:val="24"/>
              </w:rPr>
              <w:t xml:space="preserve">Proposed adoption of </w:t>
            </w:r>
            <w:r w:rsidR="00111E58" w:rsidRPr="009F25BD">
              <w:rPr>
                <w:rFonts w:asciiTheme="minorHAnsi" w:hAnsiTheme="minorHAnsi" w:cstheme="minorHAnsi"/>
                <w:b/>
                <w:sz w:val="24"/>
                <w:szCs w:val="24"/>
              </w:rPr>
              <w:t>3</w:t>
            </w:r>
            <w:r w:rsidR="004A7970" w:rsidRPr="009F25BD">
              <w:rPr>
                <w:rFonts w:asciiTheme="minorHAnsi" w:hAnsiTheme="minorHAnsi" w:cstheme="minorHAnsi"/>
                <w:b/>
                <w:sz w:val="24"/>
                <w:szCs w:val="24"/>
              </w:rPr>
              <w:t xml:space="preserve"> draft new ITU-R Recommendations and their simultaneous approval</w:t>
            </w:r>
            <w:r>
              <w:rPr>
                <w:rFonts w:asciiTheme="minorHAnsi" w:hAnsiTheme="minorHAnsi" w:cstheme="minorHAnsi"/>
                <w:b/>
                <w:sz w:val="24"/>
                <w:szCs w:val="24"/>
              </w:rPr>
              <w:t xml:space="preserve"> </w:t>
            </w:r>
            <w:r w:rsidR="004A7970" w:rsidRPr="009F25BD">
              <w:rPr>
                <w:rFonts w:asciiTheme="minorHAnsi" w:hAnsiTheme="minorHAnsi" w:cstheme="minorHAnsi"/>
                <w:b/>
                <w:sz w:val="24"/>
                <w:szCs w:val="24"/>
              </w:rPr>
              <w:t>by correspondence</w:t>
            </w:r>
            <w:r w:rsidR="00A45D9A" w:rsidRPr="009F25BD">
              <w:rPr>
                <w:rFonts w:asciiTheme="minorHAnsi" w:hAnsiTheme="minorHAnsi" w:cstheme="minorHAnsi"/>
                <w:b/>
                <w:sz w:val="24"/>
                <w:szCs w:val="24"/>
              </w:rPr>
              <w:t xml:space="preserve"> </w:t>
            </w:r>
            <w:r w:rsidR="004A7970" w:rsidRPr="009F25BD">
              <w:rPr>
                <w:rFonts w:asciiTheme="minorHAnsi" w:hAnsiTheme="minorHAnsi" w:cstheme="minorHAnsi"/>
                <w:b/>
                <w:sz w:val="24"/>
                <w:szCs w:val="24"/>
              </w:rPr>
              <w:t>in accordance with § </w:t>
            </w:r>
            <w:r w:rsidR="0009767F" w:rsidRPr="009F25BD">
              <w:rPr>
                <w:rFonts w:asciiTheme="minorHAnsi" w:hAnsiTheme="minorHAnsi" w:cstheme="minorHAnsi"/>
                <w:b/>
                <w:sz w:val="24"/>
                <w:szCs w:val="24"/>
              </w:rPr>
              <w:t>A2.6.2.4</w:t>
            </w:r>
            <w:r w:rsidR="004A7970" w:rsidRPr="009F25BD">
              <w:rPr>
                <w:rFonts w:asciiTheme="minorHAnsi" w:hAnsiTheme="minorHAnsi" w:cstheme="minorHAnsi"/>
                <w:b/>
                <w:sz w:val="24"/>
                <w:szCs w:val="24"/>
              </w:rPr>
              <w:t xml:space="preserve"> of Resolution ITU</w:t>
            </w:r>
            <w:r w:rsidR="004A7970" w:rsidRPr="009F25BD">
              <w:rPr>
                <w:rFonts w:asciiTheme="minorHAnsi" w:hAnsiTheme="minorHAnsi" w:cstheme="minorHAnsi"/>
                <w:b/>
                <w:sz w:val="24"/>
                <w:szCs w:val="24"/>
              </w:rPr>
              <w:noBreakHyphen/>
              <w:t>R 1-</w:t>
            </w:r>
            <w:r w:rsidR="0009767F" w:rsidRPr="009F25BD">
              <w:rPr>
                <w:rFonts w:asciiTheme="minorHAnsi" w:hAnsiTheme="minorHAnsi" w:cstheme="minorHAnsi"/>
                <w:b/>
                <w:sz w:val="24"/>
                <w:szCs w:val="24"/>
              </w:rPr>
              <w:t>7</w:t>
            </w:r>
            <w:r w:rsidR="004A7970" w:rsidRPr="009F25BD">
              <w:rPr>
                <w:rFonts w:asciiTheme="minorHAnsi" w:hAnsiTheme="minorHAnsi" w:cstheme="minorHAnsi"/>
                <w:b/>
                <w:sz w:val="24"/>
                <w:szCs w:val="24"/>
              </w:rPr>
              <w:t xml:space="preserve">(Procedure for the simultaneous adoption and approval </w:t>
            </w:r>
            <w:r>
              <w:rPr>
                <w:rFonts w:asciiTheme="minorHAnsi" w:hAnsiTheme="minorHAnsi" w:cstheme="minorHAnsi"/>
                <w:b/>
                <w:sz w:val="24"/>
                <w:szCs w:val="24"/>
              </w:rPr>
              <w:br/>
            </w:r>
            <w:r w:rsidR="004A7970" w:rsidRPr="009F25BD">
              <w:rPr>
                <w:rFonts w:asciiTheme="minorHAnsi" w:hAnsiTheme="minorHAnsi" w:cstheme="minorHAnsi"/>
                <w:b/>
                <w:sz w:val="24"/>
                <w:szCs w:val="24"/>
              </w:rPr>
              <w:t>by correspondence)</w:t>
            </w:r>
          </w:p>
          <w:p w:rsidR="004A7970" w:rsidRPr="002D1E80" w:rsidRDefault="004A7970" w:rsidP="002D1E80">
            <w:pPr>
              <w:tabs>
                <w:tab w:val="clear" w:pos="1191"/>
                <w:tab w:val="clear" w:pos="1588"/>
                <w:tab w:val="clear" w:pos="1985"/>
                <w:tab w:val="left" w:pos="1418"/>
              </w:tabs>
              <w:rPr>
                <w:szCs w:val="24"/>
              </w:rPr>
            </w:pPr>
          </w:p>
        </w:tc>
      </w:tr>
      <w:tr w:rsidR="00B4054B" w:rsidRPr="009F25BD" w:rsidTr="006A0053">
        <w:tc>
          <w:tcPr>
            <w:tcW w:w="1526" w:type="dxa"/>
            <w:shd w:val="clear" w:color="auto" w:fill="auto"/>
          </w:tcPr>
          <w:p w:rsidR="00B4054B" w:rsidRPr="009F25BD" w:rsidRDefault="00B4054B" w:rsidP="006A0053">
            <w:pPr>
              <w:spacing w:before="0"/>
              <w:jc w:val="left"/>
              <w:rPr>
                <w:b/>
                <w:bCs/>
                <w:sz w:val="24"/>
                <w:szCs w:val="24"/>
                <w:lang w:val="en-GB"/>
              </w:rPr>
            </w:pPr>
          </w:p>
        </w:tc>
        <w:tc>
          <w:tcPr>
            <w:tcW w:w="8363" w:type="dxa"/>
            <w:gridSpan w:val="2"/>
            <w:vMerge/>
            <w:shd w:val="clear" w:color="auto" w:fill="auto"/>
          </w:tcPr>
          <w:p w:rsidR="00B4054B" w:rsidRPr="009F25BD" w:rsidRDefault="00B4054B" w:rsidP="006A0053">
            <w:pPr>
              <w:spacing w:before="0"/>
              <w:rPr>
                <w:b/>
                <w:bCs/>
                <w:sz w:val="24"/>
                <w:szCs w:val="24"/>
                <w:lang w:val="en-GB"/>
              </w:rPr>
            </w:pPr>
          </w:p>
        </w:tc>
      </w:tr>
      <w:tr w:rsidR="00B4054B" w:rsidRPr="009F25BD" w:rsidTr="006A0053">
        <w:tc>
          <w:tcPr>
            <w:tcW w:w="1526" w:type="dxa"/>
            <w:shd w:val="clear" w:color="auto" w:fill="auto"/>
          </w:tcPr>
          <w:p w:rsidR="00B4054B" w:rsidRPr="009F25BD" w:rsidRDefault="00B4054B" w:rsidP="006A0053">
            <w:pPr>
              <w:spacing w:before="0"/>
              <w:jc w:val="left"/>
              <w:rPr>
                <w:b/>
                <w:bCs/>
                <w:sz w:val="24"/>
                <w:szCs w:val="24"/>
                <w:lang w:val="en-GB"/>
              </w:rPr>
            </w:pPr>
          </w:p>
        </w:tc>
        <w:tc>
          <w:tcPr>
            <w:tcW w:w="8363" w:type="dxa"/>
            <w:gridSpan w:val="2"/>
            <w:vMerge/>
            <w:shd w:val="clear" w:color="auto" w:fill="auto"/>
          </w:tcPr>
          <w:p w:rsidR="00B4054B" w:rsidRPr="009F25BD" w:rsidRDefault="00B4054B" w:rsidP="006A0053">
            <w:pPr>
              <w:spacing w:before="0"/>
              <w:rPr>
                <w:b/>
                <w:bCs/>
                <w:sz w:val="24"/>
                <w:szCs w:val="24"/>
                <w:lang w:val="en-GB"/>
              </w:rPr>
            </w:pPr>
          </w:p>
        </w:tc>
      </w:tr>
      <w:tr w:rsidR="00C51E92" w:rsidRPr="009F25BD" w:rsidTr="00F72DBF">
        <w:tc>
          <w:tcPr>
            <w:tcW w:w="9889" w:type="dxa"/>
            <w:gridSpan w:val="3"/>
            <w:shd w:val="clear" w:color="auto" w:fill="auto"/>
          </w:tcPr>
          <w:p w:rsidR="00C51E92" w:rsidRPr="009F25BD" w:rsidRDefault="00C51E92" w:rsidP="00F72DBF">
            <w:pPr>
              <w:spacing w:before="0"/>
              <w:jc w:val="left"/>
              <w:rPr>
                <w:b/>
                <w:bCs/>
                <w:sz w:val="24"/>
                <w:szCs w:val="24"/>
              </w:rPr>
            </w:pPr>
          </w:p>
        </w:tc>
      </w:tr>
      <w:tr w:rsidR="00C51E92" w:rsidRPr="009F25BD" w:rsidTr="00F72DBF">
        <w:tc>
          <w:tcPr>
            <w:tcW w:w="9889" w:type="dxa"/>
            <w:gridSpan w:val="3"/>
            <w:shd w:val="clear" w:color="auto" w:fill="auto"/>
          </w:tcPr>
          <w:p w:rsidR="00C51E92" w:rsidRPr="009F25BD" w:rsidRDefault="00C51E92" w:rsidP="00F72DBF">
            <w:pPr>
              <w:spacing w:before="0"/>
              <w:jc w:val="left"/>
              <w:rPr>
                <w:b/>
                <w:bCs/>
                <w:sz w:val="24"/>
                <w:szCs w:val="24"/>
              </w:rPr>
            </w:pPr>
          </w:p>
        </w:tc>
      </w:tr>
    </w:tbl>
    <w:p w:rsidR="00EB7913" w:rsidRPr="009F25BD" w:rsidRDefault="004A7970" w:rsidP="00136B34">
      <w:pPr>
        <w:pStyle w:val="Normalaftertitle"/>
        <w:spacing w:before="360"/>
        <w:rPr>
          <w:sz w:val="24"/>
          <w:szCs w:val="24"/>
        </w:rPr>
      </w:pPr>
      <w:r w:rsidRPr="009F25BD">
        <w:rPr>
          <w:sz w:val="24"/>
          <w:szCs w:val="24"/>
        </w:rPr>
        <w:t xml:space="preserve">At the meeting of Radiocommunication Study Group </w:t>
      </w:r>
      <w:r w:rsidR="00111E58" w:rsidRPr="009F25BD">
        <w:rPr>
          <w:sz w:val="24"/>
          <w:szCs w:val="24"/>
        </w:rPr>
        <w:t>1</w:t>
      </w:r>
      <w:r w:rsidRPr="009F25BD">
        <w:rPr>
          <w:sz w:val="24"/>
          <w:szCs w:val="24"/>
        </w:rPr>
        <w:t xml:space="preserve">, held </w:t>
      </w:r>
      <w:r w:rsidR="00111E58" w:rsidRPr="009F25BD">
        <w:rPr>
          <w:sz w:val="24"/>
          <w:szCs w:val="24"/>
        </w:rPr>
        <w:t>on 10 June</w:t>
      </w:r>
      <w:r w:rsidRPr="009F25BD">
        <w:rPr>
          <w:sz w:val="24"/>
          <w:szCs w:val="24"/>
        </w:rPr>
        <w:t xml:space="preserve"> </w:t>
      </w:r>
      <w:r w:rsidR="0009767F" w:rsidRPr="009F25BD">
        <w:rPr>
          <w:sz w:val="24"/>
          <w:szCs w:val="24"/>
        </w:rPr>
        <w:t>2016</w:t>
      </w:r>
      <w:r w:rsidRPr="009F25BD">
        <w:rPr>
          <w:sz w:val="24"/>
          <w:szCs w:val="24"/>
        </w:rPr>
        <w:t xml:space="preserve">, the Study Group decided to seek adoption of </w:t>
      </w:r>
      <w:r w:rsidR="00111E58" w:rsidRPr="009F25BD">
        <w:rPr>
          <w:sz w:val="24"/>
          <w:szCs w:val="24"/>
        </w:rPr>
        <w:t>3</w:t>
      </w:r>
      <w:r w:rsidRPr="009F25BD">
        <w:rPr>
          <w:sz w:val="24"/>
          <w:szCs w:val="24"/>
        </w:rPr>
        <w:t xml:space="preserve"> draft new ITU-R Recommendations by correspondence (§ </w:t>
      </w:r>
      <w:r w:rsidR="0009767F" w:rsidRPr="009F25BD">
        <w:rPr>
          <w:sz w:val="24"/>
          <w:szCs w:val="24"/>
        </w:rPr>
        <w:t>A2.6.2</w:t>
      </w:r>
      <w:r w:rsidRPr="009F25BD">
        <w:rPr>
          <w:sz w:val="24"/>
          <w:szCs w:val="24"/>
        </w:rPr>
        <w:t> of Resolution ITU-R 1-</w:t>
      </w:r>
      <w:r w:rsidR="0009767F" w:rsidRPr="009F25BD">
        <w:rPr>
          <w:sz w:val="24"/>
          <w:szCs w:val="24"/>
        </w:rPr>
        <w:t>7</w:t>
      </w:r>
      <w:r w:rsidRPr="009F25BD">
        <w:rPr>
          <w:sz w:val="24"/>
          <w:szCs w:val="24"/>
        </w:rPr>
        <w:t>) and further decided to apply the procedure for simultaneous adoption and approval by correspondence (PSAA) (§ </w:t>
      </w:r>
      <w:r w:rsidR="0009767F" w:rsidRPr="009F25BD">
        <w:rPr>
          <w:sz w:val="24"/>
          <w:szCs w:val="24"/>
        </w:rPr>
        <w:t>A2.6.2.4</w:t>
      </w:r>
      <w:r w:rsidRPr="009F25BD">
        <w:rPr>
          <w:sz w:val="24"/>
          <w:szCs w:val="24"/>
        </w:rPr>
        <w:t> of Resolution ITU</w:t>
      </w:r>
      <w:r w:rsidRPr="009F25BD">
        <w:rPr>
          <w:sz w:val="24"/>
          <w:szCs w:val="24"/>
        </w:rPr>
        <w:noBreakHyphen/>
        <w:t>R 1</w:t>
      </w:r>
      <w:r w:rsidRPr="009F25BD">
        <w:rPr>
          <w:sz w:val="24"/>
          <w:szCs w:val="24"/>
        </w:rPr>
        <w:noBreakHyphen/>
      </w:r>
      <w:r w:rsidR="0009767F" w:rsidRPr="009F25BD">
        <w:rPr>
          <w:sz w:val="24"/>
          <w:szCs w:val="24"/>
        </w:rPr>
        <w:t>7</w:t>
      </w:r>
      <w:r w:rsidRPr="009F25BD">
        <w:rPr>
          <w:sz w:val="24"/>
          <w:szCs w:val="24"/>
        </w:rPr>
        <w:t xml:space="preserve">). The titles and summaries of the draft Recommendations are given in </w:t>
      </w:r>
      <w:r w:rsidR="008D077B" w:rsidRPr="009F25BD">
        <w:rPr>
          <w:sz w:val="24"/>
          <w:szCs w:val="24"/>
        </w:rPr>
        <w:t>the Annex to this letter</w:t>
      </w:r>
      <w:r w:rsidRPr="009F25BD">
        <w:rPr>
          <w:sz w:val="24"/>
          <w:szCs w:val="24"/>
        </w:rPr>
        <w:t xml:space="preserve">. </w:t>
      </w:r>
      <w:r w:rsidR="00EB7913" w:rsidRPr="009F25BD">
        <w:rPr>
          <w:sz w:val="24"/>
          <w:szCs w:val="24"/>
        </w:rPr>
        <w:t>Any Member State who objects to the adoption of a draft Recommendation is requested to inform the Director and the Chairman of the Study Group of the reasons for the objection.</w:t>
      </w:r>
    </w:p>
    <w:p w:rsidR="002615F9" w:rsidRPr="009F25BD" w:rsidRDefault="002615F9" w:rsidP="00136B34">
      <w:pPr>
        <w:spacing w:before="240"/>
        <w:rPr>
          <w:sz w:val="24"/>
          <w:szCs w:val="24"/>
        </w:rPr>
      </w:pPr>
      <w:r w:rsidRPr="009F25BD">
        <w:rPr>
          <w:sz w:val="24"/>
          <w:szCs w:val="24"/>
        </w:rPr>
        <w:t xml:space="preserve">The consideration period shall extend for 2 months ending on </w:t>
      </w:r>
      <w:r w:rsidR="00111E58" w:rsidRPr="009F25BD">
        <w:rPr>
          <w:sz w:val="24"/>
          <w:szCs w:val="24"/>
          <w:u w:val="single"/>
        </w:rPr>
        <w:t>21 August</w:t>
      </w:r>
      <w:r w:rsidRPr="009F25BD">
        <w:rPr>
          <w:sz w:val="24"/>
          <w:szCs w:val="24"/>
          <w:u w:val="single"/>
        </w:rPr>
        <w:t xml:space="preserve"> 2016</w:t>
      </w:r>
      <w:r w:rsidRPr="009F25BD">
        <w:rPr>
          <w:sz w:val="24"/>
          <w:szCs w:val="24"/>
        </w:rPr>
        <w:t xml:space="preserve">. If within this period no objections are received from Member States, the draft Recommendations shall be considered to be adopted by Study Group </w:t>
      </w:r>
      <w:r w:rsidR="00111E58" w:rsidRPr="009F25BD">
        <w:rPr>
          <w:sz w:val="24"/>
          <w:szCs w:val="24"/>
        </w:rPr>
        <w:t>1</w:t>
      </w:r>
      <w:r w:rsidRPr="009F25BD">
        <w:rPr>
          <w:sz w:val="24"/>
          <w:szCs w:val="24"/>
        </w:rPr>
        <w:t xml:space="preserve">. Furthermore, since the PSAA procedure has been followed, the draft Recommendations shall also be considered as approved. </w:t>
      </w:r>
    </w:p>
    <w:p w:rsidR="004A7970" w:rsidRPr="009F25BD" w:rsidRDefault="004A7970" w:rsidP="00136B34">
      <w:pPr>
        <w:spacing w:before="240"/>
        <w:rPr>
          <w:sz w:val="24"/>
          <w:szCs w:val="24"/>
        </w:rPr>
      </w:pPr>
      <w:r w:rsidRPr="009F25BD">
        <w:rPr>
          <w:sz w:val="24"/>
          <w:szCs w:val="24"/>
        </w:rPr>
        <w:t xml:space="preserve">After the above-mentioned deadline, the results of the </w:t>
      </w:r>
      <w:r w:rsidR="002615F9" w:rsidRPr="009F25BD">
        <w:rPr>
          <w:sz w:val="24"/>
          <w:szCs w:val="24"/>
        </w:rPr>
        <w:t xml:space="preserve">above </w:t>
      </w:r>
      <w:r w:rsidRPr="009F25BD">
        <w:rPr>
          <w:sz w:val="24"/>
          <w:szCs w:val="24"/>
        </w:rPr>
        <w:t>procedure</w:t>
      </w:r>
      <w:r w:rsidR="002615F9" w:rsidRPr="009F25BD">
        <w:rPr>
          <w:sz w:val="24"/>
          <w:szCs w:val="24"/>
        </w:rPr>
        <w:t>s</w:t>
      </w:r>
      <w:r w:rsidRPr="009F25BD">
        <w:rPr>
          <w:sz w:val="24"/>
          <w:szCs w:val="24"/>
        </w:rPr>
        <w:t xml:space="preserve"> will be announced in an Administrative Circular and the approved Recommendations will be published as soon as practicable (see </w:t>
      </w:r>
      <w:hyperlink r:id="rId8" w:history="1">
        <w:r w:rsidRPr="009F25BD">
          <w:rPr>
            <w:rStyle w:val="Hyperlink"/>
            <w:sz w:val="24"/>
            <w:szCs w:val="24"/>
          </w:rPr>
          <w:t>http://www.itu.int/pub/R-REC</w:t>
        </w:r>
      </w:hyperlink>
      <w:r w:rsidRPr="009F25BD">
        <w:rPr>
          <w:sz w:val="24"/>
          <w:szCs w:val="24"/>
        </w:rPr>
        <w:t xml:space="preserve">). </w:t>
      </w:r>
    </w:p>
    <w:p w:rsidR="004A7970" w:rsidRPr="009F25BD" w:rsidRDefault="004A7970" w:rsidP="002B76A6">
      <w:pPr>
        <w:keepNext/>
        <w:keepLines/>
        <w:spacing w:before="240"/>
        <w:rPr>
          <w:sz w:val="24"/>
          <w:szCs w:val="24"/>
        </w:rPr>
      </w:pPr>
      <w:r w:rsidRPr="009F25BD">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9F25BD">
        <w:rPr>
          <w:sz w:val="24"/>
          <w:szCs w:val="24"/>
        </w:rPr>
        <w:noBreakHyphen/>
        <w:t>T/ITU</w:t>
      </w:r>
      <w:r w:rsidRPr="009F25BD">
        <w:rPr>
          <w:sz w:val="24"/>
          <w:szCs w:val="24"/>
        </w:rPr>
        <w:noBreakHyphen/>
        <w:t>R/ISO/IEC is available at</w:t>
      </w:r>
      <w:r w:rsidR="00B57F3C" w:rsidRPr="009F25BD">
        <w:rPr>
          <w:rStyle w:val="Hyperlink"/>
          <w:sz w:val="24"/>
          <w:szCs w:val="24"/>
        </w:rPr>
        <w:t xml:space="preserve"> </w:t>
      </w:r>
      <w:hyperlink r:id="rId9" w:history="1">
        <w:r w:rsidR="00B57F3C" w:rsidRPr="009F25BD">
          <w:rPr>
            <w:rStyle w:val="Hyperlink"/>
            <w:sz w:val="24"/>
            <w:szCs w:val="24"/>
          </w:rPr>
          <w:t>http://www.itu.int/en/ITU-T/ipr/Pages/policy.aspx</w:t>
        </w:r>
      </w:hyperlink>
      <w:r w:rsidRPr="009F25BD">
        <w:rPr>
          <w:sz w:val="24"/>
          <w:szCs w:val="24"/>
        </w:rPr>
        <w:t>.</w:t>
      </w:r>
    </w:p>
    <w:p w:rsidR="004A7970" w:rsidRPr="009F25BD" w:rsidRDefault="004A7970" w:rsidP="002B76A6">
      <w:pPr>
        <w:spacing w:before="2400" w:line="240" w:lineRule="auto"/>
        <w:jc w:val="left"/>
        <w:rPr>
          <w:rFonts w:asciiTheme="minorHAnsi" w:hAnsiTheme="minorHAnsi" w:cstheme="minorHAnsi"/>
          <w:sz w:val="24"/>
          <w:szCs w:val="24"/>
        </w:rPr>
      </w:pPr>
      <w:r w:rsidRPr="009F25BD">
        <w:rPr>
          <w:rFonts w:asciiTheme="minorHAnsi" w:hAnsiTheme="minorHAnsi" w:cstheme="minorHAnsi"/>
          <w:sz w:val="24"/>
          <w:szCs w:val="24"/>
        </w:rPr>
        <w:t>François Rancy</w:t>
      </w:r>
      <w:r w:rsidR="002B76A6">
        <w:rPr>
          <w:rFonts w:asciiTheme="minorHAnsi" w:hAnsiTheme="minorHAnsi" w:cstheme="minorHAnsi"/>
          <w:sz w:val="24"/>
          <w:szCs w:val="24"/>
        </w:rPr>
        <w:br/>
      </w:r>
      <w:r w:rsidRPr="009F25BD">
        <w:rPr>
          <w:rFonts w:asciiTheme="minorHAnsi" w:hAnsiTheme="minorHAnsi" w:cstheme="minorHAnsi"/>
          <w:sz w:val="24"/>
          <w:szCs w:val="24"/>
        </w:rPr>
        <w:t>Director</w:t>
      </w:r>
    </w:p>
    <w:p w:rsidR="004A7970" w:rsidRPr="009F25BD" w:rsidRDefault="004A7970" w:rsidP="00110369">
      <w:pPr>
        <w:tabs>
          <w:tab w:val="clear" w:pos="794"/>
          <w:tab w:val="clear" w:pos="1191"/>
          <w:tab w:val="clear" w:pos="1588"/>
          <w:tab w:val="clear" w:pos="1985"/>
        </w:tabs>
        <w:spacing w:before="1200"/>
        <w:ind w:left="1191" w:hanging="1191"/>
        <w:rPr>
          <w:sz w:val="24"/>
          <w:szCs w:val="24"/>
        </w:rPr>
      </w:pPr>
      <w:r w:rsidRPr="009F25BD">
        <w:rPr>
          <w:b/>
          <w:bCs/>
          <w:sz w:val="24"/>
          <w:szCs w:val="24"/>
        </w:rPr>
        <w:t>Annex:</w:t>
      </w:r>
      <w:r w:rsidRPr="009F25BD">
        <w:rPr>
          <w:sz w:val="24"/>
          <w:szCs w:val="24"/>
        </w:rPr>
        <w:t xml:space="preserve"> </w:t>
      </w:r>
      <w:r w:rsidRPr="009F25BD">
        <w:rPr>
          <w:sz w:val="24"/>
          <w:szCs w:val="24"/>
        </w:rPr>
        <w:tab/>
      </w:r>
      <w:r w:rsidR="00110369">
        <w:rPr>
          <w:sz w:val="24"/>
          <w:szCs w:val="24"/>
        </w:rPr>
        <w:tab/>
      </w:r>
      <w:bookmarkStart w:id="0" w:name="_GoBack"/>
      <w:bookmarkEnd w:id="0"/>
      <w:r w:rsidRPr="009F25BD">
        <w:rPr>
          <w:sz w:val="24"/>
          <w:szCs w:val="24"/>
        </w:rPr>
        <w:t>Titles and summaries of the draft Recommendations</w:t>
      </w:r>
    </w:p>
    <w:p w:rsidR="004A7970" w:rsidRPr="009F25BD" w:rsidRDefault="004A7970" w:rsidP="00110369">
      <w:pPr>
        <w:tabs>
          <w:tab w:val="clear" w:pos="794"/>
          <w:tab w:val="clear" w:pos="1191"/>
          <w:tab w:val="clear" w:pos="1588"/>
          <w:tab w:val="clear" w:pos="1985"/>
        </w:tabs>
        <w:spacing w:before="360"/>
        <w:rPr>
          <w:sz w:val="24"/>
          <w:szCs w:val="24"/>
          <w:lang w:val="fr-CH"/>
        </w:rPr>
      </w:pPr>
      <w:r w:rsidRPr="009F25BD">
        <w:rPr>
          <w:b/>
          <w:bCs/>
          <w:sz w:val="24"/>
          <w:szCs w:val="24"/>
          <w:lang w:val="fr-CH"/>
        </w:rPr>
        <w:t>Documents:</w:t>
      </w:r>
      <w:r w:rsidRPr="009F25BD">
        <w:rPr>
          <w:sz w:val="24"/>
          <w:szCs w:val="24"/>
          <w:lang w:val="fr-CH"/>
        </w:rPr>
        <w:tab/>
        <w:t>Document</w:t>
      </w:r>
      <w:r w:rsidR="00A51CD6" w:rsidRPr="009F25BD">
        <w:rPr>
          <w:sz w:val="24"/>
          <w:szCs w:val="24"/>
          <w:lang w:val="fr-CH"/>
        </w:rPr>
        <w:t>s</w:t>
      </w:r>
      <w:r w:rsidRPr="009F25BD">
        <w:rPr>
          <w:sz w:val="24"/>
          <w:szCs w:val="24"/>
          <w:lang w:val="fr-CH"/>
        </w:rPr>
        <w:t xml:space="preserve"> </w:t>
      </w:r>
      <w:hyperlink r:id="rId10" w:history="1">
        <w:r w:rsidR="00A51CD6" w:rsidRPr="00136B34">
          <w:rPr>
            <w:rStyle w:val="Hyperlink"/>
            <w:sz w:val="24"/>
            <w:szCs w:val="24"/>
            <w:lang w:val="fr-CH"/>
          </w:rPr>
          <w:t>1/21</w:t>
        </w:r>
        <w:r w:rsidRPr="00136B34">
          <w:rPr>
            <w:rStyle w:val="Hyperlink"/>
            <w:sz w:val="24"/>
            <w:szCs w:val="24"/>
            <w:lang w:val="fr-CH"/>
          </w:rPr>
          <w:t>(Rev.1)</w:t>
        </w:r>
      </w:hyperlink>
      <w:r w:rsidR="00A51CD6" w:rsidRPr="009F25BD">
        <w:rPr>
          <w:sz w:val="24"/>
          <w:szCs w:val="24"/>
          <w:lang w:val="fr-CH"/>
        </w:rPr>
        <w:t xml:space="preserve">, </w:t>
      </w:r>
      <w:hyperlink r:id="rId11" w:history="1">
        <w:r w:rsidR="00A51CD6" w:rsidRPr="00136B34">
          <w:rPr>
            <w:rStyle w:val="Hyperlink"/>
            <w:sz w:val="24"/>
            <w:szCs w:val="24"/>
            <w:lang w:val="fr-CH"/>
          </w:rPr>
          <w:t>1/22(Rev.1)</w:t>
        </w:r>
      </w:hyperlink>
      <w:r w:rsidRPr="009F25BD">
        <w:rPr>
          <w:sz w:val="24"/>
          <w:szCs w:val="24"/>
          <w:lang w:val="fr-CH"/>
        </w:rPr>
        <w:t xml:space="preserve"> </w:t>
      </w:r>
      <w:r w:rsidR="00A51CD6" w:rsidRPr="009F25BD">
        <w:rPr>
          <w:sz w:val="24"/>
          <w:szCs w:val="24"/>
          <w:lang w:val="fr-CH"/>
        </w:rPr>
        <w:t xml:space="preserve">and </w:t>
      </w:r>
      <w:hyperlink r:id="rId12" w:history="1">
        <w:r w:rsidR="00A51CD6" w:rsidRPr="00136B34">
          <w:rPr>
            <w:rStyle w:val="Hyperlink"/>
            <w:sz w:val="24"/>
            <w:szCs w:val="24"/>
            <w:lang w:val="fr-CH"/>
          </w:rPr>
          <w:t>1/28(Rev.1)</w:t>
        </w:r>
      </w:hyperlink>
    </w:p>
    <w:p w:rsidR="004A7970" w:rsidRPr="009F25BD" w:rsidRDefault="004A7970" w:rsidP="004B5BD0">
      <w:pPr>
        <w:tabs>
          <w:tab w:val="clear" w:pos="1588"/>
          <w:tab w:val="left" w:pos="2552"/>
        </w:tabs>
        <w:rPr>
          <w:sz w:val="24"/>
          <w:szCs w:val="24"/>
        </w:rPr>
      </w:pPr>
      <w:r w:rsidRPr="009F25BD">
        <w:rPr>
          <w:sz w:val="24"/>
          <w:szCs w:val="24"/>
        </w:rPr>
        <w:t xml:space="preserve">These documents are available in electronic format at: </w:t>
      </w:r>
      <w:hyperlink r:id="rId13" w:history="1">
        <w:r w:rsidR="00136B34" w:rsidRPr="009E664D">
          <w:rPr>
            <w:rStyle w:val="Hyperlink"/>
            <w:sz w:val="24"/>
            <w:szCs w:val="24"/>
          </w:rPr>
          <w:t>http://www.itu.int/md/R15-SG01-C/en</w:t>
        </w:r>
      </w:hyperlink>
      <w:r w:rsidR="00136B34">
        <w:rPr>
          <w:sz w:val="24"/>
          <w:szCs w:val="24"/>
        </w:rPr>
        <w:t xml:space="preserve"> </w:t>
      </w:r>
    </w:p>
    <w:p w:rsidR="004A7970" w:rsidRPr="009F25BD" w:rsidRDefault="004A7970" w:rsidP="00614CF3">
      <w:pPr>
        <w:tabs>
          <w:tab w:val="left" w:pos="284"/>
          <w:tab w:val="left" w:pos="568"/>
        </w:tabs>
        <w:spacing w:before="3720" w:after="60"/>
        <w:rPr>
          <w:b/>
          <w:bCs/>
          <w:sz w:val="18"/>
          <w:szCs w:val="18"/>
        </w:rPr>
      </w:pPr>
      <w:r w:rsidRPr="009F25BD">
        <w:rPr>
          <w:b/>
          <w:bCs/>
          <w:sz w:val="18"/>
          <w:szCs w:val="18"/>
        </w:rPr>
        <w:t>Distribution:</w:t>
      </w:r>
    </w:p>
    <w:p w:rsidR="004A7970" w:rsidRPr="009F25BD" w:rsidRDefault="004A7970" w:rsidP="00ED38DA">
      <w:pPr>
        <w:tabs>
          <w:tab w:val="left" w:pos="567"/>
          <w:tab w:val="left" w:pos="6237"/>
        </w:tabs>
        <w:spacing w:before="0" w:line="240" w:lineRule="auto"/>
        <w:ind w:left="567" w:hanging="567"/>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Administrations of Member States of the ITU and Radiocommunication Sector Members</w:t>
      </w:r>
      <w:r w:rsidR="00A73E33" w:rsidRPr="009F25BD">
        <w:rPr>
          <w:rFonts w:asciiTheme="minorHAnsi" w:hAnsiTheme="minorHAnsi" w:cstheme="minorHAnsi"/>
          <w:sz w:val="18"/>
          <w:szCs w:val="18"/>
        </w:rPr>
        <w:br/>
      </w:r>
      <w:r w:rsidRPr="009F25BD">
        <w:rPr>
          <w:rFonts w:asciiTheme="minorHAnsi" w:hAnsiTheme="minorHAnsi" w:cstheme="minorHAnsi"/>
          <w:sz w:val="18"/>
          <w:szCs w:val="18"/>
        </w:rPr>
        <w:t>participating</w:t>
      </w:r>
      <w:r w:rsidR="0077406E" w:rsidRPr="009F25BD">
        <w:rPr>
          <w:rFonts w:asciiTheme="minorHAnsi" w:hAnsiTheme="minorHAnsi" w:cstheme="minorHAnsi"/>
          <w:sz w:val="18"/>
          <w:szCs w:val="18"/>
        </w:rPr>
        <w:t xml:space="preserve"> </w:t>
      </w:r>
      <w:r w:rsidRPr="009F25BD">
        <w:rPr>
          <w:rFonts w:asciiTheme="minorHAnsi" w:hAnsiTheme="minorHAnsi" w:cstheme="minorHAnsi"/>
          <w:sz w:val="18"/>
          <w:szCs w:val="18"/>
        </w:rPr>
        <w:t>in the work of</w:t>
      </w:r>
      <w:r w:rsidR="0077406E" w:rsidRPr="009F25BD">
        <w:rPr>
          <w:rFonts w:asciiTheme="minorHAnsi" w:hAnsiTheme="minorHAnsi" w:cstheme="minorHAnsi"/>
          <w:sz w:val="18"/>
          <w:szCs w:val="18"/>
        </w:rPr>
        <w:t xml:space="preserve"> </w:t>
      </w:r>
      <w:r w:rsidRPr="009F25BD">
        <w:rPr>
          <w:rFonts w:asciiTheme="minorHAnsi" w:hAnsiTheme="minorHAnsi" w:cstheme="minorHAnsi"/>
          <w:sz w:val="18"/>
          <w:szCs w:val="18"/>
        </w:rPr>
        <w:t xml:space="preserve">Radiocommunication Study Group </w:t>
      </w:r>
      <w:r w:rsidR="004B5BD0" w:rsidRPr="009F25BD">
        <w:rPr>
          <w:rFonts w:asciiTheme="minorHAnsi" w:hAnsiTheme="minorHAnsi" w:cstheme="minorHAnsi"/>
          <w:sz w:val="18"/>
          <w:szCs w:val="18"/>
        </w:rPr>
        <w:t>1</w:t>
      </w:r>
    </w:p>
    <w:p w:rsidR="004A7970" w:rsidRPr="009F25BD" w:rsidRDefault="004A7970" w:rsidP="00ED38DA">
      <w:pPr>
        <w:tabs>
          <w:tab w:val="left" w:pos="567"/>
          <w:tab w:val="left" w:pos="6237"/>
        </w:tabs>
        <w:spacing w:before="0" w:line="240" w:lineRule="auto"/>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 xml:space="preserve">ITU-R Associates participating in the work of Radiocommunication Study Group </w:t>
      </w:r>
      <w:r w:rsidR="004B5BD0" w:rsidRPr="009F25BD">
        <w:rPr>
          <w:rFonts w:asciiTheme="minorHAnsi" w:hAnsiTheme="minorHAnsi" w:cstheme="minorHAnsi"/>
          <w:sz w:val="18"/>
          <w:szCs w:val="18"/>
        </w:rPr>
        <w:t>1</w:t>
      </w:r>
    </w:p>
    <w:p w:rsidR="004A7970" w:rsidRPr="009F25BD" w:rsidRDefault="004A7970" w:rsidP="00A73E33">
      <w:pPr>
        <w:tabs>
          <w:tab w:val="left" w:pos="567"/>
          <w:tab w:val="left" w:pos="6237"/>
        </w:tabs>
        <w:spacing w:before="0" w:line="240" w:lineRule="auto"/>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ITU Academia</w:t>
      </w:r>
    </w:p>
    <w:p w:rsidR="004A7970" w:rsidRPr="009F25BD" w:rsidRDefault="004A7970" w:rsidP="00A73E33">
      <w:pPr>
        <w:tabs>
          <w:tab w:val="left" w:pos="567"/>
          <w:tab w:val="left" w:pos="6237"/>
        </w:tabs>
        <w:spacing w:before="0" w:line="240" w:lineRule="auto"/>
        <w:ind w:left="567" w:hanging="567"/>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Chairmen and Vice-Chairmen of Radiocommunication Study Group</w:t>
      </w:r>
      <w:r w:rsidR="00F4193A" w:rsidRPr="009F25BD">
        <w:rPr>
          <w:rFonts w:asciiTheme="minorHAnsi" w:hAnsiTheme="minorHAnsi" w:cstheme="minorHAnsi"/>
          <w:sz w:val="18"/>
          <w:szCs w:val="18"/>
        </w:rPr>
        <w:t>s</w:t>
      </w:r>
    </w:p>
    <w:p w:rsidR="004A7970" w:rsidRPr="009F25BD" w:rsidRDefault="004A7970" w:rsidP="00A73E33">
      <w:pPr>
        <w:tabs>
          <w:tab w:val="left" w:pos="567"/>
          <w:tab w:val="left" w:pos="6237"/>
        </w:tabs>
        <w:spacing w:before="0" w:line="240" w:lineRule="auto"/>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Chairman and Vice-Chairmen of the Conference Preparatory Meeting</w:t>
      </w:r>
    </w:p>
    <w:p w:rsidR="004A7970" w:rsidRPr="009F25BD" w:rsidRDefault="004A7970" w:rsidP="00A73E33">
      <w:pPr>
        <w:tabs>
          <w:tab w:val="left" w:pos="567"/>
          <w:tab w:val="left" w:pos="6237"/>
        </w:tabs>
        <w:spacing w:before="0" w:line="240" w:lineRule="auto"/>
        <w:jc w:val="lef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Members of the Radio Regulations Board</w:t>
      </w:r>
    </w:p>
    <w:p w:rsidR="004A7970" w:rsidRPr="009F25BD" w:rsidRDefault="004A7970" w:rsidP="00A73E33">
      <w:pPr>
        <w:pStyle w:val="BodyTextIndent"/>
        <w:rPr>
          <w:rFonts w:asciiTheme="minorHAnsi" w:hAnsiTheme="minorHAnsi" w:cstheme="minorHAnsi"/>
          <w:sz w:val="18"/>
          <w:szCs w:val="18"/>
        </w:rPr>
      </w:pPr>
      <w:r w:rsidRPr="009F25BD">
        <w:rPr>
          <w:rFonts w:asciiTheme="minorHAnsi" w:hAnsiTheme="minorHAnsi" w:cstheme="minorHAnsi"/>
          <w:sz w:val="18"/>
          <w:szCs w:val="18"/>
        </w:rPr>
        <w:t>–</w:t>
      </w:r>
      <w:r w:rsidRPr="009F25BD">
        <w:rPr>
          <w:rFonts w:asciiTheme="minorHAnsi" w:hAnsiTheme="minorHAnsi" w:cstheme="minorHAnsi"/>
          <w:sz w:val="18"/>
          <w:szCs w:val="18"/>
        </w:rPr>
        <w:tab/>
        <w:t xml:space="preserve">Secretary-General of the ITU, Director of the Telecommunication Standardization Bureau, </w:t>
      </w:r>
      <w:r w:rsidR="00A73E33" w:rsidRPr="009F25BD">
        <w:rPr>
          <w:rFonts w:asciiTheme="minorHAnsi" w:hAnsiTheme="minorHAnsi" w:cstheme="minorHAnsi"/>
          <w:sz w:val="18"/>
          <w:szCs w:val="18"/>
        </w:rPr>
        <w:br/>
      </w:r>
      <w:r w:rsidRPr="009F25BD">
        <w:rPr>
          <w:rFonts w:asciiTheme="minorHAnsi" w:hAnsiTheme="minorHAnsi" w:cstheme="minorHAnsi"/>
          <w:sz w:val="18"/>
          <w:szCs w:val="18"/>
        </w:rPr>
        <w:t>Director of the Telecommunication</w:t>
      </w:r>
      <w:r w:rsidR="00BF5F50" w:rsidRPr="009F25BD">
        <w:rPr>
          <w:rFonts w:asciiTheme="minorHAnsi" w:hAnsiTheme="minorHAnsi" w:cstheme="minorHAnsi"/>
          <w:sz w:val="18"/>
          <w:szCs w:val="18"/>
        </w:rPr>
        <w:t xml:space="preserve"> </w:t>
      </w:r>
      <w:r w:rsidRPr="009F25BD">
        <w:rPr>
          <w:rFonts w:asciiTheme="minorHAnsi" w:hAnsiTheme="minorHAnsi" w:cstheme="minorHAnsi"/>
          <w:sz w:val="18"/>
          <w:szCs w:val="18"/>
        </w:rPr>
        <w:t>Development Bureau</w:t>
      </w:r>
    </w:p>
    <w:p w:rsidR="00A45D9A" w:rsidRPr="009F25BD" w:rsidRDefault="004A7970" w:rsidP="00A45D9A">
      <w:pPr>
        <w:pStyle w:val="AnnexNotitle0"/>
        <w:rPr>
          <w:rFonts w:asciiTheme="minorHAnsi" w:hAnsiTheme="minorHAnsi" w:cstheme="minorHAnsi"/>
          <w:szCs w:val="28"/>
        </w:rPr>
      </w:pPr>
      <w:r w:rsidRPr="009F25BD">
        <w:br w:type="page"/>
      </w:r>
      <w:r w:rsidRPr="009F25BD">
        <w:rPr>
          <w:rFonts w:asciiTheme="minorHAnsi" w:hAnsiTheme="minorHAnsi" w:cstheme="minorHAnsi"/>
          <w:szCs w:val="28"/>
        </w:rPr>
        <w:lastRenderedPageBreak/>
        <w:t>Annex</w:t>
      </w:r>
    </w:p>
    <w:p w:rsidR="004A7970" w:rsidRPr="009F25BD" w:rsidRDefault="004A7970">
      <w:pPr>
        <w:pStyle w:val="AnnexNotitle0"/>
        <w:rPr>
          <w:rFonts w:asciiTheme="minorHAnsi" w:hAnsiTheme="minorHAnsi" w:cstheme="minorHAnsi"/>
          <w:szCs w:val="28"/>
        </w:rPr>
      </w:pPr>
      <w:r w:rsidRPr="009F25BD">
        <w:rPr>
          <w:rFonts w:asciiTheme="minorHAnsi" w:hAnsiTheme="minorHAnsi" w:cstheme="minorHAnsi"/>
          <w:szCs w:val="28"/>
        </w:rPr>
        <w:t>Titles and summaries of the draft Recommendations</w:t>
      </w:r>
    </w:p>
    <w:p w:rsidR="004A7970" w:rsidRPr="009F25BD" w:rsidRDefault="004A7970" w:rsidP="00FD5EC5">
      <w:pPr>
        <w:tabs>
          <w:tab w:val="right" w:pos="9639"/>
        </w:tabs>
        <w:spacing w:before="480"/>
        <w:rPr>
          <w:rFonts w:asciiTheme="minorHAnsi" w:hAnsiTheme="minorHAnsi" w:cstheme="minorHAnsi"/>
          <w:sz w:val="24"/>
          <w:szCs w:val="24"/>
        </w:rPr>
      </w:pPr>
      <w:r w:rsidRPr="009F25BD">
        <w:rPr>
          <w:rFonts w:asciiTheme="minorHAnsi" w:hAnsiTheme="minorHAnsi" w:cstheme="minorHAnsi"/>
          <w:sz w:val="24"/>
          <w:szCs w:val="24"/>
          <w:u w:val="single"/>
        </w:rPr>
        <w:t xml:space="preserve">Draft new Recommendation ITU-R </w:t>
      </w:r>
      <w:r w:rsidR="004B5BD0" w:rsidRPr="009F25BD">
        <w:rPr>
          <w:rFonts w:asciiTheme="minorHAnsi" w:hAnsiTheme="minorHAnsi" w:cstheme="minorHAnsi"/>
          <w:sz w:val="24"/>
          <w:szCs w:val="24"/>
          <w:u w:val="single"/>
        </w:rPr>
        <w:t>SM.[DF_SENSITIVITY]</w:t>
      </w:r>
      <w:r w:rsidRPr="009F25BD">
        <w:rPr>
          <w:rFonts w:asciiTheme="minorHAnsi" w:hAnsiTheme="minorHAnsi" w:cstheme="minorHAnsi"/>
          <w:sz w:val="24"/>
          <w:szCs w:val="24"/>
        </w:rPr>
        <w:tab/>
        <w:t xml:space="preserve">Doc. </w:t>
      </w:r>
      <w:r w:rsidR="004B5BD0" w:rsidRPr="009F25BD">
        <w:rPr>
          <w:rFonts w:asciiTheme="minorHAnsi" w:hAnsiTheme="minorHAnsi" w:cstheme="minorHAnsi"/>
          <w:sz w:val="24"/>
          <w:szCs w:val="24"/>
        </w:rPr>
        <w:t>1/21</w:t>
      </w:r>
      <w:r w:rsidRPr="009F25BD">
        <w:rPr>
          <w:rFonts w:asciiTheme="minorHAnsi" w:hAnsiTheme="minorHAnsi" w:cstheme="minorHAnsi"/>
          <w:sz w:val="24"/>
          <w:szCs w:val="24"/>
        </w:rPr>
        <w:t>(Rev.1)</w:t>
      </w:r>
    </w:p>
    <w:p w:rsidR="004A7970" w:rsidRPr="009F25BD" w:rsidRDefault="004B5BD0" w:rsidP="004B5BD0">
      <w:pPr>
        <w:pStyle w:val="RectitleAsianMSMincho"/>
        <w:rPr>
          <w:rStyle w:val="RectitleChar"/>
          <w:rFonts w:asciiTheme="minorHAnsi" w:hAnsiTheme="minorHAnsi" w:cstheme="minorHAnsi"/>
          <w:b/>
          <w:bCs/>
          <w:szCs w:val="28"/>
        </w:rPr>
      </w:pPr>
      <w:r w:rsidRPr="009F25BD">
        <w:t>Test procedure for measuring direction finder sensitivity</w:t>
      </w:r>
      <w:r w:rsidRPr="009F25BD">
        <w:rPr>
          <w:b w:val="0"/>
          <w:bCs/>
        </w:rPr>
        <w:br/>
      </w:r>
      <w:r w:rsidRPr="009F25BD">
        <w:rPr>
          <w:rStyle w:val="RectitleChar"/>
          <w:rFonts w:asciiTheme="minorHAnsi" w:hAnsiTheme="minorHAnsi" w:cstheme="minorHAnsi"/>
          <w:b/>
          <w:bCs/>
          <w:szCs w:val="28"/>
        </w:rPr>
        <w:t>in the VHF/UHF frequency range</w:t>
      </w:r>
    </w:p>
    <w:p w:rsidR="004A7970" w:rsidRPr="009F25BD" w:rsidRDefault="007D3374" w:rsidP="00C22B7E">
      <w:pPr>
        <w:spacing w:before="240"/>
        <w:rPr>
          <w:rStyle w:val="RectitleChar"/>
          <w:rFonts w:asciiTheme="minorHAnsi" w:hAnsiTheme="minorHAnsi" w:cstheme="minorHAnsi"/>
          <w:b w:val="0"/>
          <w:bCs/>
          <w:sz w:val="24"/>
          <w:szCs w:val="24"/>
        </w:rPr>
      </w:pPr>
      <w:r w:rsidRPr="009F25BD">
        <w:rPr>
          <w:rFonts w:asciiTheme="minorHAnsi" w:hAnsiTheme="minorHAnsi" w:cstheme="minorHAnsi"/>
          <w:sz w:val="24"/>
          <w:szCs w:val="24"/>
        </w:rPr>
        <w:t>The sensitivity of direction finding systems is an important consideration to regulatory authorities and others who have to locate emitters. It is often difficult to compare different systems due to a number of factors, such as the system architecture, typical use/purpose, size, installation requirements, and other issues. To facilitate comparison between direction finding (DF) systems, this Recommendation provides guidance on a standard method of testing DF sensitivity and reporting of the results.</w:t>
      </w:r>
    </w:p>
    <w:p w:rsidR="007D3374" w:rsidRPr="009F25BD" w:rsidRDefault="007D3374" w:rsidP="00FD5EC5">
      <w:pPr>
        <w:tabs>
          <w:tab w:val="right" w:pos="9639"/>
        </w:tabs>
        <w:spacing w:before="480"/>
        <w:rPr>
          <w:rFonts w:asciiTheme="minorHAnsi" w:hAnsiTheme="minorHAnsi" w:cstheme="minorHAnsi"/>
          <w:sz w:val="24"/>
          <w:szCs w:val="24"/>
        </w:rPr>
      </w:pPr>
      <w:r w:rsidRPr="009F25BD">
        <w:rPr>
          <w:rFonts w:asciiTheme="minorHAnsi" w:hAnsiTheme="minorHAnsi" w:cstheme="minorHAnsi"/>
          <w:sz w:val="24"/>
          <w:szCs w:val="24"/>
          <w:u w:val="single"/>
        </w:rPr>
        <w:t>Draft new Recommendation ITU-R SM.[INDOOR RADIO ENVIRONMENT]</w:t>
      </w:r>
      <w:r w:rsidRPr="009F25BD">
        <w:rPr>
          <w:rFonts w:asciiTheme="minorHAnsi" w:hAnsiTheme="minorHAnsi" w:cstheme="minorHAnsi"/>
          <w:sz w:val="24"/>
          <w:szCs w:val="24"/>
        </w:rPr>
        <w:tab/>
        <w:t>Doc. 1/22(Rev.1)</w:t>
      </w:r>
    </w:p>
    <w:p w:rsidR="007D3374" w:rsidRPr="009F25BD" w:rsidRDefault="007D3374" w:rsidP="007D3374">
      <w:pPr>
        <w:pStyle w:val="RectitleAsianMSMincho"/>
        <w:rPr>
          <w:rStyle w:val="RectitleChar"/>
          <w:rFonts w:asciiTheme="minorHAnsi" w:hAnsiTheme="minorHAnsi" w:cstheme="minorHAnsi"/>
          <w:b/>
          <w:bCs/>
          <w:szCs w:val="28"/>
        </w:rPr>
      </w:pPr>
      <w:r w:rsidRPr="009F25BD">
        <w:t>Methods for measurements of indoor radio environment</w:t>
      </w:r>
    </w:p>
    <w:p w:rsidR="007D3374" w:rsidRPr="009F25BD" w:rsidRDefault="007D3374" w:rsidP="00C22B7E">
      <w:pPr>
        <w:spacing w:before="240"/>
        <w:rPr>
          <w:rFonts w:asciiTheme="minorHAnsi" w:hAnsiTheme="minorHAnsi" w:cstheme="minorHAnsi"/>
          <w:sz w:val="24"/>
          <w:szCs w:val="24"/>
        </w:rPr>
      </w:pPr>
      <w:r w:rsidRPr="009F25BD">
        <w:rPr>
          <w:rFonts w:asciiTheme="minorHAnsi" w:hAnsiTheme="minorHAnsi" w:cstheme="minorHAnsi"/>
          <w:sz w:val="24"/>
          <w:szCs w:val="24"/>
        </w:rPr>
        <w:t>This Recommendation provides a methods for measuring and evaluating the indoor radio environment faced by radiocommunication applications. Considering the usage of radio devices in indoor locations, measurement of the radio environment in frequency ranges above 30 MHz is recommended.</w:t>
      </w:r>
    </w:p>
    <w:p w:rsidR="007D3374" w:rsidRPr="009F25BD" w:rsidRDefault="007D3374" w:rsidP="00A73E33">
      <w:pPr>
        <w:spacing w:before="120"/>
        <w:rPr>
          <w:rStyle w:val="RectitleChar"/>
          <w:rFonts w:asciiTheme="minorHAnsi" w:hAnsiTheme="minorHAnsi" w:cstheme="minorHAnsi"/>
          <w:b w:val="0"/>
          <w:bCs/>
          <w:sz w:val="24"/>
          <w:szCs w:val="24"/>
        </w:rPr>
      </w:pPr>
      <w:r w:rsidRPr="009F25BD">
        <w:rPr>
          <w:rFonts w:asciiTheme="minorHAnsi" w:hAnsiTheme="minorHAnsi" w:cstheme="minorHAnsi"/>
          <w:sz w:val="24"/>
          <w:szCs w:val="24"/>
        </w:rPr>
        <w:t>For indoor radio environment measurements, there is a need to have a uniform, frequency-independent method to produce comparable, accurate and reproducible results between different measurement systems. This Recommendation provides a set of processes or steps that need to be integrated in a measurement procedure resulting in these comparable results.</w:t>
      </w:r>
    </w:p>
    <w:p w:rsidR="007D3374" w:rsidRPr="009F25BD" w:rsidRDefault="007D3374" w:rsidP="00110369">
      <w:pPr>
        <w:tabs>
          <w:tab w:val="right" w:pos="9639"/>
        </w:tabs>
        <w:spacing w:before="480"/>
        <w:rPr>
          <w:rFonts w:asciiTheme="minorHAnsi" w:hAnsiTheme="minorHAnsi" w:cstheme="minorHAnsi"/>
          <w:sz w:val="24"/>
          <w:szCs w:val="24"/>
        </w:rPr>
      </w:pPr>
      <w:r w:rsidRPr="009F25BD">
        <w:rPr>
          <w:rFonts w:asciiTheme="minorHAnsi" w:hAnsiTheme="minorHAnsi" w:cstheme="minorHAnsi"/>
          <w:sz w:val="24"/>
          <w:szCs w:val="24"/>
          <w:u w:val="single"/>
        </w:rPr>
        <w:t>Draft new Recommendation ITU-R SM.[ON-SITE_DF_ACC]</w:t>
      </w:r>
      <w:r w:rsidRPr="009F25BD">
        <w:rPr>
          <w:rFonts w:asciiTheme="minorHAnsi" w:hAnsiTheme="minorHAnsi" w:cstheme="minorHAnsi"/>
          <w:sz w:val="24"/>
          <w:szCs w:val="24"/>
        </w:rPr>
        <w:tab/>
        <w:t>Doc. 1/2</w:t>
      </w:r>
      <w:r w:rsidR="00110369">
        <w:rPr>
          <w:rFonts w:asciiTheme="minorHAnsi" w:hAnsiTheme="minorHAnsi" w:cstheme="minorHAnsi"/>
          <w:sz w:val="24"/>
          <w:szCs w:val="24"/>
        </w:rPr>
        <w:t>8</w:t>
      </w:r>
      <w:r w:rsidRPr="009F25BD">
        <w:rPr>
          <w:rFonts w:asciiTheme="minorHAnsi" w:hAnsiTheme="minorHAnsi" w:cstheme="minorHAnsi"/>
          <w:sz w:val="24"/>
          <w:szCs w:val="24"/>
        </w:rPr>
        <w:t>(Rev.1)</w:t>
      </w:r>
    </w:p>
    <w:p w:rsidR="007D3374" w:rsidRPr="009F25BD" w:rsidRDefault="007D3374" w:rsidP="007D3374">
      <w:pPr>
        <w:pStyle w:val="RectitleAsianMSMincho"/>
        <w:rPr>
          <w:rStyle w:val="RectitleChar"/>
          <w:rFonts w:asciiTheme="minorHAnsi" w:hAnsiTheme="minorHAnsi" w:cstheme="minorHAnsi"/>
          <w:b/>
          <w:bCs/>
          <w:szCs w:val="28"/>
        </w:rPr>
      </w:pPr>
      <w:r w:rsidRPr="009F25BD">
        <w:t>On-site accuracy measurements of a fixed DF system</w:t>
      </w:r>
    </w:p>
    <w:p w:rsidR="007D3374" w:rsidRPr="009F25BD" w:rsidRDefault="007D3374" w:rsidP="00C22B7E">
      <w:pPr>
        <w:spacing w:before="240"/>
        <w:rPr>
          <w:rStyle w:val="RectitleChar"/>
          <w:rFonts w:asciiTheme="minorHAnsi" w:hAnsiTheme="minorHAnsi" w:cstheme="minorHAnsi"/>
          <w:b w:val="0"/>
          <w:bCs/>
          <w:sz w:val="24"/>
          <w:szCs w:val="24"/>
        </w:rPr>
      </w:pPr>
      <w:r w:rsidRPr="009F25BD">
        <w:rPr>
          <w:rFonts w:asciiTheme="minorHAnsi" w:hAnsiTheme="minorHAnsi" w:cstheme="minorHAnsi"/>
          <w:sz w:val="24"/>
          <w:szCs w:val="24"/>
        </w:rPr>
        <w:t>This Recommendation provides guidance on standard methods of testing the bearing accuracy of a fixed direction finder in its final environment and reporting results. It may serve as part of a site acceptance test for monitoring services after the installation on site.</w:t>
      </w:r>
    </w:p>
    <w:p w:rsidR="004A7970" w:rsidRPr="009F25BD" w:rsidRDefault="004A7970" w:rsidP="004A7970">
      <w:pPr>
        <w:rPr>
          <w:rStyle w:val="RectitleChar"/>
          <w:rFonts w:asciiTheme="minorHAnsi" w:hAnsiTheme="minorHAnsi" w:cstheme="minorHAnsi"/>
          <w:b w:val="0"/>
          <w:bCs/>
          <w:sz w:val="24"/>
          <w:szCs w:val="24"/>
        </w:rPr>
      </w:pPr>
    </w:p>
    <w:p w:rsidR="00110369" w:rsidRDefault="00110369" w:rsidP="0032202E">
      <w:pPr>
        <w:pStyle w:val="Reasons"/>
      </w:pPr>
    </w:p>
    <w:p w:rsidR="004A7970" w:rsidRPr="00110369" w:rsidRDefault="00110369" w:rsidP="00110369">
      <w:pPr>
        <w:jc w:val="center"/>
      </w:pPr>
      <w:r>
        <w:t>______________</w:t>
      </w:r>
    </w:p>
    <w:sectPr w:rsidR="004A7970" w:rsidRPr="00110369"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B6B36" w:rsidRDefault="00BB6B36" w:rsidP="00BB6B36">
    <w:pPr>
      <w:pStyle w:val="Footer"/>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110369">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110369">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C43CB" w:rsidTr="00E055F7">
      <w:tc>
        <w:tcPr>
          <w:tcW w:w="4889" w:type="dxa"/>
        </w:tcPr>
        <w:p w:rsidR="003C43CB" w:rsidRDefault="003C43CB" w:rsidP="003C43CB">
          <w:pPr>
            <w:pStyle w:val="Header"/>
            <w:tabs>
              <w:tab w:val="clear" w:pos="794"/>
              <w:tab w:val="clear" w:pos="4820"/>
            </w:tabs>
            <w:spacing w:before="120" w:line="360" w:lineRule="auto"/>
          </w:pPr>
          <w:r>
            <w:rPr>
              <w:b/>
              <w:bCs/>
              <w:noProof/>
              <w:lang w:eastAsia="zh-CN"/>
            </w:rPr>
            <w:drawing>
              <wp:inline distT="0" distB="0" distL="0" distR="0" wp14:anchorId="7D63224C" wp14:editId="5F27B7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3C43CB" w:rsidRDefault="003C43CB" w:rsidP="003C43CB">
          <w:pPr>
            <w:pStyle w:val="Header"/>
            <w:tabs>
              <w:tab w:val="clear" w:pos="794"/>
              <w:tab w:val="clear" w:pos="4820"/>
            </w:tabs>
            <w:spacing w:line="360" w:lineRule="auto"/>
            <w:jc w:val="right"/>
          </w:pPr>
          <w:r w:rsidRPr="00975D6F">
            <w:rPr>
              <w:rFonts w:cs="Arial"/>
              <w:noProof/>
              <w:lang w:eastAsia="zh-CN"/>
            </w:rPr>
            <w:drawing>
              <wp:inline distT="0" distB="0" distL="0" distR="0" wp14:anchorId="11B2716F" wp14:editId="05B6727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13C40" w:rsidRDefault="00E915AF" w:rsidP="00D1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09F3"/>
    <w:rsid w:val="0005167A"/>
    <w:rsid w:val="00054E5D"/>
    <w:rsid w:val="0006346B"/>
    <w:rsid w:val="00070258"/>
    <w:rsid w:val="0007323C"/>
    <w:rsid w:val="00083BC6"/>
    <w:rsid w:val="00086D03"/>
    <w:rsid w:val="000909B8"/>
    <w:rsid w:val="0009767F"/>
    <w:rsid w:val="000A096A"/>
    <w:rsid w:val="000A375E"/>
    <w:rsid w:val="000A7051"/>
    <w:rsid w:val="000B0AF6"/>
    <w:rsid w:val="000B0E9B"/>
    <w:rsid w:val="000B2CAE"/>
    <w:rsid w:val="000C03C7"/>
    <w:rsid w:val="000C2AD0"/>
    <w:rsid w:val="000E3DEE"/>
    <w:rsid w:val="00100B72"/>
    <w:rsid w:val="00101F7D"/>
    <w:rsid w:val="00103C76"/>
    <w:rsid w:val="00110369"/>
    <w:rsid w:val="00111E58"/>
    <w:rsid w:val="0011265F"/>
    <w:rsid w:val="00117282"/>
    <w:rsid w:val="00117389"/>
    <w:rsid w:val="00121C2D"/>
    <w:rsid w:val="001247CB"/>
    <w:rsid w:val="00134404"/>
    <w:rsid w:val="00136B3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764E9"/>
    <w:rsid w:val="00283C3B"/>
    <w:rsid w:val="002861E6"/>
    <w:rsid w:val="00287D18"/>
    <w:rsid w:val="002A2618"/>
    <w:rsid w:val="002A5DD7"/>
    <w:rsid w:val="002B0CAC"/>
    <w:rsid w:val="002B76A6"/>
    <w:rsid w:val="002D1E80"/>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5BD0"/>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4CF3"/>
    <w:rsid w:val="00616FCD"/>
    <w:rsid w:val="0064371D"/>
    <w:rsid w:val="00650B2A"/>
    <w:rsid w:val="00651777"/>
    <w:rsid w:val="006550F8"/>
    <w:rsid w:val="00656226"/>
    <w:rsid w:val="00666666"/>
    <w:rsid w:val="006829F3"/>
    <w:rsid w:val="006A518B"/>
    <w:rsid w:val="006B0590"/>
    <w:rsid w:val="006B49DA"/>
    <w:rsid w:val="006C53F8"/>
    <w:rsid w:val="006C7CDE"/>
    <w:rsid w:val="006D23F6"/>
    <w:rsid w:val="006D4567"/>
    <w:rsid w:val="007234B1"/>
    <w:rsid w:val="00723D08"/>
    <w:rsid w:val="00725FDA"/>
    <w:rsid w:val="00727816"/>
    <w:rsid w:val="00730B9A"/>
    <w:rsid w:val="00750CFA"/>
    <w:rsid w:val="007553DA"/>
    <w:rsid w:val="0077406E"/>
    <w:rsid w:val="00782354"/>
    <w:rsid w:val="007921A7"/>
    <w:rsid w:val="007B3DB1"/>
    <w:rsid w:val="007D183E"/>
    <w:rsid w:val="007D3374"/>
    <w:rsid w:val="007D43D0"/>
    <w:rsid w:val="007E1833"/>
    <w:rsid w:val="007E3F13"/>
    <w:rsid w:val="007F040E"/>
    <w:rsid w:val="007F751A"/>
    <w:rsid w:val="00800012"/>
    <w:rsid w:val="0080261F"/>
    <w:rsid w:val="00806160"/>
    <w:rsid w:val="008143A4"/>
    <w:rsid w:val="0081513E"/>
    <w:rsid w:val="00851FD9"/>
    <w:rsid w:val="00854131"/>
    <w:rsid w:val="00854CF2"/>
    <w:rsid w:val="0085652D"/>
    <w:rsid w:val="0087694B"/>
    <w:rsid w:val="00880F4D"/>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341A9"/>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25BD"/>
    <w:rsid w:val="00A119E6"/>
    <w:rsid w:val="00A20FBC"/>
    <w:rsid w:val="00A31370"/>
    <w:rsid w:val="00A34D6F"/>
    <w:rsid w:val="00A41F91"/>
    <w:rsid w:val="00A45D9A"/>
    <w:rsid w:val="00A51CD6"/>
    <w:rsid w:val="00A63355"/>
    <w:rsid w:val="00A73E33"/>
    <w:rsid w:val="00A7596D"/>
    <w:rsid w:val="00A963DF"/>
    <w:rsid w:val="00AC0C22"/>
    <w:rsid w:val="00AC3896"/>
    <w:rsid w:val="00AD2CF2"/>
    <w:rsid w:val="00AE2D88"/>
    <w:rsid w:val="00AE6F6F"/>
    <w:rsid w:val="00AF3325"/>
    <w:rsid w:val="00AF34D9"/>
    <w:rsid w:val="00AF70DA"/>
    <w:rsid w:val="00B019D3"/>
    <w:rsid w:val="00B13D08"/>
    <w:rsid w:val="00B34CF9"/>
    <w:rsid w:val="00B37559"/>
    <w:rsid w:val="00B4054B"/>
    <w:rsid w:val="00B500FB"/>
    <w:rsid w:val="00B579B0"/>
    <w:rsid w:val="00B57D11"/>
    <w:rsid w:val="00B57F3C"/>
    <w:rsid w:val="00B649D7"/>
    <w:rsid w:val="00B81C2F"/>
    <w:rsid w:val="00B84BF4"/>
    <w:rsid w:val="00B90743"/>
    <w:rsid w:val="00B90C45"/>
    <w:rsid w:val="00B933BE"/>
    <w:rsid w:val="00BB1EA0"/>
    <w:rsid w:val="00BB6B36"/>
    <w:rsid w:val="00BD6738"/>
    <w:rsid w:val="00BD7E5E"/>
    <w:rsid w:val="00BE63DB"/>
    <w:rsid w:val="00BE6574"/>
    <w:rsid w:val="00BF5F50"/>
    <w:rsid w:val="00C07319"/>
    <w:rsid w:val="00C16FD2"/>
    <w:rsid w:val="00C22B7E"/>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ED38DA"/>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2988"/>
    <w:rsid w:val="00FB7A2C"/>
    <w:rsid w:val="00FC2947"/>
    <w:rsid w:val="00FD5EC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RectitleAsianMSMincho">
    <w:name w:val="Rec_title + (Asian) MS Mincho"/>
    <w:basedOn w:val="Rectitle"/>
    <w:rsid w:val="004B5BD0"/>
    <w:rPr>
      <w:rFonts w:eastAsia="MS Mincho"/>
    </w:rPr>
  </w:style>
  <w:style w:type="paragraph" w:customStyle="1" w:styleId="Reasons">
    <w:name w:val="Reasons"/>
    <w:basedOn w:val="Normal"/>
    <w:qFormat/>
    <w:rsid w:val="001103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1-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1-C-0028/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22/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1-C-002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546F-428A-4677-BE56-56CC6962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772</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 T U</cp:lastModifiedBy>
  <cp:revision>8</cp:revision>
  <cp:lastPrinted>2016-06-10T13:05:00Z</cp:lastPrinted>
  <dcterms:created xsi:type="dcterms:W3CDTF">2016-06-10T12:46:00Z</dcterms:created>
  <dcterms:modified xsi:type="dcterms:W3CDTF">2016-06-10T13:06:00Z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