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6403A4">
              <w:rPr>
                <w:b/>
                <w:bCs/>
                <w:szCs w:val="24"/>
                <w:lang w:val="fr-CH"/>
              </w:rPr>
              <w:t>767</w:t>
            </w:r>
          </w:p>
        </w:tc>
        <w:tc>
          <w:tcPr>
            <w:tcW w:w="2835" w:type="dxa"/>
            <w:shd w:val="clear" w:color="auto" w:fill="auto"/>
          </w:tcPr>
          <w:p w:rsidR="00E53DCE" w:rsidRPr="0033029C" w:rsidRDefault="00143423" w:rsidP="00602069">
            <w:pPr>
              <w:spacing w:before="0"/>
              <w:jc w:val="right"/>
              <w:rPr>
                <w:szCs w:val="24"/>
                <w:lang w:val="en-GB"/>
              </w:rPr>
            </w:pPr>
            <w:r>
              <w:rPr>
                <w:bCs/>
                <w:szCs w:val="24"/>
                <w:lang w:val="es-ES"/>
              </w:rPr>
              <w:t>25</w:t>
            </w:r>
            <w:r w:rsidR="00602069" w:rsidRPr="00CB5687">
              <w:rPr>
                <w:bCs/>
                <w:szCs w:val="24"/>
                <w:lang w:val="es-ES"/>
              </w:rPr>
              <w:t xml:space="preserve"> de febrero de 2016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143423" w:rsidTr="00306452">
        <w:trPr>
          <w:jc w:val="center"/>
        </w:trPr>
        <w:tc>
          <w:tcPr>
            <w:tcW w:w="9889" w:type="dxa"/>
            <w:gridSpan w:val="3"/>
            <w:shd w:val="clear" w:color="auto" w:fill="auto"/>
          </w:tcPr>
          <w:p w:rsidR="00E53DCE" w:rsidRPr="0033029C" w:rsidRDefault="00687A6F" w:rsidP="00AF2213">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Comisión de Estudio </w:t>
            </w:r>
            <w:r w:rsidR="00AF2213">
              <w:rPr>
                <w:b/>
                <w:lang w:val="es-ES"/>
              </w:rPr>
              <w:t>6</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14342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4342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43423"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r>
              <w:rPr>
                <w:szCs w:val="24"/>
              </w:rPr>
              <w:t>Asunto</w:t>
            </w:r>
            <w:r w:rsidR="00A96D3A" w:rsidRPr="0033029C">
              <w:rPr>
                <w:szCs w:val="24"/>
              </w:rPr>
              <w:t>:</w:t>
            </w:r>
          </w:p>
        </w:tc>
        <w:tc>
          <w:tcPr>
            <w:tcW w:w="8363" w:type="dxa"/>
            <w:gridSpan w:val="2"/>
            <w:vMerge w:val="restart"/>
            <w:shd w:val="clear" w:color="auto" w:fill="auto"/>
          </w:tcPr>
          <w:p w:rsidR="00463724" w:rsidRDefault="00463724" w:rsidP="006403A4">
            <w:pPr>
              <w:tabs>
                <w:tab w:val="left" w:pos="709"/>
              </w:tabs>
              <w:spacing w:before="0"/>
              <w:ind w:left="709" w:hanging="709"/>
              <w:rPr>
                <w:b/>
                <w:szCs w:val="20"/>
                <w:lang w:val="es-ES_tradnl"/>
              </w:rPr>
            </w:pPr>
            <w:r w:rsidRPr="00463724">
              <w:rPr>
                <w:b/>
                <w:lang w:val="es-ES_tradnl"/>
              </w:rPr>
              <w:t xml:space="preserve">Comisión de Estudio </w:t>
            </w:r>
            <w:r w:rsidR="006403A4">
              <w:rPr>
                <w:b/>
                <w:lang w:val="es-ES_tradnl"/>
              </w:rPr>
              <w:t>6</w:t>
            </w:r>
            <w:r w:rsidRPr="00463724">
              <w:rPr>
                <w:b/>
                <w:lang w:val="es-ES_tradnl"/>
              </w:rPr>
              <w:t xml:space="preserve"> de Radiocomunicaciones (</w:t>
            </w:r>
            <w:r w:rsidR="006403A4" w:rsidRPr="006403A4">
              <w:rPr>
                <w:rFonts w:asciiTheme="minorHAnsi" w:hAnsiTheme="minorHAnsi"/>
                <w:b/>
                <w:bCs/>
                <w:color w:val="000000" w:themeColor="text1"/>
                <w:szCs w:val="24"/>
                <w:lang w:val="es-ES_tradnl"/>
              </w:rPr>
              <w:t>Servicio de radiodifusión</w:t>
            </w:r>
            <w:r w:rsidRPr="00463724">
              <w:rPr>
                <w:b/>
                <w:lang w:val="es-ES_tradnl"/>
              </w:rPr>
              <w:t>)</w:t>
            </w:r>
          </w:p>
          <w:p w:rsidR="00E53DCE" w:rsidRPr="00687A6F" w:rsidRDefault="00687A6F" w:rsidP="006403A4">
            <w:pPr>
              <w:spacing w:before="120"/>
              <w:ind w:left="794" w:hanging="794"/>
              <w:jc w:val="left"/>
              <w:rPr>
                <w:b/>
                <w:bCs/>
                <w:szCs w:val="24"/>
                <w:lang w:val="es-ES_tradnl"/>
              </w:rPr>
            </w:pPr>
            <w:r w:rsidRPr="00B7378A">
              <w:rPr>
                <w:b/>
                <w:bCs/>
                <w:lang w:val="es-ES"/>
              </w:rPr>
              <w:t>–</w:t>
            </w:r>
            <w:r w:rsidRPr="00B7378A">
              <w:rPr>
                <w:b/>
                <w:bCs/>
                <w:lang w:val="es-ES"/>
              </w:rPr>
              <w:tab/>
            </w:r>
            <w:r w:rsidR="00463724" w:rsidRPr="00463724">
              <w:rPr>
                <w:b/>
                <w:bCs/>
                <w:lang w:val="es-ES_tradnl"/>
              </w:rPr>
              <w:t xml:space="preserve">Propuesta de adopción por correspondencia de </w:t>
            </w:r>
            <w:r w:rsidR="006403A4">
              <w:rPr>
                <w:b/>
                <w:bCs/>
                <w:lang w:val="es-ES_tradnl"/>
              </w:rPr>
              <w:t>1</w:t>
            </w:r>
            <w:r w:rsidR="00463724" w:rsidRPr="00463724">
              <w:rPr>
                <w:b/>
                <w:bCs/>
                <w:lang w:val="es-ES_tradnl"/>
              </w:rPr>
              <w:t xml:space="preserve"> proyecto de nueva Recomendación </w:t>
            </w:r>
            <w:r w:rsidR="00815AEB" w:rsidRPr="00815AEB">
              <w:rPr>
                <w:b/>
                <w:bCs/>
                <w:lang w:val="es-ES_tradnl"/>
              </w:rPr>
              <w:t>UIT</w:t>
            </w:r>
            <w:r w:rsidR="00815AEB" w:rsidRPr="00815AEB">
              <w:rPr>
                <w:b/>
                <w:bCs/>
                <w:lang w:val="es-ES_tradnl"/>
              </w:rPr>
              <w:noBreakHyphen/>
              <w:t>R </w:t>
            </w:r>
            <w:r w:rsidR="00463724" w:rsidRPr="00463724">
              <w:rPr>
                <w:b/>
                <w:bCs/>
                <w:lang w:val="es-ES_tradnl"/>
              </w:rPr>
              <w:t xml:space="preserve">y </w:t>
            </w:r>
            <w:r w:rsidR="006403A4">
              <w:rPr>
                <w:b/>
                <w:bCs/>
                <w:lang w:val="es-ES_tradnl"/>
              </w:rPr>
              <w:t>1</w:t>
            </w:r>
            <w:r w:rsidR="00463724" w:rsidRPr="00463724">
              <w:rPr>
                <w:b/>
                <w:bCs/>
                <w:lang w:val="es-ES_tradnl"/>
              </w:rPr>
              <w:t xml:space="preserve"> </w:t>
            </w:r>
            <w:r w:rsidR="00463724" w:rsidRPr="00815AEB">
              <w:rPr>
                <w:b/>
                <w:bCs/>
                <w:lang w:val="es-ES_tradnl"/>
              </w:rPr>
              <w:t>proyecto de Recomendación</w:t>
            </w:r>
            <w:r w:rsidR="00815AEB" w:rsidRPr="00815AEB">
              <w:rPr>
                <w:b/>
                <w:bCs/>
                <w:lang w:val="es-ES_tradnl"/>
              </w:rPr>
              <w:t xml:space="preserve"> UIT</w:t>
            </w:r>
            <w:r w:rsidR="00815AEB" w:rsidRPr="00815AEB">
              <w:rPr>
                <w:b/>
                <w:bCs/>
                <w:lang w:val="es-ES_tradnl"/>
              </w:rPr>
              <w:noBreakHyphen/>
              <w:t>R </w:t>
            </w:r>
            <w:r w:rsidR="00463724" w:rsidRPr="00815AEB">
              <w:rPr>
                <w:b/>
                <w:bCs/>
                <w:lang w:val="es-ES_tradnl"/>
              </w:rPr>
              <w:t>revisada</w:t>
            </w:r>
          </w:p>
        </w:tc>
      </w:tr>
      <w:tr w:rsidR="00E53DCE" w:rsidRPr="00143423"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143423"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143423"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143423"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0E125C" w:rsidRDefault="000E125C" w:rsidP="00034324">
      <w:pPr>
        <w:rPr>
          <w:lang w:val="es-ES_tradnl"/>
        </w:rPr>
      </w:pPr>
    </w:p>
    <w:p w:rsidR="00463724" w:rsidRDefault="00463724" w:rsidP="00815AEB">
      <w:pPr>
        <w:rPr>
          <w:szCs w:val="20"/>
          <w:lang w:val="es-ES_tradnl"/>
        </w:rPr>
      </w:pPr>
      <w:r w:rsidRPr="00463724">
        <w:rPr>
          <w:lang w:val="es-ES_tradnl"/>
        </w:rPr>
        <w:t xml:space="preserve">En la reunión de la Comisión de Estudio </w:t>
      </w:r>
      <w:r w:rsidR="006403A4">
        <w:rPr>
          <w:lang w:val="es-ES_tradnl"/>
        </w:rPr>
        <w:t>6</w:t>
      </w:r>
      <w:r w:rsidRPr="00463724">
        <w:rPr>
          <w:lang w:val="es-ES_tradnl"/>
        </w:rPr>
        <w:t xml:space="preserve"> de</w:t>
      </w:r>
      <w:r w:rsidR="00602069">
        <w:rPr>
          <w:lang w:val="es-ES_tradnl"/>
        </w:rPr>
        <w:t xml:space="preserve"> Radiocomunicaciones celebrada </w:t>
      </w:r>
      <w:r w:rsidRPr="00463724">
        <w:rPr>
          <w:lang w:val="es-ES_tradnl"/>
        </w:rPr>
        <w:t xml:space="preserve">el </w:t>
      </w:r>
      <w:r w:rsidR="00602069">
        <w:rPr>
          <w:bCs/>
          <w:szCs w:val="24"/>
          <w:lang w:val="es-ES"/>
        </w:rPr>
        <w:t>5</w:t>
      </w:r>
      <w:r w:rsidR="00602069" w:rsidRPr="00CB5687">
        <w:rPr>
          <w:bCs/>
          <w:szCs w:val="24"/>
          <w:lang w:val="es-ES"/>
        </w:rPr>
        <w:t xml:space="preserve"> de febrero de 2016</w:t>
      </w:r>
      <w:r w:rsidRPr="00463724">
        <w:rPr>
          <w:lang w:val="es-ES_tradnl"/>
        </w:rPr>
        <w:t xml:space="preserve">, la Comisión de Estudio decidió solicitar la adopción </w:t>
      </w:r>
      <w:r w:rsidR="00602069" w:rsidRPr="00602069">
        <w:rPr>
          <w:lang w:val="es-ES_tradnl"/>
        </w:rPr>
        <w:t xml:space="preserve">de 1 proyecto de nueva Recomendación </w:t>
      </w:r>
      <w:r w:rsidR="00815AEB" w:rsidRPr="00463724">
        <w:rPr>
          <w:lang w:val="es-ES_tradnl"/>
        </w:rPr>
        <w:t>UIT</w:t>
      </w:r>
      <w:r w:rsidR="00815AEB" w:rsidRPr="00463724">
        <w:rPr>
          <w:lang w:val="es-ES_tradnl"/>
        </w:rPr>
        <w:noBreakHyphen/>
        <w:t>R </w:t>
      </w:r>
      <w:r w:rsidR="00815AEB" w:rsidRPr="00602069">
        <w:rPr>
          <w:lang w:val="es-ES_tradnl"/>
        </w:rPr>
        <w:t xml:space="preserve"> </w:t>
      </w:r>
      <w:r w:rsidR="00602069" w:rsidRPr="00602069">
        <w:rPr>
          <w:lang w:val="es-ES_tradnl"/>
        </w:rPr>
        <w:t xml:space="preserve">y 1 proyecto de Recomendación revisada </w:t>
      </w:r>
      <w:r w:rsidRPr="00602069">
        <w:rPr>
          <w:lang w:val="es-ES_tradnl"/>
        </w:rPr>
        <w:t>de co</w:t>
      </w:r>
      <w:r w:rsidRPr="00463724">
        <w:rPr>
          <w:lang w:val="es-ES_tradnl"/>
        </w:rPr>
        <w:t>nformidad con el § A2.6.2.2.3 de la Resolución UIT</w:t>
      </w:r>
      <w:r w:rsidRPr="00463724">
        <w:rPr>
          <w:lang w:val="es-ES_tradnl"/>
        </w:rPr>
        <w:noBreakHyphen/>
        <w:t>R 1</w:t>
      </w:r>
      <w:r w:rsidRPr="00463724">
        <w:rPr>
          <w:lang w:val="es-ES_tradnl"/>
        </w:rPr>
        <w:noBreakHyphen/>
        <w:t>7 (Adopción por una Comisión de Estudio por correspondencia). Los títulos y los</w:t>
      </w:r>
      <w:r w:rsidR="00602069">
        <w:rPr>
          <w:lang w:val="es-ES_tradnl"/>
        </w:rPr>
        <w:t xml:space="preserve"> res</w:t>
      </w:r>
      <w:r w:rsidR="00815AEB">
        <w:rPr>
          <w:lang w:val="es-ES_tradnl"/>
        </w:rPr>
        <w:t>ú</w:t>
      </w:r>
      <w:r w:rsidR="00602069">
        <w:rPr>
          <w:lang w:val="es-ES_tradnl"/>
        </w:rPr>
        <w:t>men</w:t>
      </w:r>
      <w:r w:rsidRPr="00463724">
        <w:rPr>
          <w:lang w:val="es-ES_tradnl"/>
        </w:rPr>
        <w:t>es de los proyectos de Recomendación se facilitan en el Anexo</w:t>
      </w:r>
      <w:r w:rsidR="00AF2213">
        <w:rPr>
          <w:lang w:val="es-ES_tradnl"/>
        </w:rPr>
        <w:t xml:space="preserve"> </w:t>
      </w:r>
      <w:r w:rsidR="00815AEB">
        <w:rPr>
          <w:lang w:val="es-ES_tradnl"/>
        </w:rPr>
        <w:t>a la presente.</w:t>
      </w:r>
    </w:p>
    <w:p w:rsidR="00463724" w:rsidRPr="00463724" w:rsidRDefault="00463724" w:rsidP="00143423">
      <w:pPr>
        <w:rPr>
          <w:lang w:val="es-ES_tradnl"/>
        </w:rPr>
      </w:pPr>
      <w:r w:rsidRPr="00463724">
        <w:rPr>
          <w:lang w:val="es-ES_tradnl"/>
        </w:rPr>
        <w:t xml:space="preserve">El periodo de consideración será de 2 meses hasta el </w:t>
      </w:r>
      <w:r w:rsidR="00143423">
        <w:rPr>
          <w:u w:val="single"/>
          <w:lang w:val="es-ES_tradnl"/>
        </w:rPr>
        <w:t>25</w:t>
      </w:r>
      <w:r w:rsidRPr="00463724">
        <w:rPr>
          <w:u w:val="single"/>
          <w:lang w:val="es-ES_tradnl"/>
        </w:rPr>
        <w:t xml:space="preserve"> </w:t>
      </w:r>
      <w:r w:rsidRPr="00AF2213">
        <w:rPr>
          <w:u w:val="single"/>
          <w:lang w:val="es-ES_tradnl"/>
        </w:rPr>
        <w:t>de</w:t>
      </w:r>
      <w:r w:rsidR="006403A4" w:rsidRPr="00AF2213">
        <w:rPr>
          <w:bCs/>
          <w:szCs w:val="24"/>
          <w:u w:val="single"/>
          <w:lang w:val="es-ES_tradnl"/>
        </w:rPr>
        <w:t xml:space="preserve"> abril</w:t>
      </w:r>
      <w:r w:rsidRPr="00463724">
        <w:rPr>
          <w:u w:val="single"/>
          <w:lang w:val="es-ES_tradnl"/>
        </w:rPr>
        <w:t xml:space="preserve"> 2016</w:t>
      </w:r>
      <w:r w:rsidRPr="00463724">
        <w:rPr>
          <w:lang w:val="es-ES_tradnl"/>
        </w:rPr>
        <w:t>. Si durante este periodo no se reciben objeciones de los Estados Miembros, se iniciará el procedimiento de aprobación por consulta indicado en el § A2.6.2.3 de la Resolución UIT</w:t>
      </w:r>
      <w:r w:rsidRPr="00463724">
        <w:rPr>
          <w:lang w:val="es-ES_tradnl"/>
        </w:rPr>
        <w:noBreakHyphen/>
        <w:t>R 1-7.</w:t>
      </w:r>
    </w:p>
    <w:p w:rsidR="00463724" w:rsidRPr="00463724" w:rsidRDefault="00463724" w:rsidP="005D0724">
      <w:pPr>
        <w:rPr>
          <w:lang w:val="es-ES_tradnl"/>
        </w:rPr>
      </w:pPr>
      <w:r w:rsidRPr="00463724">
        <w:rPr>
          <w:lang w:val="es-ES_tradnl"/>
        </w:rPr>
        <w:t>Todo Estado Miembro que objete la adopción de los proyectos de Recomendación debe informar al Director y al Presidente de la Comisión de Estudio de los motivos de dicha objeción.</w:t>
      </w:r>
    </w:p>
    <w:p w:rsidR="00463724" w:rsidRPr="00815AEB" w:rsidRDefault="00463724" w:rsidP="000E125C">
      <w:pPr>
        <w:keepNext/>
        <w:keepLines/>
        <w:rPr>
          <w:szCs w:val="24"/>
          <w:lang w:val="es-ES_tradnl"/>
        </w:rPr>
      </w:pPr>
      <w:r w:rsidRPr="00463724">
        <w:rPr>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8" w:history="1">
        <w:r w:rsidRPr="00815AEB">
          <w:rPr>
            <w:rStyle w:val="Hyperlink"/>
            <w:rFonts w:eastAsia="SimSun" w:cs="Arial"/>
            <w:color w:val="0563C1"/>
            <w:szCs w:val="24"/>
            <w:lang w:val="es-ES_tradnl" w:eastAsia="zh-CN"/>
          </w:rPr>
          <w:t>http://www.itu.int/en/ITU-T/ipr/Pages/policy.aspx</w:t>
        </w:r>
      </w:hyperlink>
      <w:r w:rsidRPr="00815AEB">
        <w:rPr>
          <w:szCs w:val="24"/>
          <w:lang w:val="es-ES_tradnl"/>
        </w:rPr>
        <w:t>.</w:t>
      </w:r>
    </w:p>
    <w:p w:rsidR="00463724" w:rsidRPr="00463724" w:rsidRDefault="00463724" w:rsidP="000E125C">
      <w:pPr>
        <w:keepNext/>
        <w:keepLines/>
        <w:rPr>
          <w:lang w:val="es-ES_tradnl"/>
        </w:rPr>
      </w:pPr>
    </w:p>
    <w:p w:rsidR="00463724" w:rsidRPr="00463724" w:rsidRDefault="00463724" w:rsidP="000E125C">
      <w:pPr>
        <w:keepNext/>
        <w:keepLines/>
        <w:rPr>
          <w:lang w:val="es-ES_tradnl"/>
        </w:rPr>
      </w:pPr>
    </w:p>
    <w:p w:rsidR="00463724" w:rsidRPr="00463724" w:rsidRDefault="00463724" w:rsidP="000E125C">
      <w:pPr>
        <w:keepNext/>
        <w:keepLines/>
        <w:rPr>
          <w:lang w:val="es-ES_tradnl"/>
        </w:rPr>
      </w:pPr>
    </w:p>
    <w:p w:rsidR="00463724" w:rsidRPr="00463724" w:rsidRDefault="00463724" w:rsidP="000E125C">
      <w:pPr>
        <w:keepNext/>
        <w:keepLines/>
        <w:rPr>
          <w:lang w:val="es-ES_tradnl"/>
        </w:rPr>
      </w:pPr>
    </w:p>
    <w:p w:rsidR="00463724" w:rsidRPr="00463724" w:rsidRDefault="00463724" w:rsidP="000E125C">
      <w:pPr>
        <w:keepNext/>
        <w:keepLines/>
        <w:jc w:val="left"/>
        <w:rPr>
          <w:lang w:val="es-ES_tradnl"/>
        </w:rPr>
      </w:pPr>
      <w:r w:rsidRPr="00463724">
        <w:rPr>
          <w:lang w:val="es-ES_tradnl"/>
        </w:rPr>
        <w:t>François Rancy</w:t>
      </w:r>
      <w:r w:rsidR="00034324">
        <w:rPr>
          <w:lang w:val="es-ES_tradnl"/>
        </w:rPr>
        <w:br/>
      </w:r>
      <w:r w:rsidRPr="00463724">
        <w:rPr>
          <w:lang w:val="es-ES_tradnl"/>
        </w:rPr>
        <w:t>Director</w:t>
      </w:r>
    </w:p>
    <w:p w:rsidR="000E125C" w:rsidRPr="00815AEB" w:rsidRDefault="000E125C" w:rsidP="000E125C">
      <w:pPr>
        <w:keepNext/>
        <w:keepLines/>
        <w:rPr>
          <w:lang w:val="es-ES"/>
        </w:rPr>
      </w:pPr>
    </w:p>
    <w:p w:rsidR="00463724" w:rsidRDefault="00463724" w:rsidP="00815AEB">
      <w:pPr>
        <w:keepNext/>
        <w:keepLines/>
        <w:rPr>
          <w:lang w:val="es-ES"/>
        </w:rPr>
      </w:pPr>
      <w:r>
        <w:rPr>
          <w:b/>
          <w:bCs/>
          <w:lang w:val="es-ES"/>
        </w:rPr>
        <w:t>Anexo:</w:t>
      </w:r>
      <w:r>
        <w:rPr>
          <w:b/>
          <w:bCs/>
          <w:lang w:val="es-ES"/>
        </w:rPr>
        <w:tab/>
      </w:r>
      <w:r w:rsidR="006403A4">
        <w:rPr>
          <w:lang w:val="es-ES"/>
        </w:rPr>
        <w:t>Título</w:t>
      </w:r>
      <w:r>
        <w:rPr>
          <w:lang w:val="es-ES"/>
        </w:rPr>
        <w:t>s</w:t>
      </w:r>
      <w:r w:rsidR="006403A4">
        <w:rPr>
          <w:lang w:val="es-ES"/>
        </w:rPr>
        <w:t xml:space="preserve"> y res</w:t>
      </w:r>
      <w:r w:rsidR="00815AEB">
        <w:rPr>
          <w:lang w:val="es-ES_tradnl"/>
        </w:rPr>
        <w:t>ú</w:t>
      </w:r>
      <w:r w:rsidR="006403A4">
        <w:rPr>
          <w:lang w:val="es-ES"/>
        </w:rPr>
        <w:t>men</w:t>
      </w:r>
      <w:r>
        <w:rPr>
          <w:lang w:val="es-ES"/>
        </w:rPr>
        <w:t>es de los</w:t>
      </w:r>
      <w:r w:rsidR="006403A4">
        <w:rPr>
          <w:lang w:val="es-ES"/>
        </w:rPr>
        <w:t xml:space="preserve"> proyecto</w:t>
      </w:r>
      <w:r>
        <w:rPr>
          <w:lang w:val="es-ES"/>
        </w:rPr>
        <w:t>s de Recomendación</w:t>
      </w:r>
    </w:p>
    <w:p w:rsidR="00463724" w:rsidRDefault="00463724" w:rsidP="006403A4">
      <w:pPr>
        <w:pStyle w:val="enumlev1"/>
        <w:keepNext/>
        <w:keepLines/>
        <w:rPr>
          <w:lang w:val="es-ES_tradnl"/>
        </w:rPr>
      </w:pPr>
      <w:r w:rsidRPr="00463724">
        <w:rPr>
          <w:lang w:val="es-ES_tradnl"/>
        </w:rPr>
        <w:tab/>
      </w:r>
    </w:p>
    <w:p w:rsidR="00463724" w:rsidRPr="005D0724" w:rsidRDefault="00463724" w:rsidP="000E125C">
      <w:pPr>
        <w:keepNext/>
        <w:keepLines/>
        <w:ind w:left="1191" w:hanging="1191"/>
        <w:rPr>
          <w:u w:val="single"/>
          <w:lang w:val="es-ES_tradnl"/>
        </w:rPr>
      </w:pPr>
    </w:p>
    <w:p w:rsidR="00463724" w:rsidRDefault="006403A4" w:rsidP="006403A4">
      <w:pPr>
        <w:rPr>
          <w:lang w:val="es-ES_tradnl"/>
        </w:rPr>
      </w:pPr>
      <w:r>
        <w:rPr>
          <w:b/>
          <w:bCs/>
          <w:lang w:val="es-ES_tradnl"/>
        </w:rPr>
        <w:t>Documento</w:t>
      </w:r>
      <w:r w:rsidR="00463724" w:rsidRPr="00463724">
        <w:rPr>
          <w:b/>
          <w:bCs/>
          <w:lang w:val="es-ES_tradnl"/>
        </w:rPr>
        <w:t xml:space="preserve">s: </w:t>
      </w:r>
      <w:r w:rsidR="00034324">
        <w:rPr>
          <w:lang w:val="es-ES_tradnl"/>
        </w:rPr>
        <w:t>Documento</w:t>
      </w:r>
      <w:r>
        <w:rPr>
          <w:lang w:val="es-ES_tradnl"/>
        </w:rPr>
        <w:t>s</w:t>
      </w:r>
      <w:r w:rsidR="00034324">
        <w:rPr>
          <w:lang w:val="es-ES_tradnl"/>
        </w:rPr>
        <w:t xml:space="preserve"> </w:t>
      </w:r>
      <w:hyperlink r:id="rId9" w:history="1">
        <w:r w:rsidRPr="006403A4">
          <w:rPr>
            <w:rStyle w:val="Hyperlink"/>
            <w:lang w:val="es-ES_tradnl"/>
          </w:rPr>
          <w:t>6/20</w:t>
        </w:r>
      </w:hyperlink>
      <w:r w:rsidRPr="006403A4">
        <w:rPr>
          <w:lang w:val="es-ES_tradnl"/>
        </w:rPr>
        <w:t xml:space="preserve">, </w:t>
      </w:r>
      <w:hyperlink r:id="rId10" w:history="1">
        <w:r w:rsidRPr="006403A4">
          <w:rPr>
            <w:rStyle w:val="Hyperlink"/>
            <w:lang w:val="es-ES_tradnl"/>
          </w:rPr>
          <w:t>6/39(Rev.1)</w:t>
        </w:r>
      </w:hyperlink>
    </w:p>
    <w:p w:rsidR="00463724" w:rsidRPr="00463724" w:rsidRDefault="00463724" w:rsidP="00463724">
      <w:pPr>
        <w:tabs>
          <w:tab w:val="left" w:pos="284"/>
          <w:tab w:val="left" w:pos="568"/>
        </w:tabs>
        <w:spacing w:before="60" w:after="60"/>
        <w:rPr>
          <w:sz w:val="22"/>
          <w:u w:val="single"/>
          <w:lang w:val="es-ES_tradnl"/>
        </w:rPr>
      </w:pPr>
    </w:p>
    <w:p w:rsidR="00463724" w:rsidRPr="00463724" w:rsidRDefault="00463724" w:rsidP="00143423">
      <w:pPr>
        <w:tabs>
          <w:tab w:val="clear" w:pos="1588"/>
          <w:tab w:val="left" w:pos="2552"/>
        </w:tabs>
        <w:jc w:val="left"/>
        <w:rPr>
          <w:lang w:val="es-ES_tradnl"/>
        </w:rPr>
      </w:pPr>
      <w:r w:rsidRPr="00463724">
        <w:rPr>
          <w:lang w:val="es-ES_tradnl"/>
        </w:rPr>
        <w:t xml:space="preserve">Estos documentos están disponibles en formato electrónico en la dirección: </w:t>
      </w:r>
      <w:hyperlink r:id="rId11" w:history="1">
        <w:r w:rsidR="006403A4" w:rsidRPr="006403A4">
          <w:rPr>
            <w:rStyle w:val="Hyperlink"/>
            <w:lang w:val="es-ES_tradnl"/>
          </w:rPr>
          <w:t>http://www.itu.int/md/R15-SG06-C/en</w:t>
        </w:r>
      </w:hyperlink>
    </w:p>
    <w:p w:rsidR="00463724" w:rsidRDefault="00463724" w:rsidP="00463724">
      <w:pPr>
        <w:tabs>
          <w:tab w:val="left" w:pos="284"/>
          <w:tab w:val="left" w:pos="568"/>
        </w:tabs>
        <w:spacing w:before="240" w:after="60"/>
        <w:rPr>
          <w:b/>
          <w:bCs/>
          <w:sz w:val="18"/>
          <w:szCs w:val="18"/>
          <w:lang w:val="es-ES_tradnl"/>
        </w:rPr>
      </w:pPr>
    </w:p>
    <w:p w:rsidR="00034324" w:rsidRPr="00463724" w:rsidRDefault="00034324" w:rsidP="00463724">
      <w:pPr>
        <w:tabs>
          <w:tab w:val="left" w:pos="284"/>
          <w:tab w:val="left" w:pos="568"/>
        </w:tabs>
        <w:spacing w:before="240" w:after="60"/>
        <w:rPr>
          <w:b/>
          <w:bCs/>
          <w:sz w:val="18"/>
          <w:szCs w:val="18"/>
          <w:lang w:val="es-ES_tradnl"/>
        </w:rPr>
      </w:pPr>
    </w:p>
    <w:p w:rsidR="00463724" w:rsidRPr="00463724" w:rsidRDefault="00463724" w:rsidP="00463724">
      <w:pPr>
        <w:tabs>
          <w:tab w:val="left" w:pos="284"/>
          <w:tab w:val="left" w:pos="568"/>
        </w:tabs>
        <w:spacing w:before="240" w:after="60"/>
        <w:rPr>
          <w:b/>
          <w:bCs/>
          <w:sz w:val="18"/>
          <w:szCs w:val="18"/>
          <w:lang w:val="es-ES_tradnl"/>
        </w:rPr>
      </w:pPr>
    </w:p>
    <w:p w:rsidR="00463724" w:rsidRPr="00463724" w:rsidRDefault="00463724" w:rsidP="00463724">
      <w:pPr>
        <w:tabs>
          <w:tab w:val="left" w:pos="284"/>
          <w:tab w:val="left" w:pos="568"/>
        </w:tabs>
        <w:spacing w:before="240" w:after="60"/>
        <w:rPr>
          <w:b/>
          <w:bCs/>
          <w:sz w:val="18"/>
          <w:szCs w:val="18"/>
          <w:lang w:val="es-ES_tradnl"/>
        </w:rPr>
      </w:pPr>
    </w:p>
    <w:p w:rsidR="00463724" w:rsidRPr="00463724" w:rsidRDefault="00463724" w:rsidP="00143423">
      <w:pPr>
        <w:tabs>
          <w:tab w:val="left" w:pos="284"/>
          <w:tab w:val="left" w:pos="568"/>
        </w:tabs>
        <w:spacing w:before="1200" w:after="60"/>
        <w:rPr>
          <w:b/>
          <w:bCs/>
          <w:sz w:val="18"/>
          <w:szCs w:val="18"/>
          <w:lang w:val="es-ES_tradnl"/>
        </w:rPr>
      </w:pPr>
    </w:p>
    <w:p w:rsidR="00034324" w:rsidRDefault="00034324" w:rsidP="00143423">
      <w:pPr>
        <w:spacing w:before="100" w:beforeAutospacing="1"/>
        <w:rPr>
          <w:b/>
          <w:bCs/>
          <w:sz w:val="18"/>
          <w:szCs w:val="18"/>
          <w:lang w:val="es-ES"/>
        </w:rPr>
      </w:pPr>
      <w:r>
        <w:rPr>
          <w:b/>
          <w:bCs/>
          <w:sz w:val="18"/>
          <w:szCs w:val="18"/>
          <w:lang w:val="es-ES"/>
        </w:rPr>
        <w:t>Distribución:</w:t>
      </w:r>
    </w:p>
    <w:p w:rsidR="00034324" w:rsidRDefault="00034324" w:rsidP="006403A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 xml:space="preserve">Administraciones de los Estados Miembros de la UIT y Miembros del Sector de Radiocomunicaciones que participan en los trabajos de la Comisión de Estudio </w:t>
      </w:r>
      <w:r w:rsidR="006403A4">
        <w:rPr>
          <w:sz w:val="18"/>
          <w:szCs w:val="18"/>
          <w:lang w:val="es-ES"/>
        </w:rPr>
        <w:t>6</w:t>
      </w:r>
      <w:r>
        <w:rPr>
          <w:sz w:val="18"/>
          <w:szCs w:val="18"/>
          <w:lang w:val="es-ES"/>
        </w:rPr>
        <w:t xml:space="preserve"> de </w:t>
      </w:r>
      <w:r>
        <w:rPr>
          <w:bCs/>
          <w:sz w:val="18"/>
          <w:szCs w:val="18"/>
          <w:lang w:val="es-ES"/>
        </w:rPr>
        <w:t>Radiocomunicaciones</w:t>
      </w:r>
    </w:p>
    <w:p w:rsidR="00034324" w:rsidRDefault="00034324" w:rsidP="006403A4">
      <w:pPr>
        <w:tabs>
          <w:tab w:val="left" w:pos="284"/>
        </w:tabs>
        <w:spacing w:before="0" w:line="240" w:lineRule="auto"/>
        <w:ind w:left="284" w:right="-284" w:hanging="284"/>
        <w:rPr>
          <w:bCs/>
          <w:sz w:val="18"/>
          <w:szCs w:val="18"/>
          <w:lang w:val="es-ES"/>
        </w:rPr>
      </w:pPr>
      <w:r>
        <w:rPr>
          <w:sz w:val="18"/>
          <w:szCs w:val="18"/>
          <w:lang w:val="es-ES"/>
        </w:rPr>
        <w:t>–</w:t>
      </w:r>
      <w:r>
        <w:rPr>
          <w:sz w:val="18"/>
          <w:szCs w:val="18"/>
          <w:lang w:val="es-ES"/>
        </w:rPr>
        <w:tab/>
        <w:t xml:space="preserve">Asociados del UIT-R que participan en los trabajos de la Comisión de Estudio </w:t>
      </w:r>
      <w:r w:rsidR="006403A4">
        <w:rPr>
          <w:sz w:val="18"/>
          <w:szCs w:val="18"/>
          <w:lang w:val="es-ES"/>
        </w:rPr>
        <w:t>6</w:t>
      </w:r>
      <w:r>
        <w:rPr>
          <w:sz w:val="18"/>
          <w:szCs w:val="18"/>
          <w:lang w:val="es-ES"/>
        </w:rPr>
        <w:t xml:space="preserve"> de </w:t>
      </w:r>
      <w:r>
        <w:rPr>
          <w:bCs/>
          <w:sz w:val="18"/>
          <w:szCs w:val="18"/>
          <w:lang w:val="es-ES"/>
        </w:rPr>
        <w:t>Radiocomunicaciones</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r>
      <w:r>
        <w:rPr>
          <w:bCs/>
          <w:sz w:val="18"/>
          <w:szCs w:val="18"/>
          <w:lang w:val="es-ES"/>
        </w:rPr>
        <w:t>Instituciones Académicas de la UIT</w:t>
      </w:r>
    </w:p>
    <w:p w:rsidR="00034324" w:rsidRDefault="00034324" w:rsidP="00854379">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r>
      <w:r w:rsidR="00854379" w:rsidRPr="00384350">
        <w:rPr>
          <w:sz w:val="18"/>
          <w:szCs w:val="18"/>
          <w:lang w:val="es-ES_tradnl"/>
        </w:rPr>
        <w:t>Presidentes y Vicepresidentes de las Comisiones de Estudio de Radiocomunicaciones</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Presidente y Vicepresidentes de la Reunión Preparatoria de la Conferencia</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Miembros de la Junta del Reglamento de Radiocomunicaciones</w:t>
      </w:r>
    </w:p>
    <w:p w:rsidR="00143423"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Secretario General de la UIT, Director de la Oficina de Normalización de las Telecomunicaciones, Director de la Oficina de Desarrollo de Telecomunicaciones</w:t>
      </w:r>
    </w:p>
    <w:p w:rsidR="00034324" w:rsidRDefault="00034324" w:rsidP="00034324">
      <w:pPr>
        <w:tabs>
          <w:tab w:val="left" w:pos="284"/>
        </w:tabs>
        <w:spacing w:before="0" w:line="240" w:lineRule="auto"/>
        <w:ind w:left="284" w:right="-284" w:hanging="284"/>
        <w:rPr>
          <w:rFonts w:ascii="Times New Roman" w:hAnsi="Times New Roman" w:cs="Times New Roman"/>
          <w:b/>
          <w:sz w:val="28"/>
          <w:szCs w:val="20"/>
          <w:lang w:val="es-ES_tradnl"/>
        </w:rPr>
      </w:pPr>
      <w:bookmarkStart w:id="0" w:name="_GoBack"/>
      <w:bookmarkEnd w:id="0"/>
      <w:r w:rsidRPr="00034324">
        <w:rPr>
          <w:lang w:val="es-ES_tradnl"/>
        </w:rPr>
        <w:br w:type="page"/>
      </w:r>
    </w:p>
    <w:p w:rsidR="00AB1839" w:rsidRPr="00EF65CB" w:rsidRDefault="00AB1839" w:rsidP="00AB1839">
      <w:pPr>
        <w:pStyle w:val="A"/>
      </w:pPr>
      <w:r w:rsidRPr="00EF65CB">
        <w:lastRenderedPageBreak/>
        <w:t xml:space="preserve">Anexo </w:t>
      </w:r>
      <w:r w:rsidRPr="00EF65CB">
        <w:br/>
      </w:r>
      <w:r w:rsidRPr="00EF65CB">
        <w:br/>
        <w:t>Títulos y resúmenes de los proyectos de Recomendación</w:t>
      </w:r>
    </w:p>
    <w:p w:rsidR="00AB1839" w:rsidRPr="00AB1839" w:rsidRDefault="00AB1839" w:rsidP="00AB1839">
      <w:pPr>
        <w:rPr>
          <w:rFonts w:asciiTheme="minorHAnsi" w:hAnsiTheme="minorHAnsi" w:cstheme="minorHAnsi"/>
          <w:lang w:val="es-ES_tradnl"/>
        </w:rPr>
      </w:pPr>
    </w:p>
    <w:p w:rsidR="00AB1839" w:rsidRPr="00AB1839" w:rsidRDefault="00AB1839" w:rsidP="00AB1839">
      <w:pPr>
        <w:tabs>
          <w:tab w:val="left" w:pos="6946"/>
          <w:tab w:val="right" w:pos="9639"/>
        </w:tabs>
        <w:rPr>
          <w:rFonts w:asciiTheme="minorHAnsi" w:eastAsia="SimSun" w:hAnsiTheme="minorHAnsi" w:cstheme="minorHAnsi"/>
          <w:szCs w:val="24"/>
          <w:lang w:val="es-ES_tradnl"/>
        </w:rPr>
      </w:pPr>
      <w:r w:rsidRPr="00AB1839">
        <w:rPr>
          <w:rFonts w:asciiTheme="minorHAnsi" w:eastAsia="SimSun" w:hAnsiTheme="minorHAnsi" w:cstheme="minorHAnsi"/>
          <w:szCs w:val="24"/>
          <w:u w:val="single"/>
          <w:lang w:val="es-ES_tradnl"/>
        </w:rPr>
        <w:t>Proyecto de nueva Recomendación UIT-R BT.[HDR-TV]</w:t>
      </w:r>
      <w:r w:rsidRPr="00AB1839">
        <w:rPr>
          <w:rFonts w:asciiTheme="minorHAnsi" w:eastAsia="SimSun" w:hAnsiTheme="minorHAnsi" w:cstheme="minorHAnsi"/>
          <w:szCs w:val="24"/>
          <w:lang w:val="es-ES_tradnl"/>
        </w:rPr>
        <w:t xml:space="preserve"> </w:t>
      </w:r>
      <w:r w:rsidRPr="00AB1839">
        <w:rPr>
          <w:rFonts w:asciiTheme="minorHAnsi" w:eastAsia="SimSun" w:hAnsiTheme="minorHAnsi" w:cstheme="minorHAnsi"/>
          <w:szCs w:val="24"/>
          <w:lang w:val="es-ES_tradnl"/>
        </w:rPr>
        <w:tab/>
      </w:r>
      <w:r w:rsidRPr="00AB1839">
        <w:rPr>
          <w:rFonts w:asciiTheme="minorHAnsi" w:eastAsia="SimSun" w:hAnsiTheme="minorHAnsi" w:cstheme="minorHAnsi"/>
          <w:szCs w:val="24"/>
          <w:lang w:val="es-ES_tradnl"/>
        </w:rPr>
        <w:tab/>
        <w:t>Doc. 6/</w:t>
      </w:r>
      <w:r w:rsidRPr="00AB1839">
        <w:rPr>
          <w:rFonts w:eastAsia="SimSun" w:cstheme="minorHAnsi"/>
          <w:szCs w:val="24"/>
          <w:lang w:val="es-ES_tradnl"/>
        </w:rPr>
        <w:t>39</w:t>
      </w:r>
      <w:r w:rsidRPr="00AB1839">
        <w:rPr>
          <w:rFonts w:asciiTheme="minorHAnsi" w:eastAsia="SimSun" w:hAnsiTheme="minorHAnsi" w:cstheme="minorHAnsi"/>
          <w:szCs w:val="24"/>
          <w:lang w:val="es-ES_tradnl"/>
        </w:rPr>
        <w:t>(Rev.1)</w:t>
      </w:r>
    </w:p>
    <w:p w:rsidR="00AB1839" w:rsidRPr="00AB1839" w:rsidRDefault="00AB1839" w:rsidP="00AB1839">
      <w:pPr>
        <w:pStyle w:val="Rectitle"/>
        <w:rPr>
          <w:rFonts w:eastAsia="MS Mincho"/>
          <w:lang w:val="es-ES_tradnl"/>
        </w:rPr>
      </w:pPr>
      <w:r w:rsidRPr="00AB1839">
        <w:rPr>
          <w:rFonts w:eastAsia="MS Mincho"/>
          <w:lang w:val="es-ES_tradnl"/>
        </w:rPr>
        <w:t xml:space="preserve">Valores de los parámetros de imagen de los sistemas de televisión </w:t>
      </w:r>
      <w:r w:rsidRPr="00AB1839">
        <w:rPr>
          <w:rFonts w:eastAsia="MS Mincho"/>
          <w:lang w:val="es-ES_tradnl"/>
        </w:rPr>
        <w:br/>
        <w:t xml:space="preserve">de elevada gama dinámica para la producción y el </w:t>
      </w:r>
      <w:r w:rsidRPr="00AB1839">
        <w:rPr>
          <w:rFonts w:eastAsia="MS Mincho"/>
          <w:lang w:val="es-ES_tradnl"/>
        </w:rPr>
        <w:br/>
        <w:t>intercambio internacional de programas</w:t>
      </w:r>
    </w:p>
    <w:p w:rsidR="00AB1839" w:rsidRPr="00AB1839" w:rsidRDefault="00AB1839" w:rsidP="00AB1839">
      <w:pPr>
        <w:spacing w:before="240"/>
        <w:rPr>
          <w:rFonts w:eastAsia="SimSun"/>
          <w:szCs w:val="24"/>
          <w:lang w:val="es-ES_tradnl"/>
        </w:rPr>
      </w:pPr>
      <w:r w:rsidRPr="00AB1839">
        <w:rPr>
          <w:rFonts w:eastAsia="SimSun"/>
          <w:szCs w:val="24"/>
          <w:lang w:val="es-ES_tradnl"/>
        </w:rPr>
        <w:t>En esta Recomendación se documentan dos métodos de representación de las señales HDR-TV para su uso en la radiodifusión. La especificación de cuantización perceptiva (Perceptual Quantization (PQ)) obtiene una gama muy amplia de niveles de brillo para una profundidad de bit determinada utilizando una función de transferencia no lineal con ajuste fino para adaptarse a la visión humana. La especificación híbrida Log-Gamma (HLG) ofrece un grado de compatibilidad con las pantallas tradicionales al ajustarse más estrechamente a las curvas de transferencia de televisión establecidas anteriormente.</w:t>
      </w:r>
    </w:p>
    <w:p w:rsidR="00AB1839" w:rsidRDefault="00AB1839" w:rsidP="00AB1839">
      <w:pPr>
        <w:rPr>
          <w:rFonts w:asciiTheme="minorHAnsi" w:eastAsia="SimSun" w:hAnsiTheme="minorHAnsi" w:cstheme="minorHAnsi"/>
          <w:szCs w:val="24"/>
          <w:lang w:val="es-ES_tradnl"/>
        </w:rPr>
      </w:pPr>
      <w:r w:rsidRPr="00AB1839">
        <w:rPr>
          <w:rFonts w:asciiTheme="minorHAnsi" w:eastAsia="SimSun" w:hAnsiTheme="minorHAnsi" w:cstheme="minorHAnsi"/>
          <w:szCs w:val="24"/>
          <w:lang w:val="es-ES_tradnl"/>
        </w:rPr>
        <w:t>El proyecto de nueva Recomendación trata de lograr la mayor uniformidad posible entre los formatos de señal de los dos métodos, al tiempo que ofrece libertad a los productores para adoptar el enfoque que mejor se adapte a sus circunstancias y requisitos particulares. Se describe la conversión entre los dos formatos de señal.</w:t>
      </w:r>
    </w:p>
    <w:p w:rsidR="00AB1839" w:rsidRPr="00AB1839" w:rsidRDefault="00AB1839" w:rsidP="00AB1839">
      <w:pPr>
        <w:rPr>
          <w:rFonts w:asciiTheme="minorHAnsi" w:eastAsia="SimSun" w:hAnsiTheme="minorHAnsi" w:cstheme="minorHAnsi"/>
          <w:bCs/>
          <w:szCs w:val="24"/>
          <w:lang w:val="es-ES_tradnl"/>
        </w:rPr>
      </w:pPr>
    </w:p>
    <w:p w:rsidR="00AB1839" w:rsidRPr="00AB1839" w:rsidRDefault="00AB1839" w:rsidP="00AB1839">
      <w:pPr>
        <w:tabs>
          <w:tab w:val="left" w:pos="6946"/>
          <w:tab w:val="right" w:pos="9639"/>
        </w:tabs>
        <w:spacing w:before="240"/>
        <w:rPr>
          <w:rFonts w:asciiTheme="minorHAnsi" w:eastAsia="SimSun" w:hAnsiTheme="minorHAnsi" w:cstheme="minorHAnsi"/>
          <w:szCs w:val="24"/>
          <w:lang w:val="es-ES_tradnl"/>
        </w:rPr>
      </w:pPr>
      <w:r w:rsidRPr="00AB1839">
        <w:rPr>
          <w:rFonts w:asciiTheme="minorHAnsi" w:eastAsia="SimSun" w:hAnsiTheme="minorHAnsi" w:cstheme="minorHAnsi"/>
          <w:szCs w:val="24"/>
          <w:u w:val="single"/>
          <w:lang w:val="es-ES_tradnl"/>
        </w:rPr>
        <w:t>Proyecto de revisión de la Recomendación UIT-R BT.2036-0</w:t>
      </w:r>
      <w:r w:rsidRPr="00AB1839">
        <w:rPr>
          <w:rFonts w:asciiTheme="minorHAnsi" w:eastAsia="SimSun" w:hAnsiTheme="minorHAnsi" w:cstheme="minorHAnsi"/>
          <w:szCs w:val="24"/>
          <w:lang w:val="es-ES_tradnl"/>
        </w:rPr>
        <w:tab/>
      </w:r>
      <w:r w:rsidRPr="00AB1839">
        <w:rPr>
          <w:rFonts w:asciiTheme="minorHAnsi" w:eastAsia="SimSun" w:hAnsiTheme="minorHAnsi" w:cstheme="minorHAnsi"/>
          <w:szCs w:val="24"/>
          <w:lang w:val="es-ES_tradnl"/>
        </w:rPr>
        <w:tab/>
        <w:t>Doc. 6/20</w:t>
      </w:r>
    </w:p>
    <w:p w:rsidR="00AB1839" w:rsidRPr="00AB1839" w:rsidRDefault="00AB1839" w:rsidP="00AB1839">
      <w:pPr>
        <w:pStyle w:val="Rectitle"/>
        <w:rPr>
          <w:rFonts w:eastAsia="MS Mincho"/>
          <w:lang w:val="es-ES_tradnl"/>
        </w:rPr>
      </w:pPr>
      <w:r w:rsidRPr="00AB1839">
        <w:rPr>
          <w:rFonts w:eastAsia="MS Mincho"/>
          <w:lang w:val="es-ES_tradnl"/>
        </w:rPr>
        <w:t>Características de un sistema receptor de referencia para la planificación de frecuencias de sistemas de televisión digital terrenal</w:t>
      </w:r>
    </w:p>
    <w:p w:rsidR="00AB1839" w:rsidRPr="00AB1839" w:rsidRDefault="00AB1839" w:rsidP="00AB1839">
      <w:pPr>
        <w:tabs>
          <w:tab w:val="left" w:pos="8080"/>
        </w:tabs>
        <w:spacing w:before="240"/>
        <w:rPr>
          <w:rFonts w:asciiTheme="minorHAnsi" w:eastAsia="SimSun" w:hAnsiTheme="minorHAnsi" w:cstheme="minorHAnsi"/>
          <w:szCs w:val="24"/>
          <w:lang w:val="es-ES_tradnl"/>
        </w:rPr>
      </w:pPr>
      <w:r w:rsidRPr="00AB1839">
        <w:rPr>
          <w:rFonts w:asciiTheme="minorHAnsi" w:eastAsia="SimSun" w:hAnsiTheme="minorHAnsi" w:cstheme="minorHAnsi"/>
          <w:szCs w:val="24"/>
          <w:lang w:val="es-ES_tradnl"/>
        </w:rPr>
        <w:t>En esta revisión del Anexo 2 de la Recomendación UIT-R BT.2036 se propone añadir características de los umbrales de selectividad del canal adyacente en el sistema receptor ATSC respecto de la presencia de interferentes en múltiples canales adyacentes.</w:t>
      </w:r>
    </w:p>
    <w:p w:rsidR="000E125C" w:rsidRPr="002B5AAF" w:rsidRDefault="000E125C">
      <w:pPr>
        <w:jc w:val="center"/>
        <w:rPr>
          <w:lang w:val="es-ES_tradnl"/>
        </w:rPr>
      </w:pPr>
    </w:p>
    <w:p w:rsidR="000E125C" w:rsidRPr="002B5AAF" w:rsidRDefault="000E125C">
      <w:pPr>
        <w:jc w:val="center"/>
        <w:rPr>
          <w:lang w:val="es-ES_tradnl"/>
        </w:rPr>
      </w:pPr>
    </w:p>
    <w:p w:rsidR="000E125C" w:rsidRDefault="000E125C">
      <w:pPr>
        <w:jc w:val="center"/>
      </w:pPr>
      <w:r>
        <w:t>______________</w:t>
      </w:r>
    </w:p>
    <w:p w:rsidR="000E125C" w:rsidRDefault="000E125C" w:rsidP="000E125C">
      <w:pPr>
        <w:pStyle w:val="Normalaftertitle"/>
        <w:rPr>
          <w:lang w:val="es-ES_tradnl"/>
        </w:rPr>
      </w:pPr>
    </w:p>
    <w:p w:rsidR="000E125C" w:rsidRPr="000E125C" w:rsidRDefault="000E125C" w:rsidP="000E125C">
      <w:pPr>
        <w:rPr>
          <w:lang w:val="es-ES_tradnl"/>
        </w:rPr>
      </w:pPr>
    </w:p>
    <w:sectPr w:rsidR="000E125C" w:rsidRPr="000E125C"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687A6F">
      <w:rPr>
        <w:color w:val="3E8EDE"/>
        <w:sz w:val="18"/>
        <w:szCs w:val="18"/>
        <w:lang w:val="es-ES_tradnl"/>
      </w:rPr>
      <w:t>Unión Internacional</w:t>
    </w:r>
    <w:r w:rsidRPr="00345938">
      <w:rPr>
        <w:sz w:val="18"/>
        <w:szCs w:val="18"/>
        <w:lang w:val="es-ES_tradnl"/>
      </w:rPr>
      <w:t xml:space="preserve"> </w:t>
    </w:r>
    <w:r w:rsidRPr="00687A6F">
      <w:rPr>
        <w:color w:val="3E8EDE"/>
        <w:sz w:val="18"/>
        <w:szCs w:val="18"/>
        <w:lang w:val="es-ES_tradnl"/>
      </w:rPr>
      <w:t>de Telecomunicaciones • Place des Nations • CH</w:t>
    </w:r>
    <w:r w:rsidRPr="00687A6F">
      <w:rPr>
        <w:color w:val="3E8EDE"/>
        <w:sz w:val="18"/>
        <w:szCs w:val="18"/>
        <w:lang w:val="es-ES_tradnl"/>
      </w:rPr>
      <w:noBreakHyphen/>
      <w:t>1211 Ginebra 20 • Suiza</w:t>
    </w:r>
    <w:r w:rsidRPr="00687A6F">
      <w:rPr>
        <w:color w:val="3E8EDE"/>
        <w:sz w:val="18"/>
        <w:szCs w:val="18"/>
        <w:lang w:val="es-ES_tradnl"/>
      </w:rPr>
      <w:br/>
      <w:t xml:space="preserve">Tel: +41 22 730 5111 • Fax: +41 22 733 7256 • </w:t>
    </w:r>
    <w:r w:rsidR="000D3F3B" w:rsidRPr="00687A6F">
      <w:rPr>
        <w:color w:val="3E8EDE"/>
        <w:sz w:val="18"/>
        <w:szCs w:val="18"/>
        <w:lang w:val="es-ES_tradnl"/>
      </w:rPr>
      <w:br/>
    </w:r>
    <w:r w:rsidRPr="00687A6F">
      <w:rPr>
        <w:color w:val="3E8EDE"/>
        <w:sz w:val="18"/>
        <w:szCs w:val="18"/>
        <w:lang w:val="es-ES_tradnl"/>
      </w:rPr>
      <w:t>Correo-e:</w:t>
    </w:r>
    <w:r w:rsidRPr="00345938">
      <w:rPr>
        <w:sz w:val="18"/>
        <w:szCs w:val="18"/>
        <w:lang w:val="es-ES_tradnl"/>
      </w:rPr>
      <w:t xml:space="preserve"> </w:t>
    </w:r>
    <w:hyperlink r:id="rId1" w:history="1">
      <w:r w:rsidR="000D3F3B" w:rsidRPr="00687A6F">
        <w:rPr>
          <w:rStyle w:val="Hyperlink"/>
          <w:color w:val="3E8EDE"/>
          <w:sz w:val="18"/>
          <w:szCs w:val="18"/>
          <w:lang w:val="es-ES_tradnl"/>
        </w:rPr>
        <w:t>itumail@itu.int</w:t>
      </w:r>
    </w:hyperlink>
    <w:r w:rsidR="000D3F3B" w:rsidRPr="00687A6F">
      <w:rPr>
        <w:color w:val="3E8EDE"/>
        <w:sz w:val="18"/>
        <w:szCs w:val="18"/>
        <w:lang w:val="es-ES_tradnl"/>
      </w:rPr>
      <w:t xml:space="preserve"> • </w:t>
    </w:r>
    <w:hyperlink r:id="rId2" w:history="1">
      <w:r w:rsidR="000D3F3B" w:rsidRPr="00687A6F">
        <w:rPr>
          <w:rStyle w:val="Hyperlink"/>
          <w:color w:val="3E8EDE"/>
          <w:sz w:val="18"/>
          <w:szCs w:val="18"/>
          <w:lang w:val="es-ES_tradnl"/>
        </w:rPr>
        <w:t>www.itu.int</w:t>
      </w:r>
    </w:hyperlink>
    <w:r w:rsidR="000D3F3B" w:rsidRPr="00687A6F">
      <w:rPr>
        <w:color w:val="3E8EDE"/>
        <w:sz w:val="18"/>
        <w:szCs w:val="18"/>
        <w:lang w:val="es-ES_tradnl"/>
      </w:rPr>
      <w:t xml:space="preserve"> • </w:t>
    </w:r>
    <w:hyperlink r:id="rId3" w:history="1">
      <w:r w:rsidR="000D3F3B" w:rsidRPr="00687A6F">
        <w:rPr>
          <w:rStyle w:val="Hyperlink"/>
          <w:color w:val="3E8EDE"/>
          <w:sz w:val="18"/>
          <w:szCs w:val="18"/>
          <w:lang w:val="es-ES_tradnl"/>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143423">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00CD5" w:rsidRDefault="00E915AF" w:rsidP="00034324">
    <w:pPr>
      <w:pStyle w:val="Header"/>
      <w:rPr>
        <w:iCs/>
        <w:sz w:val="18"/>
        <w:szCs w:val="18"/>
      </w:rPr>
    </w:pPr>
    <w:r>
      <w:tab/>
    </w:r>
    <w:r>
      <w:tab/>
    </w:r>
    <w:r w:rsidR="00034324">
      <w:rPr>
        <w:sz w:val="18"/>
        <w:szCs w:val="16"/>
      </w:rPr>
      <w:t xml:space="preserve">- </w:t>
    </w:r>
    <w:r w:rsidR="00034324" w:rsidRPr="00D239B4">
      <w:rPr>
        <w:rStyle w:val="PageNumber"/>
        <w:sz w:val="18"/>
        <w:szCs w:val="16"/>
      </w:rPr>
      <w:fldChar w:fldCharType="begin"/>
    </w:r>
    <w:r w:rsidR="00034324" w:rsidRPr="00D239B4">
      <w:rPr>
        <w:rStyle w:val="PageNumber"/>
        <w:sz w:val="18"/>
        <w:szCs w:val="16"/>
      </w:rPr>
      <w:instrText xml:space="preserve"> PAGE </w:instrText>
    </w:r>
    <w:r w:rsidR="00034324" w:rsidRPr="00D239B4">
      <w:rPr>
        <w:rStyle w:val="PageNumber"/>
        <w:sz w:val="18"/>
        <w:szCs w:val="16"/>
      </w:rPr>
      <w:fldChar w:fldCharType="separate"/>
    </w:r>
    <w:r w:rsidR="00143423">
      <w:rPr>
        <w:rStyle w:val="PageNumber"/>
        <w:noProof/>
        <w:sz w:val="18"/>
        <w:szCs w:val="16"/>
      </w:rPr>
      <w:t>3</w:t>
    </w:r>
    <w:r w:rsidR="00034324" w:rsidRPr="00D239B4">
      <w:rPr>
        <w:rStyle w:val="PageNumber"/>
        <w:sz w:val="18"/>
        <w:szCs w:val="16"/>
      </w:rPr>
      <w:fldChar w:fldCharType="end"/>
    </w:r>
    <w:r w:rsidR="00034324">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2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125C"/>
    <w:rsid w:val="000E3DEE"/>
    <w:rsid w:val="000E4BCD"/>
    <w:rsid w:val="00100B72"/>
    <w:rsid w:val="00101F7D"/>
    <w:rsid w:val="00103C76"/>
    <w:rsid w:val="0011265F"/>
    <w:rsid w:val="00117282"/>
    <w:rsid w:val="00117389"/>
    <w:rsid w:val="00121C2D"/>
    <w:rsid w:val="00134404"/>
    <w:rsid w:val="00143423"/>
    <w:rsid w:val="00144DFB"/>
    <w:rsid w:val="00161B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B5AAF"/>
    <w:rsid w:val="002C2E00"/>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66F66"/>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63724"/>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5147"/>
    <w:rsid w:val="005638CF"/>
    <w:rsid w:val="0056741E"/>
    <w:rsid w:val="0057325A"/>
    <w:rsid w:val="0057469A"/>
    <w:rsid w:val="00580814"/>
    <w:rsid w:val="00583A0B"/>
    <w:rsid w:val="005A03A3"/>
    <w:rsid w:val="005A2B92"/>
    <w:rsid w:val="005A3F66"/>
    <w:rsid w:val="005A79E9"/>
    <w:rsid w:val="005B214C"/>
    <w:rsid w:val="005B4CDA"/>
    <w:rsid w:val="005D0724"/>
    <w:rsid w:val="005D3669"/>
    <w:rsid w:val="005E5EB3"/>
    <w:rsid w:val="005F3CB6"/>
    <w:rsid w:val="005F657C"/>
    <w:rsid w:val="00600CD5"/>
    <w:rsid w:val="00602069"/>
    <w:rsid w:val="00602D53"/>
    <w:rsid w:val="006047E5"/>
    <w:rsid w:val="006403A4"/>
    <w:rsid w:val="0064371D"/>
    <w:rsid w:val="00650543"/>
    <w:rsid w:val="00650B2A"/>
    <w:rsid w:val="00651777"/>
    <w:rsid w:val="006550F8"/>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B3DB1"/>
    <w:rsid w:val="007C7AF3"/>
    <w:rsid w:val="007D183E"/>
    <w:rsid w:val="007D43D0"/>
    <w:rsid w:val="007E1833"/>
    <w:rsid w:val="007E3F13"/>
    <w:rsid w:val="007F751A"/>
    <w:rsid w:val="00800012"/>
    <w:rsid w:val="0080261F"/>
    <w:rsid w:val="00805A02"/>
    <w:rsid w:val="00806160"/>
    <w:rsid w:val="008143A4"/>
    <w:rsid w:val="0081513E"/>
    <w:rsid w:val="00815AEB"/>
    <w:rsid w:val="00854131"/>
    <w:rsid w:val="00854379"/>
    <w:rsid w:val="0085652D"/>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B1839"/>
    <w:rsid w:val="00AC0C22"/>
    <w:rsid w:val="00AC3896"/>
    <w:rsid w:val="00AD2CF2"/>
    <w:rsid w:val="00AE2D88"/>
    <w:rsid w:val="00AE6F6F"/>
    <w:rsid w:val="00AF2213"/>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003"/>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
    <w:name w:val="A"/>
    <w:basedOn w:val="Normal"/>
    <w:rsid w:val="00AB1839"/>
    <w:pPr>
      <w:keepNext/>
      <w:keepLines/>
      <w:spacing w:before="480" w:line="240" w:lineRule="auto"/>
      <w:jc w:val="center"/>
    </w:pPr>
    <w:rPr>
      <w:rFonts w:cstheme="minorHAnsi"/>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2870">
      <w:bodyDiv w:val="1"/>
      <w:marLeft w:val="0"/>
      <w:marRight w:val="0"/>
      <w:marTop w:val="0"/>
      <w:marBottom w:val="0"/>
      <w:divBdr>
        <w:top w:val="none" w:sz="0" w:space="0" w:color="auto"/>
        <w:left w:val="none" w:sz="0" w:space="0" w:color="auto"/>
        <w:bottom w:val="none" w:sz="0" w:space="0" w:color="auto"/>
        <w:right w:val="none" w:sz="0" w:space="0" w:color="auto"/>
      </w:divBdr>
    </w:div>
    <w:div w:id="192964039">
      <w:bodyDiv w:val="1"/>
      <w:marLeft w:val="0"/>
      <w:marRight w:val="0"/>
      <w:marTop w:val="0"/>
      <w:marBottom w:val="0"/>
      <w:divBdr>
        <w:top w:val="none" w:sz="0" w:space="0" w:color="auto"/>
        <w:left w:val="none" w:sz="0" w:space="0" w:color="auto"/>
        <w:bottom w:val="none" w:sz="0" w:space="0" w:color="auto"/>
        <w:right w:val="none" w:sz="0" w:space="0" w:color="auto"/>
      </w:divBdr>
    </w:div>
    <w:div w:id="23358793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6-C-0039/en" TargetMode="External"/><Relationship Id="rId4" Type="http://schemas.openxmlformats.org/officeDocument/2006/relationships/settings" Target="settings.xml"/><Relationship Id="rId9" Type="http://schemas.openxmlformats.org/officeDocument/2006/relationships/hyperlink" Target="http://www.itu.int/md/R15-SG06-C-0020/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00EA-C0E6-48BC-A62F-3D63F65F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58</TotalTime>
  <Pages>3</Pages>
  <Words>669</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10</cp:revision>
  <cp:lastPrinted>2016-02-22T13:19:00Z</cp:lastPrinted>
  <dcterms:created xsi:type="dcterms:W3CDTF">2016-02-12T09:27:00Z</dcterms:created>
  <dcterms:modified xsi:type="dcterms:W3CDTF">2016-02-22T13:19:00Z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