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rFonts w:cstheme="minorHAnsi"/>
                <w:b/>
                <w:bCs/>
                <w:color w:val="808080"/>
                <w:sz w:val="28"/>
                <w:szCs w:val="28"/>
                <w:lang w:val="fr-CH"/>
              </w:rPr>
            </w:pPr>
            <w:r w:rsidRPr="00C87FC4">
              <w:rPr>
                <w:rFonts w:cstheme="minorHAnsi"/>
                <w:b/>
                <w:bCs/>
                <w:color w:val="808080"/>
                <w:sz w:val="28"/>
                <w:szCs w:val="28"/>
                <w:lang w:val="fr-CH"/>
              </w:rPr>
              <w:t>Bureau des radiocommunications (BR)</w:t>
            </w:r>
          </w:p>
          <w:p w:rsidR="00E53DCE" w:rsidRPr="00C87FC4" w:rsidRDefault="00E53DCE" w:rsidP="006160CB">
            <w:pPr>
              <w:spacing w:before="0"/>
              <w:jc w:val="left"/>
              <w:rPr>
                <w:rFonts w:cstheme="minorHAnsi"/>
                <w:b/>
                <w:bCs/>
                <w:color w:val="808080"/>
                <w:sz w:val="28"/>
                <w:szCs w:val="28"/>
                <w:lang w:val="fr-CH"/>
              </w:rPr>
            </w:pPr>
          </w:p>
          <w:p w:rsidR="00E53DCE" w:rsidRPr="00C87FC4" w:rsidRDefault="00E53DCE" w:rsidP="006160CB">
            <w:pPr>
              <w:spacing w:before="0"/>
              <w:jc w:val="left"/>
              <w:rPr>
                <w:rFonts w:cs="Times New Roman Bold"/>
                <w:b/>
                <w:bCs/>
                <w:color w:val="808080"/>
                <w:sz w:val="28"/>
                <w:szCs w:val="28"/>
                <w:lang w:val="fr-CH"/>
              </w:rPr>
            </w:pPr>
          </w:p>
        </w:tc>
      </w:tr>
      <w:tr w:rsidR="00E53DCE" w:rsidRPr="00C87FC4" w:rsidTr="004228FA">
        <w:trPr>
          <w:jc w:val="center"/>
        </w:trPr>
        <w:tc>
          <w:tcPr>
            <w:tcW w:w="7054" w:type="dxa"/>
            <w:gridSpan w:val="2"/>
            <w:shd w:val="clear" w:color="auto" w:fill="auto"/>
          </w:tcPr>
          <w:p w:rsidR="00E53DCE" w:rsidRPr="00C87FC4" w:rsidRDefault="00E53DCE" w:rsidP="006160CB">
            <w:pPr>
              <w:spacing w:before="0"/>
              <w:jc w:val="left"/>
              <w:rPr>
                <w:sz w:val="28"/>
                <w:szCs w:val="28"/>
                <w:lang w:val="fr-CH"/>
              </w:rPr>
            </w:pPr>
            <w:r w:rsidRPr="00C87FC4">
              <w:rPr>
                <w:szCs w:val="24"/>
                <w:lang w:val="fr-CH"/>
              </w:rPr>
              <w:t>Circulaire administrative</w:t>
            </w:r>
          </w:p>
          <w:p w:rsidR="00E53DCE" w:rsidRPr="00C87FC4" w:rsidRDefault="00E53DCE" w:rsidP="006E4812">
            <w:pPr>
              <w:spacing w:before="0"/>
              <w:jc w:val="left"/>
              <w:rPr>
                <w:b/>
                <w:bCs/>
                <w:sz w:val="28"/>
                <w:szCs w:val="28"/>
                <w:lang w:val="fr-CH"/>
              </w:rPr>
            </w:pPr>
            <w:r w:rsidRPr="00C87FC4">
              <w:rPr>
                <w:b/>
                <w:bCs/>
                <w:szCs w:val="24"/>
                <w:lang w:val="fr-CH"/>
              </w:rPr>
              <w:t>CA</w:t>
            </w:r>
            <w:r w:rsidR="00547841" w:rsidRPr="00C87FC4">
              <w:rPr>
                <w:b/>
                <w:bCs/>
                <w:szCs w:val="24"/>
                <w:lang w:val="fr-CH"/>
              </w:rPr>
              <w:t>CE</w:t>
            </w:r>
            <w:r w:rsidRPr="00C87FC4">
              <w:rPr>
                <w:b/>
                <w:bCs/>
                <w:szCs w:val="24"/>
                <w:lang w:val="fr-CH"/>
              </w:rPr>
              <w:t>/</w:t>
            </w:r>
            <w:r w:rsidR="00C87FC4">
              <w:rPr>
                <w:b/>
                <w:bCs/>
                <w:szCs w:val="24"/>
                <w:lang w:val="fr-CH"/>
              </w:rPr>
              <w:t>7</w:t>
            </w:r>
            <w:r w:rsidR="006E4812">
              <w:rPr>
                <w:b/>
                <w:bCs/>
                <w:szCs w:val="24"/>
                <w:lang w:val="fr-CH"/>
              </w:rPr>
              <w:t>57</w:t>
            </w:r>
          </w:p>
        </w:tc>
        <w:tc>
          <w:tcPr>
            <w:tcW w:w="2835" w:type="dxa"/>
            <w:shd w:val="clear" w:color="auto" w:fill="auto"/>
          </w:tcPr>
          <w:p w:rsidR="00E53DCE" w:rsidRPr="00C87FC4" w:rsidRDefault="006E4812" w:rsidP="0056313F">
            <w:pPr>
              <w:spacing w:before="0"/>
              <w:jc w:val="right"/>
              <w:rPr>
                <w:sz w:val="28"/>
                <w:szCs w:val="28"/>
                <w:lang w:val="fr-CH"/>
              </w:rPr>
            </w:pPr>
            <w:r>
              <w:rPr>
                <w:szCs w:val="24"/>
                <w:lang w:val="fr-CH"/>
              </w:rPr>
              <w:t xml:space="preserve">Le 22 </w:t>
            </w:r>
            <w:r w:rsidRPr="006E4812">
              <w:rPr>
                <w:lang w:val="fr-CH"/>
              </w:rPr>
              <w:t>octobre</w:t>
            </w:r>
            <w:r w:rsidR="00E25E6D" w:rsidRPr="00C87FC4">
              <w:rPr>
                <w:szCs w:val="24"/>
                <w:lang w:val="fr-CH"/>
              </w:rPr>
              <w:t xml:space="preserve"> 2015</w:t>
            </w: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4B4231" w:rsidTr="004228FA">
        <w:trPr>
          <w:jc w:val="center"/>
        </w:trPr>
        <w:tc>
          <w:tcPr>
            <w:tcW w:w="9889" w:type="dxa"/>
            <w:gridSpan w:val="3"/>
            <w:shd w:val="clear" w:color="auto" w:fill="auto"/>
          </w:tcPr>
          <w:p w:rsidR="00E53DCE" w:rsidRPr="00C87FC4" w:rsidRDefault="00547841" w:rsidP="00F0462C">
            <w:pPr>
              <w:spacing w:before="120"/>
              <w:jc w:val="left"/>
              <w:rPr>
                <w:b/>
                <w:bCs/>
                <w:szCs w:val="24"/>
                <w:lang w:val="fr-CH"/>
              </w:rPr>
            </w:pPr>
            <w:r w:rsidRPr="00C87FC4">
              <w:rPr>
                <w:b/>
                <w:bCs/>
                <w:szCs w:val="24"/>
                <w:lang w:val="fr-CH"/>
              </w:rPr>
              <w:t xml:space="preserve">Aux Administrations des </w:t>
            </w:r>
            <w:r w:rsidR="00E90493">
              <w:rPr>
                <w:b/>
                <w:bCs/>
                <w:szCs w:val="24"/>
                <w:lang w:val="fr-CH"/>
              </w:rPr>
              <w:t>E</w:t>
            </w:r>
            <w:r w:rsidRPr="00C87FC4">
              <w:rPr>
                <w:b/>
                <w:bCs/>
                <w:szCs w:val="24"/>
                <w:lang w:val="fr-CH"/>
              </w:rPr>
              <w:t>tats Membres de l'UIT, aux Membres du Secteur des radiocommunications et aux Associés de l'UIT-R participant aux travaux de la Commission d'études 6 des radiocommunications</w:t>
            </w:r>
          </w:p>
        </w:tc>
      </w:tr>
      <w:tr w:rsidR="00E53DCE" w:rsidRPr="004B4231"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4B4231"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4B4231" w:rsidTr="004228FA">
        <w:trPr>
          <w:jc w:val="center"/>
        </w:trPr>
        <w:tc>
          <w:tcPr>
            <w:tcW w:w="1526" w:type="dxa"/>
            <w:shd w:val="clear" w:color="auto" w:fill="auto"/>
          </w:tcPr>
          <w:p w:rsidR="00E53DCE" w:rsidRPr="00C87FC4" w:rsidRDefault="003471C9" w:rsidP="006160CB">
            <w:pPr>
              <w:tabs>
                <w:tab w:val="clear" w:pos="1588"/>
                <w:tab w:val="left" w:pos="1560"/>
              </w:tabs>
              <w:spacing w:before="0"/>
              <w:jc w:val="left"/>
              <w:rPr>
                <w:szCs w:val="24"/>
                <w:lang w:val="fr-CH"/>
              </w:rPr>
            </w:pPr>
            <w:r w:rsidRPr="00C87FC4">
              <w:rPr>
                <w:lang w:val="fr-CH"/>
              </w:rPr>
              <w:t>Objet</w:t>
            </w:r>
            <w:r w:rsidR="00E53DCE" w:rsidRPr="00C87FC4">
              <w:rPr>
                <w:szCs w:val="24"/>
                <w:lang w:val="fr-CH"/>
              </w:rPr>
              <w:t>:</w:t>
            </w:r>
          </w:p>
        </w:tc>
        <w:tc>
          <w:tcPr>
            <w:tcW w:w="8363" w:type="dxa"/>
            <w:gridSpan w:val="2"/>
            <w:vMerge w:val="restart"/>
            <w:shd w:val="clear" w:color="auto" w:fill="auto"/>
          </w:tcPr>
          <w:p w:rsidR="00547841" w:rsidRPr="00C87FC4" w:rsidRDefault="00547841" w:rsidP="00A25197">
            <w:pPr>
              <w:tabs>
                <w:tab w:val="clear" w:pos="794"/>
                <w:tab w:val="clear" w:pos="1191"/>
                <w:tab w:val="clear" w:pos="1588"/>
                <w:tab w:val="clear" w:pos="1985"/>
                <w:tab w:val="left" w:pos="459"/>
                <w:tab w:val="left" w:pos="745"/>
              </w:tabs>
              <w:spacing w:before="0"/>
              <w:rPr>
                <w:b/>
                <w:bCs/>
                <w:szCs w:val="24"/>
                <w:lang w:val="fr-CH"/>
              </w:rPr>
            </w:pPr>
            <w:r w:rsidRPr="00C87FC4">
              <w:rPr>
                <w:b/>
                <w:bCs/>
                <w:szCs w:val="24"/>
                <w:lang w:val="fr-CH"/>
              </w:rPr>
              <w:t>Commission d'études 6 des radiocommunications (</w:t>
            </w:r>
            <w:r w:rsidR="00E435CE" w:rsidRPr="00C87FC4">
              <w:rPr>
                <w:b/>
                <w:bCs/>
                <w:szCs w:val="24"/>
                <w:lang w:val="fr-CH"/>
              </w:rPr>
              <w:t>Service de radiodiffusion</w:t>
            </w:r>
            <w:r w:rsidRPr="00C87FC4">
              <w:rPr>
                <w:b/>
                <w:bCs/>
                <w:szCs w:val="24"/>
                <w:lang w:val="fr-CH"/>
              </w:rPr>
              <w:t>)</w:t>
            </w:r>
          </w:p>
          <w:p w:rsidR="00547841" w:rsidRPr="00C87FC4" w:rsidRDefault="00547841" w:rsidP="009E6BE0">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C87FC4">
              <w:rPr>
                <w:b/>
                <w:bCs/>
                <w:szCs w:val="24"/>
                <w:lang w:val="fr-CH"/>
              </w:rPr>
              <w:t>–</w:t>
            </w:r>
            <w:r w:rsidRPr="00C87FC4">
              <w:rPr>
                <w:b/>
                <w:bCs/>
                <w:szCs w:val="24"/>
                <w:lang w:val="fr-CH"/>
              </w:rPr>
              <w:tab/>
            </w:r>
            <w:r w:rsidR="006E4812">
              <w:rPr>
                <w:b/>
                <w:bCs/>
                <w:szCs w:val="24"/>
                <w:lang w:val="fr-CH"/>
              </w:rPr>
              <w:t xml:space="preserve">Adoption de 2 </w:t>
            </w:r>
            <w:r w:rsidR="006E4812">
              <w:rPr>
                <w:b/>
                <w:bCs/>
                <w:lang w:val="fr-CH"/>
              </w:rPr>
              <w:t xml:space="preserve">nouvelles </w:t>
            </w:r>
            <w:r w:rsidR="0056143B">
              <w:rPr>
                <w:b/>
                <w:bCs/>
                <w:lang w:val="fr-CH"/>
              </w:rPr>
              <w:t>Qu</w:t>
            </w:r>
            <w:r w:rsidR="004B4231">
              <w:rPr>
                <w:b/>
                <w:bCs/>
                <w:lang w:val="fr-CH"/>
              </w:rPr>
              <w:t>e</w:t>
            </w:r>
            <w:r w:rsidR="0056143B">
              <w:rPr>
                <w:b/>
                <w:bCs/>
                <w:lang w:val="fr-CH"/>
              </w:rPr>
              <w:t>stion</w:t>
            </w:r>
            <w:r w:rsidR="006E4812">
              <w:rPr>
                <w:b/>
                <w:bCs/>
                <w:lang w:val="fr-CH"/>
              </w:rPr>
              <w:t>s UIT-R et leur approbation simultanée par correspondance, conformément au § 10.3 de la Résolution UIT-R 1-6 (Procédure d'adoption et d'approbation simultanées par correspondance)</w:t>
            </w:r>
          </w:p>
          <w:p w:rsidR="00E53DCE" w:rsidRPr="00C87FC4" w:rsidRDefault="00547841" w:rsidP="006E4812">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C87FC4">
              <w:rPr>
                <w:b/>
                <w:bCs/>
                <w:szCs w:val="24"/>
                <w:lang w:val="fr-CH"/>
              </w:rPr>
              <w:t>–</w:t>
            </w:r>
            <w:r w:rsidRPr="00C87FC4">
              <w:rPr>
                <w:b/>
                <w:bCs/>
                <w:szCs w:val="24"/>
                <w:lang w:val="fr-CH"/>
              </w:rPr>
              <w:tab/>
            </w:r>
            <w:r w:rsidR="006E4812" w:rsidRPr="00C87FC4">
              <w:rPr>
                <w:b/>
                <w:bCs/>
                <w:szCs w:val="24"/>
                <w:lang w:val="fr-CH"/>
              </w:rPr>
              <w:t>S</w:t>
            </w:r>
            <w:r w:rsidRPr="00C87FC4">
              <w:rPr>
                <w:b/>
                <w:bCs/>
                <w:szCs w:val="24"/>
                <w:lang w:val="fr-CH"/>
              </w:rPr>
              <w:t xml:space="preserve">uppression de </w:t>
            </w:r>
            <w:r w:rsidR="001B3C28" w:rsidRPr="00C87FC4">
              <w:rPr>
                <w:b/>
                <w:bCs/>
                <w:szCs w:val="24"/>
                <w:lang w:val="fr-CH"/>
              </w:rPr>
              <w:t>27 Questions</w:t>
            </w:r>
            <w:r w:rsidRPr="00C87FC4">
              <w:rPr>
                <w:b/>
                <w:bCs/>
                <w:szCs w:val="24"/>
                <w:lang w:val="fr-CH"/>
              </w:rPr>
              <w:t xml:space="preserve"> UIT-R</w:t>
            </w:r>
          </w:p>
        </w:tc>
      </w:tr>
      <w:tr w:rsidR="00E53DCE" w:rsidRPr="004B4231" w:rsidTr="004228FA">
        <w:trPr>
          <w:jc w:val="center"/>
        </w:trPr>
        <w:tc>
          <w:tcPr>
            <w:tcW w:w="1526" w:type="dxa"/>
            <w:shd w:val="clear" w:color="auto" w:fill="auto"/>
          </w:tcPr>
          <w:p w:rsidR="00E53DCE" w:rsidRPr="00C87FC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87FC4" w:rsidRDefault="00E53DCE" w:rsidP="006160CB">
            <w:pPr>
              <w:tabs>
                <w:tab w:val="clear" w:pos="1588"/>
                <w:tab w:val="left" w:pos="1560"/>
              </w:tabs>
              <w:spacing w:before="0"/>
              <w:rPr>
                <w:b/>
                <w:bCs/>
                <w:szCs w:val="24"/>
                <w:lang w:val="fr-CH"/>
              </w:rPr>
            </w:pPr>
          </w:p>
        </w:tc>
      </w:tr>
      <w:tr w:rsidR="00E53DCE" w:rsidRPr="004B4231" w:rsidTr="004228FA">
        <w:trPr>
          <w:jc w:val="center"/>
        </w:trPr>
        <w:tc>
          <w:tcPr>
            <w:tcW w:w="1526" w:type="dxa"/>
            <w:shd w:val="clear" w:color="auto" w:fill="auto"/>
          </w:tcPr>
          <w:p w:rsidR="00E53DCE" w:rsidRPr="00C87FC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87FC4" w:rsidRDefault="00E53DCE" w:rsidP="006160CB">
            <w:pPr>
              <w:tabs>
                <w:tab w:val="clear" w:pos="1588"/>
                <w:tab w:val="left" w:pos="1560"/>
              </w:tabs>
              <w:spacing w:before="0"/>
              <w:rPr>
                <w:b/>
                <w:bCs/>
                <w:szCs w:val="24"/>
                <w:lang w:val="fr-CH"/>
              </w:rPr>
            </w:pPr>
          </w:p>
        </w:tc>
      </w:tr>
      <w:tr w:rsidR="00E53DCE" w:rsidRPr="004B4231" w:rsidTr="004228FA">
        <w:trPr>
          <w:jc w:val="center"/>
        </w:trPr>
        <w:tc>
          <w:tcPr>
            <w:tcW w:w="9889" w:type="dxa"/>
            <w:gridSpan w:val="3"/>
            <w:shd w:val="clear" w:color="auto" w:fill="auto"/>
          </w:tcPr>
          <w:p w:rsidR="00E53DCE" w:rsidRPr="00C87FC4" w:rsidRDefault="00E53DCE" w:rsidP="00E53DCE">
            <w:pPr>
              <w:tabs>
                <w:tab w:val="clear" w:pos="1588"/>
                <w:tab w:val="left" w:pos="1560"/>
              </w:tabs>
              <w:spacing w:before="0"/>
              <w:jc w:val="left"/>
              <w:rPr>
                <w:szCs w:val="24"/>
                <w:lang w:val="fr-CH"/>
              </w:rPr>
            </w:pPr>
          </w:p>
        </w:tc>
      </w:tr>
      <w:tr w:rsidR="00E53DCE" w:rsidRPr="004B4231" w:rsidTr="004228FA">
        <w:trPr>
          <w:jc w:val="center"/>
        </w:trPr>
        <w:tc>
          <w:tcPr>
            <w:tcW w:w="9889" w:type="dxa"/>
            <w:gridSpan w:val="3"/>
            <w:shd w:val="clear" w:color="auto" w:fill="auto"/>
          </w:tcPr>
          <w:p w:rsidR="00E53DCE" w:rsidRPr="00C87FC4" w:rsidRDefault="00E53DCE" w:rsidP="006160CB">
            <w:pPr>
              <w:spacing w:before="0"/>
              <w:jc w:val="left"/>
              <w:rPr>
                <w:b/>
                <w:bCs/>
                <w:szCs w:val="24"/>
                <w:lang w:val="fr-CH"/>
              </w:rPr>
            </w:pPr>
          </w:p>
        </w:tc>
      </w:tr>
    </w:tbl>
    <w:p w:rsidR="006E4812" w:rsidRDefault="006E4812" w:rsidP="009E6BE0">
      <w:pPr>
        <w:spacing w:before="60" w:line="240" w:lineRule="auto"/>
        <w:rPr>
          <w:lang w:val="fr-CH"/>
        </w:rPr>
      </w:pPr>
      <w:r>
        <w:rPr>
          <w:lang w:val="fr-CH"/>
        </w:rPr>
        <w:t xml:space="preserve">Dans la Circulaire administrative CACE/746 datée du 14 </w:t>
      </w:r>
      <w:r w:rsidR="00D37DF6" w:rsidRPr="00D37DF6">
        <w:rPr>
          <w:lang w:val="fr-CH"/>
        </w:rPr>
        <w:t>août</w:t>
      </w:r>
      <w:r w:rsidR="00D37DF6">
        <w:rPr>
          <w:lang w:val="fr-CH"/>
        </w:rPr>
        <w:t xml:space="preserve"> </w:t>
      </w:r>
      <w:r>
        <w:rPr>
          <w:lang w:val="fr-CH"/>
        </w:rPr>
        <w:t xml:space="preserve">2015, </w:t>
      </w:r>
      <w:r w:rsidR="00D37DF6">
        <w:rPr>
          <w:lang w:val="fr-CH"/>
        </w:rPr>
        <w:t>2</w:t>
      </w:r>
      <w:r>
        <w:rPr>
          <w:lang w:val="fr-CH"/>
        </w:rPr>
        <w:t xml:space="preserve"> projets de nouvelle </w:t>
      </w:r>
      <w:r w:rsidR="0056143B">
        <w:rPr>
          <w:lang w:val="fr-CH"/>
        </w:rPr>
        <w:t>Qu</w:t>
      </w:r>
      <w:r w:rsidR="004B4231">
        <w:rPr>
          <w:lang w:val="fr-CH"/>
        </w:rPr>
        <w:t>e</w:t>
      </w:r>
      <w:r w:rsidR="0056143B">
        <w:rPr>
          <w:lang w:val="fr-CH"/>
        </w:rPr>
        <w:t>stion</w:t>
      </w:r>
      <w:r w:rsidR="009E6BE0">
        <w:rPr>
          <w:lang w:val="fr-CH"/>
        </w:rPr>
        <w:t xml:space="preserve"> UIT-R </w:t>
      </w:r>
      <w:r>
        <w:rPr>
          <w:lang w:val="fr-CH"/>
        </w:rPr>
        <w:t>ont été soumis pour adoption et approbation simultanées par correspondance (PAAS), conformément à la procédure prévue dans la Résolution UIT</w:t>
      </w:r>
      <w:r>
        <w:rPr>
          <w:lang w:val="fr-CH"/>
        </w:rPr>
        <w:noBreakHyphen/>
        <w:t xml:space="preserve">R 1-6 (§ 10.3). </w:t>
      </w:r>
      <w:r w:rsidR="00D5579D">
        <w:rPr>
          <w:lang w:val="fr-CH"/>
        </w:rPr>
        <w:t>De plus, la Commission d'études a proposé la suppression de 27 Questions UIT-R.</w:t>
      </w:r>
    </w:p>
    <w:p w:rsidR="006E4812" w:rsidRDefault="006E4812" w:rsidP="00F0462C">
      <w:pPr>
        <w:spacing w:before="120"/>
        <w:rPr>
          <w:lang w:val="fr-CH"/>
        </w:rPr>
      </w:pPr>
      <w:r>
        <w:rPr>
          <w:lang w:val="fr-CH"/>
        </w:rPr>
        <w:t xml:space="preserve">Les conditions régissant cette procédure ont été satisfaites au 14 </w:t>
      </w:r>
      <w:r w:rsidRPr="006E4812">
        <w:rPr>
          <w:lang w:val="fr-CH"/>
        </w:rPr>
        <w:t>octobre</w:t>
      </w:r>
      <w:r>
        <w:rPr>
          <w:lang w:val="fr-CH"/>
        </w:rPr>
        <w:t xml:space="preserve"> 2015. </w:t>
      </w:r>
    </w:p>
    <w:p w:rsidR="00B92E80" w:rsidRPr="00C87FC4" w:rsidRDefault="00D37DF6" w:rsidP="004B4231">
      <w:pPr>
        <w:keepNext/>
        <w:spacing w:before="120"/>
        <w:rPr>
          <w:lang w:val="fr-CH"/>
        </w:rPr>
      </w:pPr>
      <w:r>
        <w:rPr>
          <w:lang w:val="fr-CH"/>
        </w:rPr>
        <w:t xml:space="preserve">Les textes des Questions approuvées sont joints pour votre information dans la présente lettre (Annexes 1 à 2) et seront publiés dans la Révision 8 du </w:t>
      </w:r>
      <w:hyperlink r:id="rId8" w:history="1">
        <w:r w:rsidRPr="00D37DF6">
          <w:rPr>
            <w:rStyle w:val="Hyperlink"/>
            <w:rFonts w:asciiTheme="minorHAnsi" w:hAnsiTheme="minorHAnsi" w:cstheme="minorHAnsi"/>
            <w:lang w:val="fr-CH"/>
          </w:rPr>
          <w:t>Document 6/1</w:t>
        </w:r>
      </w:hyperlink>
      <w:r>
        <w:rPr>
          <w:lang w:val="fr-CH"/>
        </w:rPr>
        <w:t xml:space="preserve"> qui contient les Questions UIT</w:t>
      </w:r>
      <w:r>
        <w:rPr>
          <w:lang w:val="fr-CH"/>
        </w:rPr>
        <w:noBreakHyphen/>
        <w:t xml:space="preserve">R approuvées par l'Assemblée des radiocommunications de 2012 et attribuées à la Commission d'études </w:t>
      </w:r>
      <w:r w:rsidR="0056143B">
        <w:rPr>
          <w:lang w:val="fr-CH"/>
        </w:rPr>
        <w:t>6</w:t>
      </w:r>
      <w:r>
        <w:rPr>
          <w:lang w:val="fr-CH"/>
        </w:rPr>
        <w:t xml:space="preserve"> des radiocommunications. L'Annexe 3 contient la liste des Questions</w:t>
      </w:r>
      <w:r w:rsidR="004B4231">
        <w:rPr>
          <w:lang w:val="fr-CH"/>
        </w:rPr>
        <w:t xml:space="preserve"> </w:t>
      </w:r>
      <w:r w:rsidR="004B4231">
        <w:rPr>
          <w:lang w:val="fr-CH"/>
        </w:rPr>
        <w:t>UIT</w:t>
      </w:r>
      <w:r w:rsidR="004B4231">
        <w:rPr>
          <w:lang w:val="fr-CH"/>
        </w:rPr>
        <w:noBreakHyphen/>
        <w:t>R</w:t>
      </w:r>
      <w:r>
        <w:rPr>
          <w:lang w:val="fr-CH"/>
        </w:rPr>
        <w:t xml:space="preserve"> supprimées.</w:t>
      </w:r>
    </w:p>
    <w:p w:rsidR="00B92E80" w:rsidRPr="00C87FC4" w:rsidRDefault="00B92E80" w:rsidP="00F0462C">
      <w:pPr>
        <w:spacing w:before="960"/>
        <w:jc w:val="left"/>
        <w:rPr>
          <w:rFonts w:asciiTheme="minorHAnsi" w:hAnsiTheme="minorHAnsi" w:cstheme="minorHAnsi"/>
          <w:szCs w:val="24"/>
          <w:lang w:val="fr-CH"/>
        </w:rPr>
      </w:pPr>
      <w:r w:rsidRPr="00C87FC4">
        <w:rPr>
          <w:rFonts w:asciiTheme="minorHAnsi" w:hAnsiTheme="minorHAnsi"/>
          <w:lang w:val="fr-CH"/>
        </w:rPr>
        <w:t>François Rancy</w:t>
      </w:r>
      <w:r w:rsidRPr="00C87FC4">
        <w:rPr>
          <w:rFonts w:asciiTheme="minorHAnsi" w:hAnsiTheme="minorHAnsi"/>
          <w:lang w:val="fr-CH"/>
        </w:rPr>
        <w:br/>
        <w:t>Directeur</w:t>
      </w:r>
    </w:p>
    <w:p w:rsidR="00B92E80" w:rsidRPr="00C87FC4" w:rsidRDefault="00B92E80" w:rsidP="009E6BE0">
      <w:pPr>
        <w:spacing w:before="360"/>
        <w:rPr>
          <w:bCs/>
          <w:lang w:val="fr-CH"/>
        </w:rPr>
      </w:pPr>
      <w:r w:rsidRPr="00C87FC4">
        <w:rPr>
          <w:b/>
          <w:bCs/>
          <w:lang w:val="fr-CH"/>
        </w:rPr>
        <w:t>Annexe</w:t>
      </w:r>
      <w:r w:rsidR="00C719B2" w:rsidRPr="00C87FC4">
        <w:rPr>
          <w:b/>
          <w:bCs/>
          <w:lang w:val="fr-CH"/>
        </w:rPr>
        <w:t>s</w:t>
      </w:r>
      <w:r w:rsidRPr="00C87FC4">
        <w:rPr>
          <w:b/>
          <w:bCs/>
          <w:lang w:val="fr-CH"/>
        </w:rPr>
        <w:t>:</w:t>
      </w:r>
      <w:r w:rsidRPr="00C87FC4">
        <w:rPr>
          <w:b/>
          <w:bCs/>
          <w:lang w:val="fr-CH"/>
        </w:rPr>
        <w:tab/>
      </w:r>
      <w:r w:rsidR="00C719B2" w:rsidRPr="00C87FC4">
        <w:rPr>
          <w:bCs/>
          <w:lang w:val="fr-CH"/>
        </w:rPr>
        <w:t>3</w:t>
      </w:r>
    </w:p>
    <w:p w:rsidR="00B92E80" w:rsidRPr="00C87FC4" w:rsidRDefault="00B92E80" w:rsidP="009E6BE0">
      <w:pPr>
        <w:tabs>
          <w:tab w:val="left" w:pos="284"/>
          <w:tab w:val="left" w:pos="568"/>
        </w:tabs>
        <w:spacing w:before="240" w:after="20"/>
        <w:rPr>
          <w:b/>
          <w:bCs/>
          <w:sz w:val="18"/>
          <w:szCs w:val="18"/>
          <w:lang w:val="fr-CH"/>
        </w:rPr>
      </w:pPr>
      <w:bookmarkStart w:id="0" w:name="ddistribution"/>
      <w:bookmarkEnd w:id="0"/>
      <w:r w:rsidRPr="00C87FC4">
        <w:rPr>
          <w:b/>
          <w:bCs/>
          <w:sz w:val="18"/>
          <w:szCs w:val="18"/>
          <w:lang w:val="fr-CH"/>
        </w:rPr>
        <w:t>Distribution:</w:t>
      </w:r>
    </w:p>
    <w:p w:rsidR="00C719B2" w:rsidRPr="00C87FC4" w:rsidRDefault="00B92E80" w:rsidP="00F0462C">
      <w:pPr>
        <w:tabs>
          <w:tab w:val="left" w:pos="462"/>
          <w:tab w:val="left" w:pos="568"/>
        </w:tabs>
        <w:spacing w:before="80" w:line="240" w:lineRule="auto"/>
        <w:ind w:left="476" w:hanging="434"/>
        <w:jc w:val="left"/>
        <w:rPr>
          <w:sz w:val="18"/>
          <w:szCs w:val="18"/>
          <w:lang w:val="fr-CH"/>
        </w:rPr>
      </w:pPr>
      <w:r w:rsidRPr="00C87FC4">
        <w:rPr>
          <w:sz w:val="18"/>
          <w:szCs w:val="18"/>
          <w:lang w:val="fr-CH"/>
        </w:rPr>
        <w:t>–</w:t>
      </w:r>
      <w:r w:rsidRPr="00C87FC4">
        <w:rPr>
          <w:sz w:val="18"/>
          <w:szCs w:val="18"/>
          <w:lang w:val="fr-CH"/>
        </w:rPr>
        <w:tab/>
        <w:t>Administrations des Etats Membres de l'UIT et Membres du Secteur des radiocommunications</w:t>
      </w:r>
      <w:r w:rsidR="00C719B2" w:rsidRPr="00C87FC4">
        <w:rPr>
          <w:sz w:val="18"/>
          <w:szCs w:val="18"/>
          <w:lang w:val="fr-CH"/>
        </w:rPr>
        <w:t xml:space="preserve"> participant </w:t>
      </w:r>
      <w:r w:rsidR="00F0462C">
        <w:rPr>
          <w:sz w:val="18"/>
          <w:szCs w:val="18"/>
          <w:lang w:val="fr-CH"/>
        </w:rPr>
        <w:br/>
      </w:r>
      <w:r w:rsidR="00C719B2" w:rsidRPr="00C87FC4">
        <w:rPr>
          <w:sz w:val="18"/>
          <w:szCs w:val="18"/>
          <w:lang w:val="fr-CH"/>
        </w:rPr>
        <w:t xml:space="preserve">aux travaux de la </w:t>
      </w:r>
      <w:r w:rsidRPr="00C87FC4">
        <w:rPr>
          <w:sz w:val="18"/>
          <w:szCs w:val="18"/>
          <w:lang w:val="fr-CH"/>
        </w:rPr>
        <w:t xml:space="preserve">Commission d'études </w:t>
      </w:r>
      <w:r w:rsidR="00A25197" w:rsidRPr="00C87FC4">
        <w:rPr>
          <w:sz w:val="18"/>
          <w:szCs w:val="18"/>
          <w:lang w:val="fr-CH"/>
        </w:rPr>
        <w:t>6</w:t>
      </w:r>
      <w:r w:rsidRPr="00C87FC4">
        <w:rPr>
          <w:sz w:val="18"/>
          <w:szCs w:val="18"/>
          <w:lang w:val="fr-CH"/>
        </w:rPr>
        <w:t xml:space="preserve"> des radiocommunications</w:t>
      </w:r>
    </w:p>
    <w:p w:rsidR="00C719B2" w:rsidRPr="00C87FC4" w:rsidRDefault="00B92E80" w:rsidP="009E6BE0">
      <w:pPr>
        <w:tabs>
          <w:tab w:val="left" w:pos="462"/>
          <w:tab w:val="left" w:pos="568"/>
        </w:tabs>
        <w:spacing w:before="0" w:line="240" w:lineRule="auto"/>
        <w:ind w:left="476" w:hanging="434"/>
        <w:jc w:val="left"/>
        <w:rPr>
          <w:sz w:val="18"/>
          <w:szCs w:val="18"/>
          <w:lang w:val="fr-CH"/>
        </w:rPr>
      </w:pPr>
      <w:r w:rsidRPr="00C87FC4">
        <w:rPr>
          <w:sz w:val="18"/>
          <w:szCs w:val="18"/>
          <w:lang w:val="fr-CH"/>
        </w:rPr>
        <w:t>–</w:t>
      </w:r>
      <w:r w:rsidRPr="00C87FC4">
        <w:rPr>
          <w:sz w:val="18"/>
          <w:szCs w:val="18"/>
          <w:lang w:val="fr-CH"/>
        </w:rPr>
        <w:tab/>
        <w:t xml:space="preserve">Associés de l'UIT-R participant aux travaux de la Commission d'études </w:t>
      </w:r>
      <w:r w:rsidR="00A25197" w:rsidRPr="00C87FC4">
        <w:rPr>
          <w:sz w:val="18"/>
          <w:szCs w:val="18"/>
          <w:lang w:val="fr-CH"/>
        </w:rPr>
        <w:t>6</w:t>
      </w:r>
      <w:r w:rsidRPr="00C87FC4">
        <w:rPr>
          <w:sz w:val="18"/>
          <w:szCs w:val="18"/>
          <w:lang w:val="fr-CH"/>
        </w:rPr>
        <w:t xml:space="preserve"> des radiocommunications</w:t>
      </w:r>
    </w:p>
    <w:p w:rsidR="00C719B2" w:rsidRPr="00C87FC4" w:rsidRDefault="00B92E80" w:rsidP="00F0462C">
      <w:pPr>
        <w:tabs>
          <w:tab w:val="left" w:pos="462"/>
          <w:tab w:val="left" w:pos="568"/>
        </w:tabs>
        <w:spacing w:before="0" w:line="240" w:lineRule="auto"/>
        <w:ind w:left="476" w:hanging="434"/>
        <w:jc w:val="left"/>
        <w:rPr>
          <w:sz w:val="18"/>
          <w:szCs w:val="18"/>
          <w:lang w:val="fr-CH"/>
        </w:rPr>
      </w:pPr>
      <w:r w:rsidRPr="00C87FC4">
        <w:rPr>
          <w:sz w:val="18"/>
          <w:szCs w:val="18"/>
          <w:lang w:val="fr-CH"/>
        </w:rPr>
        <w:t>–</w:t>
      </w:r>
      <w:r w:rsidRPr="00C87FC4">
        <w:rPr>
          <w:sz w:val="18"/>
          <w:szCs w:val="18"/>
          <w:lang w:val="fr-CH"/>
        </w:rPr>
        <w:tab/>
        <w:t>Présidents et Vice</w:t>
      </w:r>
      <w:r w:rsidRPr="00C87FC4">
        <w:rPr>
          <w:sz w:val="18"/>
          <w:szCs w:val="18"/>
          <w:lang w:val="fr-CH"/>
        </w:rPr>
        <w:noBreakHyphen/>
        <w:t xml:space="preserve">Présidents des Commissions d'études des radiocommunications et de la Commission spéciale </w:t>
      </w:r>
      <w:r w:rsidR="00F0462C">
        <w:rPr>
          <w:sz w:val="18"/>
          <w:szCs w:val="18"/>
          <w:lang w:val="fr-CH"/>
        </w:rPr>
        <w:br/>
      </w:r>
      <w:r w:rsidRPr="00C87FC4">
        <w:rPr>
          <w:sz w:val="18"/>
          <w:szCs w:val="18"/>
          <w:lang w:val="fr-CH"/>
        </w:rPr>
        <w:t>chargée d'examiner les questions réglementaires et de procédure</w:t>
      </w:r>
    </w:p>
    <w:p w:rsidR="00C719B2" w:rsidRPr="00C87FC4" w:rsidRDefault="00B92E80" w:rsidP="009E6BE0">
      <w:pPr>
        <w:tabs>
          <w:tab w:val="left" w:pos="462"/>
          <w:tab w:val="left" w:pos="568"/>
        </w:tabs>
        <w:spacing w:before="0" w:line="240" w:lineRule="auto"/>
        <w:ind w:left="476" w:hanging="434"/>
        <w:jc w:val="left"/>
        <w:rPr>
          <w:sz w:val="18"/>
          <w:szCs w:val="18"/>
          <w:lang w:val="fr-CH"/>
        </w:rPr>
      </w:pPr>
      <w:r w:rsidRPr="00C87FC4">
        <w:rPr>
          <w:sz w:val="18"/>
          <w:szCs w:val="18"/>
          <w:lang w:val="fr-CH"/>
        </w:rPr>
        <w:t>–</w:t>
      </w:r>
      <w:r w:rsidRPr="00C87FC4">
        <w:rPr>
          <w:sz w:val="18"/>
          <w:szCs w:val="18"/>
          <w:lang w:val="fr-CH"/>
        </w:rPr>
        <w:tab/>
        <w:t>Président et Vice</w:t>
      </w:r>
      <w:r w:rsidRPr="00C87FC4">
        <w:rPr>
          <w:sz w:val="18"/>
          <w:szCs w:val="18"/>
          <w:lang w:val="fr-CH"/>
        </w:rPr>
        <w:noBreakHyphen/>
        <w:t>Présidents de la Réunion de préparation à la Conférence</w:t>
      </w:r>
    </w:p>
    <w:p w:rsidR="00C719B2" w:rsidRPr="00C87FC4" w:rsidRDefault="00B92E80" w:rsidP="009E6BE0">
      <w:pPr>
        <w:tabs>
          <w:tab w:val="left" w:pos="462"/>
          <w:tab w:val="left" w:pos="568"/>
        </w:tabs>
        <w:spacing w:before="0" w:line="240" w:lineRule="auto"/>
        <w:ind w:left="476" w:hanging="434"/>
        <w:jc w:val="left"/>
        <w:rPr>
          <w:sz w:val="18"/>
          <w:szCs w:val="18"/>
          <w:lang w:val="fr-CH"/>
        </w:rPr>
      </w:pPr>
      <w:r w:rsidRPr="00C87FC4">
        <w:rPr>
          <w:sz w:val="18"/>
          <w:szCs w:val="18"/>
          <w:lang w:val="fr-CH"/>
        </w:rPr>
        <w:t>–</w:t>
      </w:r>
      <w:r w:rsidRPr="00C87FC4">
        <w:rPr>
          <w:sz w:val="18"/>
          <w:szCs w:val="18"/>
          <w:lang w:val="fr-CH"/>
        </w:rPr>
        <w:tab/>
        <w:t>Membres du Comité du Règlement des radiocommunications</w:t>
      </w:r>
    </w:p>
    <w:p w:rsidR="00B92E80" w:rsidRPr="00C87FC4" w:rsidRDefault="00B92E80" w:rsidP="009E6BE0">
      <w:pPr>
        <w:tabs>
          <w:tab w:val="left" w:pos="462"/>
          <w:tab w:val="left" w:pos="568"/>
        </w:tabs>
        <w:spacing w:before="0" w:line="240" w:lineRule="auto"/>
        <w:ind w:left="476" w:hanging="434"/>
        <w:jc w:val="left"/>
        <w:rPr>
          <w:rFonts w:asciiTheme="minorHAnsi" w:hAnsiTheme="minorHAnsi" w:cstheme="minorHAnsi"/>
          <w:szCs w:val="24"/>
          <w:lang w:val="fr-CH"/>
        </w:rPr>
      </w:pPr>
      <w:r w:rsidRPr="00C87FC4">
        <w:rPr>
          <w:sz w:val="18"/>
          <w:szCs w:val="18"/>
          <w:lang w:val="fr-CH"/>
        </w:rPr>
        <w:t>–</w:t>
      </w:r>
      <w:r w:rsidRPr="00C87FC4">
        <w:rPr>
          <w:sz w:val="18"/>
          <w:szCs w:val="18"/>
          <w:lang w:val="fr-CH"/>
        </w:rPr>
        <w:tab/>
        <w:t xml:space="preserve">Secrétaire général de l'UIT, Directeur du Bureau de la normalisation des télécommunications, </w:t>
      </w:r>
      <w:r w:rsidR="0035429B" w:rsidRPr="00C87FC4">
        <w:rPr>
          <w:sz w:val="18"/>
          <w:szCs w:val="18"/>
          <w:lang w:val="fr-CH"/>
        </w:rPr>
        <w:br/>
      </w:r>
      <w:r w:rsidRPr="00C87FC4">
        <w:rPr>
          <w:sz w:val="18"/>
          <w:szCs w:val="18"/>
          <w:lang w:val="fr-CH"/>
        </w:rPr>
        <w:t>Directeur du Bureau de développement des télécommunications</w:t>
      </w:r>
      <w:r w:rsidRPr="00C87FC4">
        <w:rPr>
          <w:rFonts w:asciiTheme="minorHAnsi" w:hAnsiTheme="minorHAnsi" w:cstheme="minorHAnsi"/>
          <w:szCs w:val="24"/>
          <w:lang w:val="fr-CH"/>
        </w:rPr>
        <w:br w:type="page"/>
      </w:r>
    </w:p>
    <w:p w:rsidR="00AD65BC" w:rsidRPr="00C87FC4" w:rsidRDefault="005A2AF4" w:rsidP="00AD65BC">
      <w:pPr>
        <w:pStyle w:val="AnnexNotitle0"/>
        <w:rPr>
          <w:rFonts w:asciiTheme="minorHAnsi" w:hAnsiTheme="minorHAnsi" w:cstheme="minorHAnsi"/>
          <w:szCs w:val="28"/>
          <w:lang w:val="fr-CH"/>
        </w:rPr>
      </w:pPr>
      <w:r w:rsidRPr="00C87FC4">
        <w:rPr>
          <w:rFonts w:asciiTheme="minorHAnsi" w:hAnsiTheme="minorHAnsi" w:cstheme="minorHAnsi"/>
          <w:szCs w:val="28"/>
          <w:lang w:val="fr-CH"/>
        </w:rPr>
        <w:lastRenderedPageBreak/>
        <w:t>Annexe</w:t>
      </w:r>
      <w:r w:rsidR="00AD65BC" w:rsidRPr="00C87FC4">
        <w:rPr>
          <w:rFonts w:asciiTheme="minorHAnsi" w:hAnsiTheme="minorHAnsi" w:cstheme="minorHAnsi"/>
          <w:szCs w:val="28"/>
          <w:lang w:val="fr-CH"/>
        </w:rPr>
        <w:t xml:space="preserve"> 1</w:t>
      </w:r>
    </w:p>
    <w:p w:rsidR="005131A3" w:rsidRPr="0056143B" w:rsidRDefault="005131A3" w:rsidP="006E4812">
      <w:pPr>
        <w:spacing w:before="360" w:line="240" w:lineRule="auto"/>
        <w:jc w:val="center"/>
        <w:rPr>
          <w:rFonts w:asciiTheme="majorBidi" w:hAnsiTheme="majorBidi" w:cstheme="majorBidi"/>
          <w:szCs w:val="28"/>
          <w:lang w:val="fr-CH"/>
        </w:rPr>
      </w:pPr>
      <w:r w:rsidRPr="0056143B">
        <w:rPr>
          <w:rFonts w:asciiTheme="majorBidi" w:hAnsiTheme="majorBidi" w:cstheme="majorBidi"/>
          <w:sz w:val="28"/>
          <w:szCs w:val="28"/>
          <w:lang w:val="fr-CH"/>
        </w:rPr>
        <w:t>QUESTION UIT</w:t>
      </w:r>
      <w:r w:rsidRPr="0056143B">
        <w:rPr>
          <w:rFonts w:asciiTheme="majorBidi" w:hAnsiTheme="majorBidi" w:cstheme="majorBidi"/>
          <w:sz w:val="28"/>
          <w:szCs w:val="28"/>
          <w:lang w:val="fr-CH"/>
        </w:rPr>
        <w:noBreakHyphen/>
        <w:t xml:space="preserve">R </w:t>
      </w:r>
      <w:r w:rsidR="006E4812" w:rsidRPr="0056143B">
        <w:rPr>
          <w:rFonts w:asciiTheme="majorBidi" w:hAnsiTheme="majorBidi" w:cstheme="majorBidi"/>
          <w:sz w:val="28"/>
          <w:szCs w:val="28"/>
          <w:lang w:val="fr-CH"/>
        </w:rPr>
        <w:t>141/</w:t>
      </w:r>
      <w:r w:rsidRPr="0056143B">
        <w:rPr>
          <w:rFonts w:asciiTheme="majorBidi" w:hAnsiTheme="majorBidi" w:cstheme="majorBidi"/>
          <w:sz w:val="28"/>
          <w:szCs w:val="28"/>
          <w:lang w:val="fr-CH"/>
        </w:rPr>
        <w:t>6</w:t>
      </w:r>
      <w:r w:rsidRPr="00DD557D">
        <w:rPr>
          <w:rStyle w:val="FootnoteReference"/>
          <w:rFonts w:asciiTheme="majorBidi" w:hAnsiTheme="majorBidi" w:cstheme="majorBidi"/>
          <w:szCs w:val="18"/>
          <w:lang w:val="fr-CH"/>
        </w:rPr>
        <w:footnoteReference w:id="1"/>
      </w:r>
    </w:p>
    <w:p w:rsidR="005131A3" w:rsidRPr="00C87FC4" w:rsidRDefault="005131A3" w:rsidP="00B77F8E">
      <w:pPr>
        <w:pStyle w:val="Questiontitle"/>
        <w:spacing w:before="240"/>
        <w:rPr>
          <w:rFonts w:asciiTheme="majorBidi" w:hAnsiTheme="majorBidi" w:cstheme="majorBidi"/>
          <w:lang w:val="fr-CH"/>
        </w:rPr>
      </w:pPr>
      <w:r w:rsidRPr="00C87FC4">
        <w:rPr>
          <w:rFonts w:asciiTheme="majorBidi" w:hAnsiTheme="majorBidi" w:cstheme="majorBidi"/>
          <w:lang w:val="fr-CH"/>
        </w:rPr>
        <w:t>Diffusion par l'Internet de pistes sonores produites en radiodiffusion</w:t>
      </w:r>
      <w:r w:rsidRPr="00C87FC4">
        <w:rPr>
          <w:rFonts w:asciiTheme="majorBidi" w:hAnsiTheme="majorBidi" w:cstheme="majorBidi"/>
          <w:lang w:val="fr-CH"/>
        </w:rPr>
        <w:br/>
        <w:t>sonore et télévisuelle</w:t>
      </w:r>
    </w:p>
    <w:p w:rsidR="006E4812" w:rsidRPr="006E4812" w:rsidRDefault="006E4812" w:rsidP="006E4812">
      <w:pPr>
        <w:pStyle w:val="Questiondate"/>
        <w:rPr>
          <w:rFonts w:asciiTheme="majorBidi" w:hAnsiTheme="majorBidi" w:cstheme="majorBidi"/>
          <w:i w:val="0"/>
          <w:iCs/>
          <w:lang w:val="fr-CH"/>
        </w:rPr>
      </w:pPr>
      <w:r w:rsidRPr="006E4812">
        <w:rPr>
          <w:rFonts w:asciiTheme="majorBidi" w:hAnsiTheme="majorBidi" w:cstheme="majorBidi"/>
          <w:i w:val="0"/>
          <w:iCs/>
          <w:lang w:val="fr-CH"/>
        </w:rPr>
        <w:t>(2015)</w:t>
      </w:r>
    </w:p>
    <w:p w:rsidR="005131A3" w:rsidRPr="00C87FC4" w:rsidRDefault="005131A3" w:rsidP="00B97890">
      <w:pPr>
        <w:pStyle w:val="Normalaftertitle0"/>
        <w:rPr>
          <w:lang w:val="fr-CH"/>
        </w:rPr>
      </w:pPr>
      <w:r w:rsidRPr="00C87FC4">
        <w:rPr>
          <w:lang w:val="fr-CH"/>
        </w:rPr>
        <w:t>L'Assemblée des radiocommunications de l'UIT,</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t>considérant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r>
      <w:r w:rsidRPr="00C87FC4">
        <w:rPr>
          <w:rFonts w:ascii="Times New Roman" w:hAnsi="Times New Roman" w:cs="Times New Roman"/>
          <w:lang w:val="fr-CH"/>
        </w:rPr>
        <w:t>que les auditeurs souhaitent que les programmes audio soient uniformes en ce qui concerne le niveau sonore subjectif;</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b)</w:t>
      </w:r>
      <w:r w:rsidRPr="00C87FC4">
        <w:rPr>
          <w:rFonts w:ascii="Times New Roman" w:hAnsi="Times New Roman" w:cs="Times New Roman"/>
          <w:lang w:val="fr-CH"/>
        </w:rPr>
        <w:tab/>
        <w:t xml:space="preserve">que les auditeurs souhaitent également que les programmes audio soient intelligibles dans </w:t>
      </w:r>
      <w:r w:rsidRPr="00C87FC4">
        <w:rPr>
          <w:rFonts w:ascii="Times New Roman" w:hAnsi="Times New Roman" w:cs="Times New Roman"/>
          <w:color w:val="000000"/>
          <w:lang w:val="fr-CH"/>
        </w:rPr>
        <w:t>les environnements d’écoute soumis à des contraintes,</w:t>
      </w:r>
      <w:r w:rsidRPr="00C87FC4">
        <w:rPr>
          <w:rFonts w:ascii="Times New Roman" w:hAnsi="Times New Roman" w:cs="Times New Roman"/>
          <w:lang w:val="fr-CH"/>
        </w:rPr>
        <w:t xml:space="preserve"> c’est-à-dire ceux qui se caractérisent par </w:t>
      </w:r>
      <w:r w:rsidRPr="00C87FC4">
        <w:rPr>
          <w:rFonts w:ascii="Times New Roman" w:hAnsi="Times New Roman" w:cs="Times New Roman"/>
          <w:color w:val="000000"/>
          <w:lang w:val="fr-CH"/>
        </w:rPr>
        <w:t>un bruit de fond important</w:t>
      </w:r>
      <w:r w:rsidRPr="00C87FC4">
        <w:rPr>
          <w:rFonts w:ascii="Times New Roman" w:hAnsi="Times New Roman" w:cs="Times New Roman"/>
          <w:lang w:val="fr-CH"/>
        </w:rPr>
        <w:t xml:space="preserve"> et/ou qui nécessitent une limitation des niveaux maximaux pour la protection auditive ou la </w:t>
      </w:r>
      <w:r w:rsidRPr="00C87FC4">
        <w:rPr>
          <w:rFonts w:ascii="Times New Roman" w:hAnsi="Times New Roman" w:cs="Times New Roman"/>
          <w:color w:val="000000"/>
          <w:lang w:val="fr-CH"/>
        </w:rPr>
        <w:t>réduction du bruit</w:t>
      </w:r>
      <w:r w:rsidRPr="00C87FC4">
        <w:rPr>
          <w:rFonts w:ascii="Times New Roman" w:hAnsi="Times New Roman" w:cs="Times New Roman"/>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c)</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 les techniques modernes de transmission sonore numérique offrent une plage dynamique extrêmement large;</w:t>
      </w:r>
      <w:r w:rsidRPr="00C87FC4">
        <w:rPr>
          <w:rFonts w:ascii="Times New Roman" w:hAnsi="Times New Roman" w:cs="Times New Roman"/>
          <w:szCs w:val="24"/>
          <w:lang w:val="fr-CH"/>
        </w:rPr>
        <w:t xml:space="preserve"> mais que les environnements d’écoute soumis à des contraintes peuvent grandement réduire </w:t>
      </w:r>
      <w:r w:rsidRPr="00C87FC4">
        <w:rPr>
          <w:rFonts w:ascii="Times New Roman" w:hAnsi="Times New Roman" w:cs="Times New Roman"/>
          <w:color w:val="000000"/>
          <w:lang w:val="fr-CH"/>
        </w:rPr>
        <w:t>la gamme dynamique utilisable</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d)</w:t>
      </w:r>
      <w:r w:rsidRPr="00C87FC4">
        <w:rPr>
          <w:rFonts w:ascii="Times New Roman" w:hAnsi="Times New Roman" w:cs="Times New Roman"/>
          <w:szCs w:val="24"/>
          <w:lang w:val="fr-CH"/>
        </w:rPr>
        <w:tab/>
      </w:r>
      <w:r w:rsidRPr="00C87FC4">
        <w:rPr>
          <w:rFonts w:ascii="Times New Roman" w:hAnsi="Times New Roman" w:cs="Times New Roman"/>
          <w:lang w:val="fr-CH"/>
        </w:rPr>
        <w:t>que, pour les programmes constitués principalement de dialogues, l'intensité sonore de ces dialogues est l'un des éléments auxquels le public est le plus sensible et qu'il conviendrait que celle-ci soit homogène dans les programmes qui font l'objet d'un échange international;</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e)</w:t>
      </w:r>
      <w:r w:rsidRPr="00C87FC4">
        <w:rPr>
          <w:rFonts w:ascii="Times New Roman" w:hAnsi="Times New Roman" w:cs="Times New Roman"/>
          <w:szCs w:val="24"/>
          <w:lang w:val="fr-CH"/>
        </w:rPr>
        <w:tab/>
        <w:t>que les programmes de radiodiffusion sont distribués au public sur des plates-formes de diffusion de plus en plus nombreuses, notamment sur des plates-formes utilisant l’Internet;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f)</w:t>
      </w:r>
      <w:r w:rsidRPr="00C87FC4">
        <w:rPr>
          <w:rFonts w:ascii="Times New Roman" w:hAnsi="Times New Roman" w:cs="Times New Roman"/>
          <w:szCs w:val="24"/>
          <w:lang w:val="fr-CH"/>
        </w:rPr>
        <w:tab/>
        <w:t xml:space="preserve">que sur les plates-formes utilisant l’Internet, le contenu peut être fourni par des sources de radiodiffusion et autres que de radiodiffusion, et qu’il arrive que des sources de programmes autres que de radiodiffusion envoient </w:t>
      </w:r>
      <w:r w:rsidRPr="00C87FC4">
        <w:rPr>
          <w:rFonts w:ascii="Times New Roman" w:hAnsi="Times New Roman" w:cs="Times New Roman"/>
          <w:color w:val="000000"/>
          <w:lang w:val="fr-CH"/>
        </w:rPr>
        <w:t>des signaux audio présentant des niveaux d'intensité sonore différents depuis des sources de programmes de radiodiffusion</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g)</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qu'il serait très souhaitable d'obtenir sur ces plates-formes de diffusion au niveau international</w:t>
      </w:r>
      <w:r w:rsidRPr="00C87FC4">
        <w:rPr>
          <w:rFonts w:ascii="Times New Roman" w:hAnsi="Times New Roman" w:cs="Times New Roman"/>
          <w:szCs w:val="24"/>
          <w:lang w:val="fr-CH"/>
        </w:rPr>
        <w:t>,</w:t>
      </w:r>
      <w:r w:rsidRPr="00C87FC4">
        <w:rPr>
          <w:rFonts w:ascii="Times New Roman" w:hAnsi="Times New Roman" w:cs="Times New Roman"/>
          <w:color w:val="000000"/>
          <w:lang w:val="fr-CH"/>
        </w:rPr>
        <w:t xml:space="preserve"> une qualité du son relativement homogène entre les programmes </w:t>
      </w:r>
      <w:r w:rsidRPr="00C87FC4">
        <w:rPr>
          <w:rFonts w:ascii="Times New Roman" w:hAnsi="Times New Roman" w:cs="Times New Roman"/>
          <w:szCs w:val="24"/>
          <w:lang w:val="fr-CH"/>
        </w:rPr>
        <w:t>de radiodiffusion</w:t>
      </w:r>
      <w:r w:rsidRPr="00C87FC4">
        <w:rPr>
          <w:rFonts w:ascii="Times New Roman" w:hAnsi="Times New Roman" w:cs="Times New Roman"/>
          <w:color w:val="000000"/>
          <w:lang w:val="fr-CH"/>
        </w:rPr>
        <w:t>,</w:t>
      </w:r>
      <w:r w:rsidRPr="00C87FC4">
        <w:rPr>
          <w:rFonts w:ascii="Times New Roman" w:hAnsi="Times New Roman" w:cs="Times New Roman"/>
          <w:szCs w:val="24"/>
          <w:lang w:val="fr-CH"/>
        </w:rPr>
        <w:t xml:space="preserve"> y compris en ce qui concerne </w:t>
      </w:r>
      <w:r w:rsidRPr="00C87FC4">
        <w:rPr>
          <w:rFonts w:ascii="Times New Roman" w:hAnsi="Times New Roman" w:cs="Times New Roman"/>
          <w:color w:val="000000"/>
          <w:lang w:val="fr-CH"/>
        </w:rPr>
        <w:t>les caractéristiques d'intensité sonore</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h)</w:t>
      </w:r>
      <w:r w:rsidRPr="00C87FC4">
        <w:rPr>
          <w:rFonts w:ascii="Times New Roman" w:hAnsi="Times New Roman" w:cs="Times New Roman"/>
          <w:lang w:val="fr-CH"/>
        </w:rPr>
        <w:tab/>
        <w:t>que la Recommandation UIT-R BS.1726 préconise d'utiliser un «niveau de réglage» de −18 dBFS ou de −20 dBFS, mais que ce «niveau de réglage» ne correspond pas directement à l'intensité sonore des programmes audio;</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i)</w:t>
      </w:r>
      <w:r w:rsidRPr="00C87FC4">
        <w:rPr>
          <w:rFonts w:ascii="Times New Roman" w:hAnsi="Times New Roman" w:cs="Times New Roman"/>
          <w:lang w:val="fr-CH"/>
        </w:rPr>
        <w:tab/>
        <w:t>que la Recommandation UIT R BS.1770 – Algorithmes de mesure de l'intensité sonore des programmes audio et des niveaux de crête vrais des signaux audio, présente une méthode de mesure de l'intensité sonore des programmes audio;</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j)</w:t>
      </w:r>
      <w:r w:rsidRPr="00C87FC4">
        <w:rPr>
          <w:rFonts w:ascii="Times New Roman" w:hAnsi="Times New Roman" w:cs="Times New Roman"/>
          <w:lang w:val="fr-CH"/>
        </w:rPr>
        <w:tab/>
        <w:t>que la Recommandation UIT R BS.1771 – Spécifications des appareils de mesure indiquant l'intensité sonore et les niveaux de crête vrais, présente les spécifications d'appareils de mesure de l'intensité sonore qui utilisent les algorithmes définis dans la Recommandation UIT-R BS.1770, permettant ainsi d'utiliser à l'échelle mondiale des appareils qui fonctionnent de manière harmonisée et donnent des mesures d'intensité sonore cohérentes pour un même programme, indépendamment de son contenu;</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lastRenderedPageBreak/>
        <w:t>considérant en outre</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t xml:space="preserve">qu'au cours des dix dernières années, la distribution des </w:t>
      </w:r>
      <w:r w:rsidRPr="00C87FC4">
        <w:rPr>
          <w:rFonts w:ascii="Times New Roman" w:hAnsi="Times New Roman" w:cs="Times New Roman"/>
          <w:color w:val="000000"/>
          <w:lang w:val="fr-CH"/>
        </w:rPr>
        <w:t>signaux radiophoniques</w:t>
      </w:r>
      <w:r w:rsidRPr="00C87FC4">
        <w:rPr>
          <w:rFonts w:ascii="Times New Roman" w:hAnsi="Times New Roman" w:cs="Times New Roman"/>
          <w:szCs w:val="24"/>
          <w:lang w:val="fr-CH"/>
        </w:rPr>
        <w:t xml:space="preserve"> via l’Internet a évolué dans le sens de l’interopérabilité et de la normalisation;</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b)</w:t>
      </w:r>
      <w:r w:rsidRPr="00C87FC4">
        <w:rPr>
          <w:rFonts w:ascii="Times New Roman" w:hAnsi="Times New Roman" w:cs="Times New Roman"/>
          <w:szCs w:val="24"/>
          <w:lang w:val="fr-CH"/>
        </w:rPr>
        <w:tab/>
        <w:t>que l’interopérabilité a été assurée pour un certain nombre de codecs audio couramment utilisés;</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c)</w:t>
      </w:r>
      <w:r w:rsidRPr="00C87FC4">
        <w:rPr>
          <w:rFonts w:ascii="Times New Roman" w:hAnsi="Times New Roman" w:cs="Times New Roman"/>
          <w:szCs w:val="24"/>
          <w:lang w:val="fr-CH"/>
        </w:rPr>
        <w:tab/>
        <w:t xml:space="preserve">que les radiodiffuseurs utilisant la diffusion par l'Internet s’efforcent d’assurer la </w:t>
      </w:r>
      <w:r w:rsidRPr="00C87FC4">
        <w:rPr>
          <w:rFonts w:ascii="Times New Roman" w:hAnsi="Times New Roman" w:cs="Times New Roman"/>
          <w:color w:val="000000"/>
          <w:lang w:val="fr-CH"/>
        </w:rPr>
        <w:t>transmission en continu de signaux de haute qualité aux auditeurs de programmes radiophoniques</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d)</w:t>
      </w:r>
      <w:r w:rsidRPr="00C87FC4">
        <w:rPr>
          <w:rFonts w:ascii="Times New Roman" w:hAnsi="Times New Roman" w:cs="Times New Roman"/>
          <w:szCs w:val="24"/>
          <w:lang w:val="fr-CH"/>
        </w:rPr>
        <w:tab/>
        <w:t>que l’homogénéité de la qualité du son, notamment des caractéristiques de l’intensité sonore, doit encore être assurée sur la base d’une harmonisation à l’échelle mondiale au moyen de plates-formes de diffusion par l’Internet,</w:t>
      </w:r>
    </w:p>
    <w:p w:rsidR="005131A3" w:rsidRPr="00C87FC4" w:rsidRDefault="005131A3" w:rsidP="004B4231">
      <w:pPr>
        <w:pStyle w:val="Call"/>
        <w:spacing w:before="120"/>
        <w:rPr>
          <w:rFonts w:ascii="Times New Roman" w:hAnsi="Times New Roman" w:cs="Times New Roman"/>
          <w:lang w:val="fr-CH"/>
        </w:rPr>
      </w:pPr>
      <w:r w:rsidRPr="00C87FC4">
        <w:rPr>
          <w:rFonts w:ascii="Times New Roman" w:hAnsi="Times New Roman" w:cs="Times New Roman"/>
          <w:lang w:val="fr-CH"/>
        </w:rPr>
        <w:t xml:space="preserve">décide </w:t>
      </w:r>
      <w:r w:rsidRPr="00C87FC4">
        <w:rPr>
          <w:rFonts w:ascii="Times New Roman" w:hAnsi="Times New Roman" w:cs="Times New Roman"/>
          <w:i w:val="0"/>
          <w:iCs/>
          <w:lang w:val="fr-CH"/>
        </w:rPr>
        <w:t xml:space="preserve">de mettre à l’étude </w:t>
      </w:r>
      <w:r w:rsidR="004B4231">
        <w:rPr>
          <w:rFonts w:ascii="Times New Roman" w:hAnsi="Times New Roman" w:cs="Times New Roman"/>
          <w:i w:val="0"/>
          <w:iCs/>
          <w:lang w:val="fr-CH"/>
        </w:rPr>
        <w:t>les</w:t>
      </w:r>
      <w:r w:rsidRPr="00C87FC4">
        <w:rPr>
          <w:rFonts w:ascii="Times New Roman" w:hAnsi="Times New Roman" w:cs="Times New Roman"/>
          <w:i w:val="0"/>
          <w:iCs/>
          <w:lang w:val="fr-CH"/>
        </w:rPr>
        <w:t xml:space="preserve"> Question</w:t>
      </w:r>
      <w:r w:rsidR="004B4231">
        <w:rPr>
          <w:rFonts w:ascii="Times New Roman" w:hAnsi="Times New Roman" w:cs="Times New Roman"/>
          <w:i w:val="0"/>
          <w:iCs/>
          <w:lang w:val="fr-CH"/>
        </w:rPr>
        <w:t>s</w:t>
      </w:r>
      <w:r w:rsidRPr="00C87FC4">
        <w:rPr>
          <w:rFonts w:ascii="Times New Roman" w:hAnsi="Times New Roman" w:cs="Times New Roman"/>
          <w:i w:val="0"/>
          <w:iCs/>
          <w:lang w:val="fr-CH"/>
        </w:rPr>
        <w:t xml:space="preserve"> suivante</w:t>
      </w:r>
      <w:r w:rsidR="004B4231">
        <w:rPr>
          <w:rFonts w:ascii="Times New Roman" w:hAnsi="Times New Roman" w:cs="Times New Roman"/>
          <w:i w:val="0"/>
          <w:iCs/>
          <w:lang w:val="fr-CH"/>
        </w:rPr>
        <w:t>s</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Quelles pratiques d'exploitation peut-on établir sur la base d’une harmonisation à l’échelle mondiale pour assurer l’homogénéité de la qualité du son, y compris des caractéristiques de l’intensité sonore, sur les plates-formes de diffusion par l’Internet au niveau international</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szCs w:val="24"/>
          <w:lang w:val="fr-CH"/>
        </w:rPr>
        <w:t>2</w:t>
      </w:r>
      <w:r w:rsidRPr="00C87FC4">
        <w:rPr>
          <w:rFonts w:ascii="Times New Roman" w:hAnsi="Times New Roman" w:cs="Times New Roman"/>
          <w:szCs w:val="24"/>
          <w:lang w:val="fr-CH"/>
        </w:rPr>
        <w:tab/>
        <w:t xml:space="preserve">Quels paramètres sonores, y compris les caractéristiques de l’intensité sonore, convient-il d’utiliser, pour veiller à ce que la qualité du son, y compris les caractéristiques de l’intensité sonore, soit précise et homogène entre les </w:t>
      </w:r>
      <w:r w:rsidRPr="00C87FC4">
        <w:rPr>
          <w:rFonts w:ascii="Times New Roman" w:hAnsi="Times New Roman" w:cs="Times New Roman"/>
          <w:color w:val="000000"/>
          <w:lang w:val="fr-CH"/>
        </w:rPr>
        <w:t>dispositifs des utilisateurs finals</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szCs w:val="24"/>
          <w:lang w:val="fr-CH"/>
        </w:rPr>
        <w:t>3</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Quelles considérations les radiodiffuseurs devraient-ils prendre en compte pour ce qui est des conditions d’écoute pour l’utilisateur final dans divers environnements</w:t>
      </w:r>
      <w:r w:rsidRPr="00C87FC4">
        <w:rPr>
          <w:rFonts w:ascii="Times New Roman" w:hAnsi="Times New Roman" w:cs="Times New Roman"/>
          <w:szCs w:val="24"/>
          <w:lang w:val="fr-CH"/>
        </w:rPr>
        <w:t>?</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t>décide en outre</w:t>
      </w:r>
    </w:p>
    <w:p w:rsidR="005131A3" w:rsidRPr="00C87FC4" w:rsidRDefault="005131A3" w:rsidP="00D76708">
      <w:pPr>
        <w:spacing w:before="120"/>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lang w:val="fr-CH"/>
        </w:rPr>
        <w:t>que les résultats des études susmentionnées devraient figurer dans une ou plusieurs Recommandations</w:t>
      </w:r>
      <w:r w:rsidRPr="00C87FC4">
        <w:rPr>
          <w:rFonts w:ascii="Times New Roman" w:hAnsi="Times New Roman" w:cs="Times New Roman"/>
          <w:szCs w:val="24"/>
          <w:lang w:val="fr-CH"/>
        </w:rPr>
        <w:t>;</w:t>
      </w:r>
    </w:p>
    <w:p w:rsidR="005131A3" w:rsidRPr="00C87FC4" w:rsidRDefault="005131A3" w:rsidP="00D76708">
      <w:pPr>
        <w:spacing w:before="120"/>
        <w:rPr>
          <w:rFonts w:ascii="Times New Roman" w:hAnsi="Times New Roman" w:cs="Times New Roman"/>
          <w:szCs w:val="24"/>
          <w:lang w:val="fr-CH"/>
        </w:rPr>
      </w:pPr>
      <w:r w:rsidRPr="00C87FC4">
        <w:rPr>
          <w:rFonts w:ascii="Times New Roman" w:hAnsi="Times New Roman" w:cs="Times New Roman"/>
          <w:bCs/>
          <w:szCs w:val="24"/>
          <w:lang w:val="fr-CH"/>
        </w:rPr>
        <w:t>2</w:t>
      </w:r>
      <w:r w:rsidRPr="00C87FC4">
        <w:rPr>
          <w:rFonts w:ascii="Times New Roman" w:hAnsi="Times New Roman" w:cs="Times New Roman"/>
          <w:szCs w:val="24"/>
          <w:lang w:val="fr-CH"/>
        </w:rPr>
        <w:tab/>
      </w:r>
      <w:r w:rsidRPr="00C87FC4">
        <w:rPr>
          <w:rFonts w:ascii="Times New Roman" w:hAnsi="Times New Roman" w:cs="Times New Roman"/>
          <w:lang w:val="fr-CH"/>
        </w:rPr>
        <w:t xml:space="preserve">que les études susmentionnées devraient être achevées en </w:t>
      </w:r>
      <w:r w:rsidRPr="00C87FC4">
        <w:rPr>
          <w:rFonts w:ascii="Times New Roman" w:hAnsi="Times New Roman" w:cs="Times New Roman"/>
          <w:szCs w:val="24"/>
          <w:lang w:val="fr-CH"/>
        </w:rPr>
        <w:t>2019.</w:t>
      </w:r>
    </w:p>
    <w:p w:rsidR="005131A3" w:rsidRPr="00C87FC4" w:rsidRDefault="005131A3" w:rsidP="005131A3">
      <w:pPr>
        <w:spacing w:before="480" w:line="480" w:lineRule="auto"/>
        <w:rPr>
          <w:rFonts w:asciiTheme="majorBidi" w:hAnsiTheme="majorBidi" w:cstheme="majorBidi"/>
          <w:szCs w:val="24"/>
          <w:lang w:val="fr-CH"/>
        </w:rPr>
      </w:pPr>
      <w:r w:rsidRPr="00C87FC4">
        <w:rPr>
          <w:rFonts w:asciiTheme="majorBidi" w:hAnsiTheme="majorBidi" w:cstheme="majorBidi"/>
          <w:szCs w:val="24"/>
          <w:lang w:val="fr-CH"/>
        </w:rPr>
        <w:t>Catégorie: S2</w:t>
      </w:r>
    </w:p>
    <w:p w:rsidR="005131A3" w:rsidRPr="00C87FC4" w:rsidRDefault="005131A3" w:rsidP="005131A3">
      <w:pPr>
        <w:rPr>
          <w:lang w:val="fr-CH"/>
        </w:rPr>
      </w:pPr>
      <w:r w:rsidRPr="00C87FC4">
        <w:rPr>
          <w:lang w:val="fr-CH"/>
        </w:rPr>
        <w:br w:type="page"/>
      </w:r>
    </w:p>
    <w:p w:rsidR="005131A3" w:rsidRPr="00C87FC4" w:rsidRDefault="005131A3" w:rsidP="00EB73A5">
      <w:pPr>
        <w:pStyle w:val="AppendixNoTitle"/>
        <w:spacing w:before="480" w:after="0"/>
        <w:rPr>
          <w:sz w:val="28"/>
          <w:szCs w:val="28"/>
          <w:lang w:val="fr-CH"/>
        </w:rPr>
      </w:pPr>
      <w:r w:rsidRPr="00C87FC4">
        <w:rPr>
          <w:sz w:val="28"/>
          <w:szCs w:val="28"/>
          <w:lang w:val="fr-CH"/>
        </w:rPr>
        <w:lastRenderedPageBreak/>
        <w:t>Annexe 2</w:t>
      </w:r>
    </w:p>
    <w:p w:rsidR="005131A3" w:rsidRPr="0056143B" w:rsidRDefault="005131A3" w:rsidP="006E4812">
      <w:pPr>
        <w:spacing w:before="480"/>
        <w:jc w:val="center"/>
        <w:rPr>
          <w:rFonts w:ascii="Times New Roman" w:hAnsi="Times New Roman" w:cs="Times New Roman"/>
          <w:sz w:val="28"/>
          <w:szCs w:val="28"/>
          <w:lang w:val="fr-CH"/>
        </w:rPr>
      </w:pPr>
      <w:r w:rsidRPr="0056143B">
        <w:rPr>
          <w:rFonts w:ascii="Times New Roman" w:hAnsi="Times New Roman" w:cs="Times New Roman"/>
          <w:sz w:val="28"/>
          <w:szCs w:val="28"/>
          <w:lang w:val="fr-CH"/>
        </w:rPr>
        <w:t xml:space="preserve">QUESTION UIT-R </w:t>
      </w:r>
      <w:r w:rsidR="006E4812" w:rsidRPr="0056143B">
        <w:rPr>
          <w:rFonts w:ascii="Times New Roman" w:hAnsi="Times New Roman" w:cs="Times New Roman"/>
          <w:sz w:val="28"/>
          <w:szCs w:val="28"/>
          <w:lang w:val="fr-CH"/>
        </w:rPr>
        <w:t>142/6</w:t>
      </w:r>
    </w:p>
    <w:p w:rsidR="005131A3" w:rsidRPr="00C87FC4" w:rsidRDefault="005131A3" w:rsidP="005131A3">
      <w:pPr>
        <w:pStyle w:val="Questiontitle"/>
        <w:rPr>
          <w:rFonts w:asciiTheme="majorBidi" w:hAnsiTheme="majorBidi" w:cstheme="majorBidi"/>
          <w:szCs w:val="28"/>
          <w:lang w:val="fr-CH" w:eastAsia="zh-CN"/>
        </w:rPr>
      </w:pPr>
      <w:r w:rsidRPr="00C87FC4">
        <w:rPr>
          <w:rFonts w:asciiTheme="majorBidi" w:hAnsiTheme="majorBidi" w:cstheme="majorBidi"/>
          <w:szCs w:val="28"/>
          <w:lang w:val="fr-CH"/>
        </w:rPr>
        <w:t>Systèmes de télévision à grande plage dynamique</w:t>
      </w:r>
      <w:r w:rsidR="00A25197" w:rsidRPr="00C87FC4">
        <w:rPr>
          <w:rFonts w:asciiTheme="majorBidi" w:hAnsiTheme="majorBidi" w:cstheme="majorBidi"/>
          <w:szCs w:val="28"/>
          <w:lang w:val="fr-CH" w:eastAsia="zh-CN"/>
        </w:rPr>
        <w:t xml:space="preserve"> pour la radiodiffusion</w:t>
      </w:r>
    </w:p>
    <w:p w:rsidR="006E4812" w:rsidRDefault="006E4812" w:rsidP="006E4812">
      <w:pPr>
        <w:pStyle w:val="Normalaftertitle0"/>
        <w:spacing w:before="400"/>
        <w:jc w:val="right"/>
        <w:rPr>
          <w:lang w:val="fr-CH" w:eastAsia="zh-CN"/>
        </w:rPr>
      </w:pPr>
      <w:r w:rsidRPr="0032517A">
        <w:rPr>
          <w:rFonts w:asciiTheme="majorBidi" w:hAnsiTheme="majorBidi" w:cstheme="majorBidi"/>
          <w:iCs/>
        </w:rPr>
        <w:t>(2015)</w:t>
      </w:r>
    </w:p>
    <w:p w:rsidR="005131A3" w:rsidRPr="00C87FC4" w:rsidRDefault="005131A3" w:rsidP="00EB73A5">
      <w:pPr>
        <w:pStyle w:val="Normalaftertitle0"/>
        <w:spacing w:before="400"/>
        <w:rPr>
          <w:lang w:val="fr-CH" w:eastAsia="zh-CN"/>
        </w:rPr>
      </w:pPr>
      <w:r w:rsidRPr="00C87FC4">
        <w:rPr>
          <w:lang w:val="fr-CH" w:eastAsia="zh-CN"/>
        </w:rPr>
        <w:t>L’Assemblée des radiocommunications de l’UIT,</w:t>
      </w:r>
    </w:p>
    <w:p w:rsidR="005131A3" w:rsidRPr="00C87FC4" w:rsidRDefault="005131A3" w:rsidP="005131A3">
      <w:pPr>
        <w:pStyle w:val="Call"/>
        <w:spacing w:before="120"/>
        <w:rPr>
          <w:rFonts w:ascii="Times New Roman" w:hAnsi="Times New Roman" w:cs="Times New Roman"/>
          <w:lang w:val="fr-CH" w:eastAsia="zh-CN"/>
        </w:rPr>
      </w:pPr>
      <w:r w:rsidRPr="00C87FC4">
        <w:rPr>
          <w:rFonts w:ascii="Times New Roman" w:hAnsi="Times New Roman" w:cs="Times New Roman"/>
          <w:lang w:val="fr-CH"/>
        </w:rPr>
        <w:t>considérant</w:t>
      </w:r>
    </w:p>
    <w:p w:rsidR="005131A3" w:rsidRPr="00C87FC4" w:rsidRDefault="005131A3" w:rsidP="005131A3">
      <w:pPr>
        <w:spacing w:before="120"/>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r>
      <w:r w:rsidRPr="00C87FC4">
        <w:rPr>
          <w:rFonts w:ascii="Times New Roman" w:hAnsi="Times New Roman" w:cs="Times New Roman"/>
          <w:lang w:val="fr-CH"/>
        </w:rPr>
        <w:t>que l'UIT-R a défini des systèmes de radiodiffusion télévisuelle pour la télévision à définition normale (TVDN), la télévision à haute définition (TVHD) et la télévision à ultra-haute définition (TVUHD)</w:t>
      </w:r>
      <w:r w:rsidRPr="00C87FC4">
        <w:rPr>
          <w:rFonts w:ascii="Times New Roman" w:hAnsi="Times New Roman" w:cs="Times New Roman"/>
          <w:szCs w:val="24"/>
          <w:lang w:val="fr-CH"/>
        </w:rPr>
        <w:t xml:space="preserve"> dans les </w:t>
      </w:r>
      <w:r w:rsidRPr="00C87FC4">
        <w:rPr>
          <w:rFonts w:ascii="Times New Roman" w:hAnsi="Times New Roman" w:cs="Times New Roman"/>
          <w:szCs w:val="24"/>
          <w:lang w:val="fr-CH" w:eastAsia="ko-KR"/>
        </w:rPr>
        <w:t>Recommandations UIT-R BT.601, BT.709 et BT.2020</w:t>
      </w:r>
      <w:r w:rsidRPr="00C87FC4">
        <w:rPr>
          <w:rFonts w:ascii="Times New Roman" w:hAnsi="Times New Roman" w:cs="Times New Roman"/>
          <w:szCs w:val="24"/>
          <w:lang w:val="fr-CH"/>
        </w:rPr>
        <w:t>;</w:t>
      </w:r>
    </w:p>
    <w:p w:rsidR="005131A3" w:rsidRPr="00C87FC4" w:rsidRDefault="005131A3" w:rsidP="005131A3">
      <w:pPr>
        <w:spacing w:before="120"/>
        <w:rPr>
          <w:rFonts w:ascii="Times New Roman" w:eastAsia="MS Mincho" w:hAnsi="Times New Roman" w:cs="Times New Roman"/>
          <w:szCs w:val="24"/>
          <w:lang w:val="fr-CH"/>
        </w:rPr>
      </w:pPr>
      <w:r w:rsidRPr="00C87FC4">
        <w:rPr>
          <w:rFonts w:ascii="Times New Roman" w:hAnsi="Times New Roman" w:cs="Times New Roman"/>
          <w:i/>
          <w:iCs/>
          <w:szCs w:val="24"/>
          <w:lang w:val="fr-CH" w:eastAsia="zh-CN"/>
        </w:rPr>
        <w:t>b)</w:t>
      </w:r>
      <w:r w:rsidRPr="00C87FC4">
        <w:rPr>
          <w:rFonts w:ascii="Times New Roman" w:hAnsi="Times New Roman" w:cs="Times New Roman"/>
          <w:i/>
          <w:iCs/>
          <w:szCs w:val="24"/>
          <w:lang w:val="fr-CH" w:eastAsia="zh-CN"/>
        </w:rPr>
        <w:tab/>
      </w:r>
      <w:r w:rsidRPr="00C87FC4">
        <w:rPr>
          <w:rFonts w:ascii="Times New Roman" w:eastAsia="MS Mincho" w:hAnsi="Times New Roman" w:cs="Times New Roman"/>
          <w:szCs w:val="24"/>
          <w:lang w:val="fr-CH"/>
        </w:rPr>
        <w:t xml:space="preserve">que les écrans de télévision modernes sont capables de reproduire des images avec une </w:t>
      </w:r>
      <w:r w:rsidRPr="00C87FC4">
        <w:rPr>
          <w:rFonts w:ascii="Times New Roman" w:hAnsi="Times New Roman" w:cs="Times New Roman"/>
          <w:lang w:val="fr-CH"/>
        </w:rPr>
        <w:t>luminance plus élevée</w:t>
      </w:r>
      <w:r w:rsidRPr="00C87FC4">
        <w:rPr>
          <w:rFonts w:ascii="Times New Roman" w:eastAsia="MS Mincho" w:hAnsi="Times New Roman" w:cs="Times New Roman"/>
          <w:szCs w:val="24"/>
          <w:lang w:val="fr-CH"/>
        </w:rPr>
        <w:t xml:space="preserve">, un </w:t>
      </w:r>
      <w:r w:rsidRPr="00C87FC4">
        <w:rPr>
          <w:rFonts w:ascii="Times New Roman" w:hAnsi="Times New Roman" w:cs="Times New Roman"/>
          <w:lang w:val="fr-CH"/>
        </w:rPr>
        <w:t>plus grand rapport de contraste</w:t>
      </w:r>
      <w:r w:rsidRPr="00C87FC4">
        <w:rPr>
          <w:rFonts w:ascii="Times New Roman" w:eastAsia="MS Mincho" w:hAnsi="Times New Roman" w:cs="Times New Roman"/>
          <w:szCs w:val="24"/>
          <w:lang w:val="fr-CH"/>
        </w:rPr>
        <w:t xml:space="preserve"> et </w:t>
      </w:r>
      <w:r w:rsidRPr="00C87FC4">
        <w:rPr>
          <w:rFonts w:ascii="Times New Roman" w:hAnsi="Times New Roman" w:cs="Times New Roman"/>
          <w:lang w:val="fr-CH"/>
        </w:rPr>
        <w:t>une gamme de couleurs plus étendue</w:t>
      </w:r>
      <w:r w:rsidRPr="00C87FC4">
        <w:rPr>
          <w:rFonts w:ascii="Times New Roman" w:eastAsia="MS Mincho" w:hAnsi="Times New Roman" w:cs="Times New Roman"/>
          <w:szCs w:val="24"/>
          <w:lang w:val="fr-CH"/>
        </w:rPr>
        <w:t xml:space="preserve"> (WCG) que ceux utilisés pour la production de programmes classiques;</w:t>
      </w:r>
    </w:p>
    <w:p w:rsidR="005131A3" w:rsidRPr="00C87FC4" w:rsidRDefault="005131A3" w:rsidP="005131A3">
      <w:pPr>
        <w:spacing w:before="120"/>
        <w:rPr>
          <w:rFonts w:ascii="Times New Roman" w:eastAsia="MS Mincho" w:hAnsi="Times New Roman" w:cs="Times New Roman"/>
          <w:szCs w:val="24"/>
          <w:lang w:val="fr-CH"/>
        </w:rPr>
      </w:pPr>
      <w:r w:rsidRPr="00C87FC4">
        <w:rPr>
          <w:rFonts w:ascii="Times New Roman" w:hAnsi="Times New Roman" w:cs="Times New Roman"/>
          <w:i/>
          <w:szCs w:val="24"/>
          <w:lang w:val="fr-CH"/>
        </w:rPr>
        <w:t>c)</w:t>
      </w:r>
      <w:r w:rsidRPr="00C87FC4">
        <w:rPr>
          <w:rFonts w:ascii="Times New Roman" w:hAnsi="Times New Roman" w:cs="Times New Roman"/>
          <w:i/>
          <w:szCs w:val="24"/>
          <w:lang w:val="fr-CH" w:eastAsia="zh-CN"/>
        </w:rPr>
        <w:tab/>
      </w:r>
      <w:r w:rsidRPr="00C87FC4">
        <w:rPr>
          <w:rFonts w:ascii="Times New Roman" w:hAnsi="Times New Roman" w:cs="Times New Roman"/>
          <w:szCs w:val="24"/>
          <w:lang w:val="fr-CH" w:eastAsia="zh-CN"/>
        </w:rPr>
        <w:t xml:space="preserve">que, bien que la </w:t>
      </w:r>
      <w:r w:rsidRPr="00C87FC4">
        <w:rPr>
          <w:rFonts w:ascii="Times New Roman" w:hAnsi="Times New Roman" w:cs="Times New Roman"/>
          <w:lang w:val="fr-CH"/>
        </w:rPr>
        <w:t>TVUHD</w:t>
      </w:r>
      <w:r w:rsidRPr="00C87FC4">
        <w:rPr>
          <w:rFonts w:ascii="Times New Roman" w:hAnsi="Times New Roman" w:cs="Times New Roman"/>
          <w:szCs w:val="24"/>
          <w:lang w:val="fr-CH" w:eastAsia="zh-CN"/>
        </w:rPr>
        <w:t xml:space="preserve"> offre une </w:t>
      </w:r>
      <w:r w:rsidRPr="00C87FC4">
        <w:rPr>
          <w:rFonts w:ascii="Times New Roman" w:hAnsi="Times New Roman" w:cs="Times New Roman"/>
          <w:lang w:val="fr-CH"/>
        </w:rPr>
        <w:t xml:space="preserve">résolution spatiale plus élevée, une gamme de couleurs plus étendue et la possibilité d’utiliser </w:t>
      </w:r>
      <w:r w:rsidRPr="00C87FC4">
        <w:rPr>
          <w:rFonts w:ascii="Times New Roman" w:hAnsi="Times New Roman" w:cs="Times New Roman"/>
          <w:szCs w:val="24"/>
          <w:lang w:val="fr-CH" w:eastAsia="zh-CN"/>
        </w:rPr>
        <w:t xml:space="preserve">une </w:t>
      </w:r>
      <w:r w:rsidRPr="00C87FC4">
        <w:rPr>
          <w:rFonts w:ascii="Times New Roman" w:hAnsi="Times New Roman" w:cs="Times New Roman"/>
          <w:lang w:val="fr-CH"/>
        </w:rPr>
        <w:t>fréquence de trame plus élevée</w:t>
      </w:r>
      <w:r w:rsidRPr="00C87FC4">
        <w:rPr>
          <w:rFonts w:ascii="Times New Roman" w:hAnsi="Times New Roman" w:cs="Times New Roman"/>
          <w:szCs w:val="24"/>
          <w:lang w:val="fr-CH" w:eastAsia="zh-CN"/>
        </w:rPr>
        <w:t>, elle présente encore des limites pour ce qui est de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plage dynamique d'image, comme la TVHD</w:t>
      </w:r>
      <w:r w:rsidRPr="00C87FC4">
        <w:rPr>
          <w:rFonts w:ascii="Times New Roman" w:eastAsia="MS Mincho" w:hAnsi="Times New Roman" w:cs="Times New Roman"/>
          <w:szCs w:val="24"/>
          <w:lang w:val="fr-CH"/>
        </w:rPr>
        <w:t xml:space="preserve"> et la </w:t>
      </w:r>
      <w:r w:rsidRPr="00C87FC4">
        <w:rPr>
          <w:rFonts w:ascii="Times New Roman" w:hAnsi="Times New Roman" w:cs="Times New Roman"/>
          <w:lang w:val="fr-CH"/>
        </w:rPr>
        <w:t>TVDN</w:t>
      </w:r>
      <w:r w:rsidRPr="00C87FC4">
        <w:rPr>
          <w:rFonts w:ascii="Times New Roman" w:eastAsia="MS Mincho" w:hAnsi="Times New Roman" w:cs="Times New Roman"/>
          <w:szCs w:val="24"/>
          <w:lang w:val="fr-CH"/>
        </w:rPr>
        <w:t>;</w:t>
      </w:r>
    </w:p>
    <w:p w:rsidR="005131A3" w:rsidRPr="00C87FC4" w:rsidRDefault="005131A3" w:rsidP="00A25197">
      <w:pPr>
        <w:spacing w:before="120"/>
        <w:rPr>
          <w:rFonts w:ascii="Times New Roman" w:hAnsi="Times New Roman" w:cs="Times New Roman"/>
          <w:szCs w:val="24"/>
          <w:lang w:val="fr-CH"/>
        </w:rPr>
      </w:pPr>
      <w:r w:rsidRPr="00C87FC4">
        <w:rPr>
          <w:rFonts w:ascii="Times New Roman" w:hAnsi="Times New Roman" w:cs="Times New Roman"/>
          <w:i/>
          <w:szCs w:val="24"/>
          <w:lang w:val="fr-CH" w:eastAsia="zh-CN"/>
        </w:rPr>
        <w:t>d)</w:t>
      </w:r>
      <w:r w:rsidRPr="00C87FC4">
        <w:rPr>
          <w:rFonts w:ascii="Times New Roman" w:hAnsi="Times New Roman" w:cs="Times New Roman"/>
          <w:i/>
          <w:szCs w:val="24"/>
          <w:lang w:val="fr-CH" w:eastAsia="zh-CN"/>
        </w:rPr>
        <w:tab/>
      </w:r>
      <w:r w:rsidRPr="00C87FC4">
        <w:rPr>
          <w:rFonts w:ascii="Times New Roman" w:hAnsi="Times New Roman" w:cs="Times New Roman"/>
          <w:lang w:val="fr-CH"/>
        </w:rPr>
        <w:t>que les systèmes de télévision à grande plage dynamique</w:t>
      </w:r>
      <w:r w:rsidR="00247EC1">
        <w:rPr>
          <w:rFonts w:ascii="Times New Roman" w:hAnsi="Times New Roman" w:cs="Times New Roman"/>
          <w:szCs w:val="24"/>
          <w:lang w:val="fr-CH" w:eastAsia="zh-CN"/>
        </w:rPr>
        <w:t xml:space="preserve"> (TV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 xml:space="preserve">HDR) sont censés pouvoir reproduire des images avec une luminance sensiblement plus élevée et </w:t>
      </w:r>
      <w:r w:rsidRPr="00C87FC4">
        <w:rPr>
          <w:rFonts w:ascii="Times New Roman" w:eastAsia="MS Mincho" w:hAnsi="Times New Roman" w:cs="Times New Roman"/>
          <w:szCs w:val="24"/>
          <w:lang w:val="fr-CH"/>
        </w:rPr>
        <w:t xml:space="preserve">un </w:t>
      </w:r>
      <w:r w:rsidRPr="00C87FC4">
        <w:rPr>
          <w:rFonts w:ascii="Times New Roman" w:hAnsi="Times New Roman" w:cs="Times New Roman"/>
          <w:lang w:val="fr-CH"/>
        </w:rPr>
        <w:t>plus grand rapport</w:t>
      </w:r>
      <w:r w:rsidRPr="00C87FC4">
        <w:rPr>
          <w:rFonts w:ascii="Times New Roman" w:hAnsi="Times New Roman" w:cs="Times New Roman"/>
          <w:szCs w:val="24"/>
          <w:lang w:val="fr-CH" w:eastAsia="zh-CN"/>
        </w:rPr>
        <w:t xml:space="preserve"> de contraste;</w:t>
      </w:r>
    </w:p>
    <w:p w:rsidR="005131A3" w:rsidRPr="00C87FC4" w:rsidRDefault="005131A3" w:rsidP="00247EC1">
      <w:pPr>
        <w:spacing w:before="120"/>
        <w:rPr>
          <w:rFonts w:ascii="Times New Roman" w:hAnsi="Times New Roman" w:cs="Times New Roman"/>
          <w:i/>
          <w:iCs/>
          <w:szCs w:val="24"/>
          <w:lang w:val="fr-CH" w:eastAsia="zh-CN"/>
        </w:rPr>
      </w:pPr>
      <w:r w:rsidRPr="00C87FC4">
        <w:rPr>
          <w:rFonts w:ascii="Times New Roman" w:hAnsi="Times New Roman" w:cs="Times New Roman"/>
          <w:i/>
          <w:iCs/>
          <w:szCs w:val="24"/>
          <w:lang w:val="fr-CH" w:eastAsia="zh-CN"/>
        </w:rPr>
        <w:t>e)</w:t>
      </w:r>
      <w:r w:rsidRPr="00C87FC4">
        <w:rPr>
          <w:rFonts w:ascii="Times New Roman" w:hAnsi="Times New Roman" w:cs="Times New Roman"/>
          <w:iCs/>
          <w:szCs w:val="24"/>
          <w:lang w:val="fr-CH" w:eastAsia="zh-CN"/>
        </w:rPr>
        <w:tab/>
        <w:t xml:space="preserve">qu’il a été démontré que les systèmes </w:t>
      </w:r>
      <w:r w:rsidRPr="00C87FC4">
        <w:rPr>
          <w:rFonts w:ascii="Times New Roman" w:hAnsi="Times New Roman" w:cs="Times New Roman"/>
          <w:szCs w:val="24"/>
          <w:lang w:val="fr-CH" w:eastAsia="zh-CN"/>
        </w:rPr>
        <w:t>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HDR permettaient aux téléspectateurs</w:t>
      </w:r>
      <w:r w:rsidRPr="00C87FC4">
        <w:rPr>
          <w:rFonts w:ascii="Times New Roman" w:hAnsi="Times New Roman" w:cs="Times New Roman"/>
          <w:iCs/>
          <w:szCs w:val="24"/>
          <w:lang w:val="fr-CH" w:eastAsia="zh-CN"/>
        </w:rPr>
        <w:t xml:space="preserve"> de mieux apprécier les images de télévision;</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i/>
          <w:szCs w:val="24"/>
          <w:lang w:val="fr-CH" w:eastAsia="zh-CN"/>
        </w:rPr>
        <w:t>f)</w:t>
      </w:r>
      <w:r w:rsidRPr="00C87FC4">
        <w:rPr>
          <w:rFonts w:ascii="Times New Roman" w:hAnsi="Times New Roman" w:cs="Times New Roman"/>
          <w:i/>
          <w:szCs w:val="24"/>
          <w:lang w:val="fr-CH" w:eastAsia="zh-CN"/>
        </w:rPr>
        <w:tab/>
      </w:r>
      <w:r w:rsidRPr="00C87FC4">
        <w:rPr>
          <w:rFonts w:ascii="Times New Roman" w:hAnsi="Times New Roman" w:cs="Times New Roman"/>
          <w:szCs w:val="24"/>
          <w:lang w:val="fr-CH" w:eastAsia="zh-CN"/>
        </w:rPr>
        <w:t>qu’un grand nombre de programmes de télévision continueront d’être produits, échangés et visualisés avec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 xml:space="preserve">plage dynamique d'image type </w:t>
      </w:r>
      <w:r w:rsidRPr="00C87FC4">
        <w:rPr>
          <w:rFonts w:ascii="Times New Roman" w:hAnsi="Times New Roman" w:cs="Times New Roman"/>
          <w:szCs w:val="24"/>
          <w:lang w:val="fr-CH" w:eastAsia="zh-CN"/>
        </w:rPr>
        <w:t xml:space="preserve">offerte par </w:t>
      </w:r>
      <w:r w:rsidRPr="00C87FC4">
        <w:rPr>
          <w:rFonts w:ascii="Times New Roman" w:eastAsia="MS Mincho" w:hAnsi="Times New Roman" w:cs="Times New Roman"/>
          <w:szCs w:val="24"/>
          <w:lang w:val="fr-CH"/>
        </w:rPr>
        <w:t xml:space="preserve">la </w:t>
      </w:r>
      <w:r w:rsidRPr="00C87FC4">
        <w:rPr>
          <w:rFonts w:ascii="Times New Roman" w:hAnsi="Times New Roman" w:cs="Times New Roman"/>
          <w:lang w:val="fr-CH"/>
        </w:rPr>
        <w:t>TVDN,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TVHD</w:t>
      </w:r>
      <w:r w:rsidRPr="00C87FC4">
        <w:rPr>
          <w:rFonts w:ascii="Times New Roman" w:eastAsia="MS Mincho" w:hAnsi="Times New Roman" w:cs="Times New Roman"/>
          <w:szCs w:val="24"/>
          <w:lang w:val="fr-CH"/>
        </w:rPr>
        <w:t xml:space="preserve"> et la </w:t>
      </w:r>
      <w:r w:rsidRPr="00C87FC4">
        <w:rPr>
          <w:rFonts w:ascii="Times New Roman" w:hAnsi="Times New Roman" w:cs="Times New Roman"/>
          <w:lang w:val="fr-CH"/>
        </w:rPr>
        <w:t>TVUHD</w:t>
      </w:r>
      <w:r w:rsidRPr="00C87FC4">
        <w:rPr>
          <w:rFonts w:ascii="Times New Roman" w:hAnsi="Times New Roman" w:cs="Times New Roman"/>
          <w:szCs w:val="24"/>
          <w:lang w:val="fr-CH" w:eastAsia="zh-CN"/>
        </w:rPr>
        <w:t>;</w:t>
      </w:r>
    </w:p>
    <w:p w:rsidR="005131A3" w:rsidRPr="00C87FC4" w:rsidRDefault="005131A3" w:rsidP="00247EC1">
      <w:pPr>
        <w:spacing w:before="120"/>
        <w:rPr>
          <w:rFonts w:ascii="Times New Roman" w:hAnsi="Times New Roman" w:cs="Times New Roman"/>
          <w:szCs w:val="24"/>
          <w:lang w:val="fr-CH" w:eastAsia="zh-CN"/>
        </w:rPr>
      </w:pPr>
      <w:r w:rsidRPr="00C87FC4">
        <w:rPr>
          <w:rFonts w:ascii="Times New Roman" w:hAnsi="Times New Roman" w:cs="Times New Roman"/>
          <w:i/>
          <w:szCs w:val="24"/>
          <w:lang w:val="fr-CH" w:eastAsia="zh-CN"/>
        </w:rPr>
        <w:t>g)</w:t>
      </w:r>
      <w:r w:rsidRPr="00C87FC4">
        <w:rPr>
          <w:rFonts w:ascii="Times New Roman" w:hAnsi="Times New Roman" w:cs="Times New Roman"/>
          <w:szCs w:val="24"/>
          <w:lang w:val="fr-CH" w:eastAsia="zh-CN"/>
        </w:rPr>
        <w:tab/>
        <w:t>qu’il est souhaitable d’assurer une certaine compatibilité, le cas échéant, entre les systèmes 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HDR et les flux de travail existants ainsi que les infrastructures des radiodiffuseurs,</w:t>
      </w:r>
    </w:p>
    <w:p w:rsidR="005131A3" w:rsidRPr="00C87FC4" w:rsidRDefault="005131A3" w:rsidP="005131A3">
      <w:pPr>
        <w:pStyle w:val="Call"/>
        <w:spacing w:before="120"/>
        <w:rPr>
          <w:rFonts w:ascii="Times New Roman" w:hAnsi="Times New Roman" w:cs="Times New Roman"/>
          <w:lang w:val="fr-CH" w:eastAsia="zh-CN"/>
        </w:rPr>
      </w:pPr>
      <w:r w:rsidRPr="00C87FC4">
        <w:rPr>
          <w:rFonts w:ascii="Times New Roman" w:hAnsi="Times New Roman" w:cs="Times New Roman"/>
          <w:lang w:val="fr-CH" w:eastAsia="zh-CN"/>
        </w:rPr>
        <w:t xml:space="preserve">décide </w:t>
      </w:r>
      <w:r w:rsidRPr="00C87FC4">
        <w:rPr>
          <w:rFonts w:ascii="Times New Roman" w:hAnsi="Times New Roman" w:cs="Times New Roman"/>
          <w:i w:val="0"/>
          <w:iCs/>
          <w:lang w:val="fr-CH" w:eastAsia="zh-CN"/>
        </w:rPr>
        <w:t>de mettre à l’étude les questions suivantes</w:t>
      </w:r>
    </w:p>
    <w:p w:rsidR="005131A3" w:rsidRPr="00C87FC4" w:rsidRDefault="005131A3" w:rsidP="00247EC1">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1</w:t>
      </w:r>
      <w:r w:rsidRPr="00C87FC4">
        <w:rPr>
          <w:rFonts w:ascii="Times New Roman" w:hAnsi="Times New Roman" w:cs="Times New Roman"/>
          <w:szCs w:val="24"/>
          <w:lang w:val="fr-CH" w:eastAsia="zh-CN"/>
        </w:rPr>
        <w:tab/>
        <w:t xml:space="preserve">quelles sont les </w:t>
      </w:r>
      <w:r w:rsidRPr="00C87FC4">
        <w:rPr>
          <w:rFonts w:ascii="Times New Roman" w:hAnsi="Times New Roman" w:cs="Times New Roman"/>
          <w:color w:val="000000"/>
          <w:lang w:val="fr-CH"/>
        </w:rPr>
        <w:t xml:space="preserve">valeurs de paramètres appropriées des systèmes </w:t>
      </w:r>
      <w:r w:rsidRPr="00C87FC4">
        <w:rPr>
          <w:rFonts w:ascii="Times New Roman" w:hAnsi="Times New Roman" w:cs="Times New Roman"/>
          <w:szCs w:val="24"/>
          <w:lang w:val="fr-CH" w:eastAsia="zh-CN"/>
        </w:rPr>
        <w:t>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 xml:space="preserve">HDR </w:t>
      </w:r>
      <w:r w:rsidRPr="00C87FC4">
        <w:rPr>
          <w:rFonts w:ascii="Times New Roman" w:hAnsi="Times New Roman" w:cs="Times New Roman"/>
          <w:color w:val="000000"/>
          <w:lang w:val="fr-CH"/>
        </w:rPr>
        <w:t xml:space="preserve"> pour la production et l'échange international de programmes</w:t>
      </w:r>
      <w:r w:rsidRPr="00C87FC4">
        <w:rPr>
          <w:rFonts w:ascii="Times New Roman" w:hAnsi="Times New Roman" w:cs="Times New Roman"/>
          <w:szCs w:val="24"/>
          <w:lang w:val="fr-CH" w:eastAsia="zh-CN"/>
        </w:rPr>
        <w:t>?</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2</w:t>
      </w:r>
      <w:r w:rsidRPr="00C87FC4">
        <w:rPr>
          <w:rFonts w:ascii="Times New Roman" w:hAnsi="Times New Roman" w:cs="Times New Roman"/>
          <w:szCs w:val="24"/>
          <w:lang w:val="fr-CH" w:eastAsia="zh-CN"/>
        </w:rPr>
        <w:tab/>
        <w:t>quelles méthodes de production et de formatage pour la distribution aux consommateurs permettraient d’assurer une certaine compatibilité avec la plupart des téléviseurs actuellement utilisés dans les foyers?</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3</w:t>
      </w:r>
      <w:r w:rsidRPr="00C87FC4">
        <w:rPr>
          <w:rFonts w:ascii="Times New Roman" w:hAnsi="Times New Roman" w:cs="Times New Roman"/>
          <w:szCs w:val="24"/>
          <w:lang w:val="fr-CH" w:eastAsia="zh-CN"/>
        </w:rPr>
        <w:tab/>
        <w:t xml:space="preserve">quelles </w:t>
      </w:r>
      <w:r w:rsidRPr="00C87FC4">
        <w:rPr>
          <w:rFonts w:ascii="Times New Roman" w:hAnsi="Times New Roman" w:cs="Times New Roman"/>
          <w:color w:val="000000"/>
          <w:lang w:val="fr-CH"/>
        </w:rPr>
        <w:t xml:space="preserve">conditions de visualisation convient-il de prendre pour hypothèse pour le visionnage de programmes </w:t>
      </w:r>
      <w:r w:rsidRPr="00C87FC4">
        <w:rPr>
          <w:rFonts w:ascii="Times New Roman" w:hAnsi="Times New Roman" w:cs="Times New Roman"/>
          <w:szCs w:val="24"/>
          <w:lang w:val="fr-CH" w:eastAsia="zh-CN"/>
        </w:rPr>
        <w:t>HDR-TV?</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4</w:t>
      </w:r>
      <w:r w:rsidRPr="00C87FC4">
        <w:rPr>
          <w:rFonts w:ascii="Times New Roman" w:hAnsi="Times New Roman" w:cs="Times New Roman"/>
          <w:szCs w:val="24"/>
          <w:lang w:val="fr-CH" w:eastAsia="zh-CN"/>
        </w:rPr>
        <w:tab/>
        <w:t xml:space="preserve">quelle relation évaluée scientifiquement existe-t-il, dans les environnements </w:t>
      </w:r>
      <w:r w:rsidRPr="00C87FC4">
        <w:rPr>
          <w:rFonts w:ascii="Times New Roman" w:hAnsi="Times New Roman" w:cs="Times New Roman"/>
          <w:color w:val="000000"/>
          <w:lang w:val="fr-CH"/>
        </w:rPr>
        <w:t xml:space="preserve">de visualisation «à domicile», entre le degré d’amélioration de la plage dynamique de l'image </w:t>
      </w:r>
      <w:r w:rsidRPr="00C87FC4">
        <w:rPr>
          <w:rFonts w:ascii="Times New Roman" w:hAnsi="Times New Roman" w:cs="Times New Roman"/>
          <w:szCs w:val="24"/>
          <w:lang w:val="fr-CH" w:eastAsia="zh-CN"/>
        </w:rPr>
        <w:t>et le niveau de satisfaction du consommateur?</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5</w:t>
      </w:r>
      <w:r w:rsidRPr="00C87FC4">
        <w:rPr>
          <w:rFonts w:ascii="Times New Roman" w:hAnsi="Times New Roman" w:cs="Times New Roman"/>
          <w:szCs w:val="24"/>
          <w:lang w:val="fr-CH" w:eastAsia="zh-CN"/>
        </w:rPr>
        <w:tab/>
        <w:t>quelles pratiques d’exploitation convient-il de recommander pour que les téléspectateurs ne perçoivent pas de sauts d’image gênants lors du passage des programmes TV–HDR aux programmes de télévision avec plage dynamique type, ou inversement?</w:t>
      </w:r>
    </w:p>
    <w:p w:rsidR="006E4812" w:rsidRDefault="006E481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4"/>
          <w:lang w:val="fr-CH" w:eastAsia="zh-CN"/>
        </w:rPr>
      </w:pPr>
      <w:r>
        <w:rPr>
          <w:rFonts w:ascii="Times New Roman" w:hAnsi="Times New Roman" w:cs="Times New Roman"/>
          <w:bCs/>
          <w:szCs w:val="24"/>
          <w:lang w:val="fr-CH" w:eastAsia="zh-CN"/>
        </w:rPr>
        <w:br w:type="page"/>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lastRenderedPageBreak/>
        <w:t>6</w:t>
      </w:r>
      <w:r w:rsidRPr="00C87FC4">
        <w:rPr>
          <w:rFonts w:ascii="Times New Roman" w:hAnsi="Times New Roman" w:cs="Times New Roman"/>
          <w:szCs w:val="24"/>
          <w:lang w:val="fr-CH" w:eastAsia="zh-CN"/>
        </w:rPr>
        <w:tab/>
        <w:t xml:space="preserve">quel est le scénario futur envisagé pour </w:t>
      </w:r>
      <w:r w:rsidRPr="00C87FC4">
        <w:rPr>
          <w:rFonts w:ascii="Times New Roman" w:hAnsi="Times New Roman" w:cs="Times New Roman"/>
          <w:color w:val="000000"/>
          <w:lang w:val="fr-CH"/>
        </w:rPr>
        <w:t xml:space="preserve">la migration des services de télévision actuels vers les services </w:t>
      </w:r>
      <w:r w:rsidRPr="00C87FC4">
        <w:rPr>
          <w:rFonts w:ascii="Times New Roman" w:hAnsi="Times New Roman" w:cs="Times New Roman"/>
          <w:szCs w:val="24"/>
          <w:lang w:val="fr-CH" w:eastAsia="zh-CN"/>
        </w:rPr>
        <w:t>TV–HDR futurs?</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7</w:t>
      </w:r>
      <w:r w:rsidRPr="00C87FC4">
        <w:rPr>
          <w:rFonts w:ascii="Times New Roman" w:hAnsi="Times New Roman" w:cs="Times New Roman"/>
          <w:szCs w:val="24"/>
          <w:lang w:val="fr-CH" w:eastAsia="zh-CN"/>
        </w:rPr>
        <w:tab/>
        <w:t>quelles méthodes convient-il d’utiliser pour l’évaluation subjective de la qualité d’image TV</w:t>
      </w:r>
      <w:r w:rsidRPr="00C87FC4">
        <w:rPr>
          <w:rFonts w:ascii="Times New Roman" w:hAnsi="Times New Roman" w:cs="Times New Roman"/>
          <w:szCs w:val="24"/>
          <w:lang w:val="fr-CH" w:eastAsia="zh-CN"/>
        </w:rPr>
        <w:noBreakHyphen/>
        <w:t>HDR?</w:t>
      </w:r>
    </w:p>
    <w:p w:rsidR="005131A3" w:rsidRPr="00C87FC4" w:rsidRDefault="005131A3" w:rsidP="005131A3">
      <w:pPr>
        <w:pStyle w:val="Call"/>
        <w:spacing w:before="120"/>
        <w:rPr>
          <w:rFonts w:ascii="Times New Roman" w:hAnsi="Times New Roman" w:cs="Times New Roman"/>
          <w:lang w:val="fr-CH"/>
        </w:rPr>
      </w:pPr>
      <w:r w:rsidRPr="00C87FC4">
        <w:rPr>
          <w:rFonts w:ascii="Times New Roman" w:hAnsi="Times New Roman" w:cs="Times New Roman"/>
          <w:lang w:val="fr-CH"/>
        </w:rPr>
        <w:t>décide en outre</w:t>
      </w:r>
    </w:p>
    <w:p w:rsidR="005131A3" w:rsidRPr="00C87FC4" w:rsidRDefault="005131A3" w:rsidP="004B4231">
      <w:pPr>
        <w:spacing w:before="120"/>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lang w:val="fr-CH"/>
        </w:rPr>
        <w:t xml:space="preserve">que les résultats des études susmentionnées devraient figurer dans une ou plusieurs Recommandations ou un ou dans plusieurs </w:t>
      </w:r>
      <w:r w:rsidR="004B4231">
        <w:rPr>
          <w:rFonts w:ascii="Times New Roman" w:hAnsi="Times New Roman" w:cs="Times New Roman"/>
          <w:lang w:val="fr-CH"/>
        </w:rPr>
        <w:t>R</w:t>
      </w:r>
      <w:bookmarkStart w:id="1" w:name="_GoBack"/>
      <w:bookmarkEnd w:id="1"/>
      <w:r w:rsidRPr="00C87FC4">
        <w:rPr>
          <w:rFonts w:ascii="Times New Roman" w:hAnsi="Times New Roman" w:cs="Times New Roman"/>
          <w:lang w:val="fr-CH"/>
        </w:rPr>
        <w:t>apports</w:t>
      </w:r>
      <w:r w:rsidRPr="00C87FC4">
        <w:rPr>
          <w:rFonts w:ascii="Times New Roman" w:hAnsi="Times New Roman" w:cs="Times New Roman"/>
          <w:szCs w:val="24"/>
          <w:lang w:val="fr-CH"/>
        </w:rPr>
        <w:t>;</w:t>
      </w:r>
    </w:p>
    <w:p w:rsidR="005131A3" w:rsidRPr="00C87FC4" w:rsidRDefault="005131A3" w:rsidP="005131A3">
      <w:pPr>
        <w:spacing w:before="120"/>
        <w:rPr>
          <w:rFonts w:ascii="Times New Roman" w:hAnsi="Times New Roman" w:cs="Times New Roman"/>
          <w:szCs w:val="24"/>
          <w:lang w:val="fr-CH"/>
        </w:rPr>
      </w:pPr>
      <w:r w:rsidRPr="00C87FC4">
        <w:rPr>
          <w:rFonts w:ascii="Times New Roman" w:hAnsi="Times New Roman" w:cs="Times New Roman"/>
          <w:bCs/>
          <w:szCs w:val="24"/>
          <w:lang w:val="fr-CH"/>
        </w:rPr>
        <w:t>2</w:t>
      </w:r>
      <w:r w:rsidRPr="00C87FC4">
        <w:rPr>
          <w:rFonts w:ascii="Times New Roman" w:hAnsi="Times New Roman" w:cs="Times New Roman"/>
          <w:szCs w:val="24"/>
          <w:lang w:val="fr-CH"/>
        </w:rPr>
        <w:tab/>
      </w:r>
      <w:r w:rsidRPr="00C87FC4">
        <w:rPr>
          <w:rFonts w:ascii="Times New Roman" w:hAnsi="Times New Roman" w:cs="Times New Roman"/>
          <w:lang w:val="fr-CH"/>
        </w:rPr>
        <w:t xml:space="preserve">que les études susmentionnées devraient être achevées en </w:t>
      </w:r>
      <w:r w:rsidRPr="00C87FC4">
        <w:rPr>
          <w:rFonts w:ascii="Times New Roman" w:hAnsi="Times New Roman" w:cs="Times New Roman"/>
          <w:szCs w:val="24"/>
          <w:lang w:val="fr-CH"/>
        </w:rPr>
        <w:t>2017.</w:t>
      </w:r>
    </w:p>
    <w:p w:rsidR="005131A3" w:rsidRPr="00C87FC4" w:rsidRDefault="005131A3" w:rsidP="005131A3">
      <w:pPr>
        <w:pStyle w:val="Reasons"/>
        <w:spacing w:before="480" w:line="480" w:lineRule="auto"/>
        <w:rPr>
          <w:rFonts w:asciiTheme="majorBidi" w:hAnsiTheme="majorBidi" w:cstheme="majorBidi"/>
          <w:szCs w:val="24"/>
          <w:lang w:val="fr-CH"/>
        </w:rPr>
      </w:pPr>
      <w:r w:rsidRPr="00C87FC4">
        <w:rPr>
          <w:rFonts w:asciiTheme="majorBidi" w:hAnsiTheme="majorBidi" w:cstheme="majorBidi"/>
          <w:szCs w:val="24"/>
          <w:lang w:val="fr-CH"/>
        </w:rPr>
        <w:t>Catégorie: S1</w:t>
      </w:r>
    </w:p>
    <w:p w:rsidR="005131A3" w:rsidRPr="00C87FC4" w:rsidRDefault="005131A3" w:rsidP="005131A3">
      <w:pPr>
        <w:rPr>
          <w:lang w:val="fr-CH"/>
        </w:rPr>
      </w:pPr>
      <w:r w:rsidRPr="00C87FC4">
        <w:rPr>
          <w:lang w:val="fr-CH"/>
        </w:rPr>
        <w:br w:type="page"/>
      </w:r>
    </w:p>
    <w:p w:rsidR="005131A3" w:rsidRPr="00D5579D" w:rsidRDefault="005131A3" w:rsidP="00F0462C">
      <w:pPr>
        <w:pStyle w:val="AnnexNoTitle"/>
        <w:spacing w:after="360"/>
        <w:rPr>
          <w:sz w:val="28"/>
          <w:szCs w:val="28"/>
          <w:lang w:val="fr-CH"/>
        </w:rPr>
      </w:pPr>
      <w:r w:rsidRPr="00D5579D">
        <w:rPr>
          <w:sz w:val="28"/>
          <w:szCs w:val="28"/>
          <w:lang w:val="fr-CH"/>
        </w:rPr>
        <w:lastRenderedPageBreak/>
        <w:t>Annexe 3</w:t>
      </w:r>
      <w:r w:rsidR="00452C07" w:rsidRPr="00D5579D">
        <w:rPr>
          <w:sz w:val="28"/>
          <w:szCs w:val="28"/>
          <w:lang w:val="fr-CH"/>
        </w:rPr>
        <w:br/>
      </w:r>
      <w:r w:rsidR="00452C07" w:rsidRPr="00D5579D">
        <w:rPr>
          <w:sz w:val="28"/>
          <w:szCs w:val="28"/>
          <w:lang w:val="fr-CH"/>
        </w:rPr>
        <w:br/>
      </w:r>
      <w:r w:rsidR="00D5579D" w:rsidRPr="00D5579D">
        <w:rPr>
          <w:rFonts w:asciiTheme="minorHAnsi" w:hAnsiTheme="minorHAnsi" w:cstheme="minorHAnsi"/>
          <w:sz w:val="28"/>
          <w:szCs w:val="28"/>
          <w:lang w:val="fr-CH"/>
        </w:rPr>
        <w:t>Liste des Questions UIT-R supprimées</w:t>
      </w:r>
    </w:p>
    <w:tbl>
      <w:tblPr>
        <w:tblStyle w:val="TableGrid"/>
        <w:tblW w:w="5000" w:type="pct"/>
        <w:jc w:val="center"/>
        <w:tblCellMar>
          <w:left w:w="28" w:type="dxa"/>
          <w:right w:w="28" w:type="dxa"/>
        </w:tblCellMar>
        <w:tblLook w:val="01E0" w:firstRow="1" w:lastRow="1" w:firstColumn="1" w:lastColumn="1" w:noHBand="0" w:noVBand="0"/>
      </w:tblPr>
      <w:tblGrid>
        <w:gridCol w:w="1554"/>
        <w:gridCol w:w="8075"/>
      </w:tblGrid>
      <w:tr w:rsidR="005131A3" w:rsidRPr="00C87FC4" w:rsidTr="00C87FC4">
        <w:trPr>
          <w:cantSplit/>
          <w:tblHeader/>
          <w:jc w:val="center"/>
        </w:trPr>
        <w:tc>
          <w:tcPr>
            <w:tcW w:w="807" w:type="pct"/>
            <w:vAlign w:val="center"/>
          </w:tcPr>
          <w:p w:rsidR="005131A3" w:rsidRPr="00C87FC4" w:rsidRDefault="005131A3" w:rsidP="008952AB">
            <w:pPr>
              <w:pStyle w:val="Tablehead"/>
              <w:rPr>
                <w:lang w:val="fr-CH"/>
              </w:rPr>
            </w:pPr>
            <w:r w:rsidRPr="00C87FC4">
              <w:rPr>
                <w:lang w:val="fr-CH"/>
              </w:rPr>
              <w:t>Numéro</w:t>
            </w:r>
            <w:r w:rsidRPr="00C87FC4">
              <w:rPr>
                <w:lang w:val="fr-CH"/>
              </w:rPr>
              <w:br/>
              <w:t>de la Question UIT-R</w:t>
            </w:r>
          </w:p>
        </w:tc>
        <w:tc>
          <w:tcPr>
            <w:tcW w:w="4193" w:type="pct"/>
            <w:vAlign w:val="center"/>
          </w:tcPr>
          <w:p w:rsidR="005131A3" w:rsidRPr="00C87FC4" w:rsidRDefault="005131A3" w:rsidP="008952AB">
            <w:pPr>
              <w:pStyle w:val="Tablehead"/>
              <w:rPr>
                <w:lang w:val="fr-CH"/>
              </w:rPr>
            </w:pPr>
            <w:r w:rsidRPr="00C87FC4">
              <w:rPr>
                <w:lang w:val="fr-CH"/>
              </w:rPr>
              <w:t>Titre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9" w:history="1">
              <w:r w:rsidR="005131A3" w:rsidRPr="00C87FC4">
                <w:rPr>
                  <w:rStyle w:val="Hyperlink"/>
                  <w:rFonts w:eastAsia="SimSun"/>
                  <w:b/>
                  <w:bCs/>
                  <w:szCs w:val="20"/>
                  <w:lang w:val="fr-CH"/>
                </w:rPr>
                <w:t xml:space="preserve">4-2/6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Paramètres de planification pour la radiodiffusion télévisuelle numérique dans les canaux de Terre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0" w:history="1">
              <w:r w:rsidR="005131A3" w:rsidRPr="00C87FC4">
                <w:rPr>
                  <w:rStyle w:val="Hyperlink"/>
                  <w:rFonts w:eastAsia="SimSun"/>
                  <w:b/>
                  <w:bCs/>
                  <w:szCs w:val="20"/>
                  <w:lang w:val="fr-CH"/>
                </w:rPr>
                <w:t xml:space="preserve">14/6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Téléviseurs numériques et analogiques-numériques et caractéristiques d'antenne de réception nécessaires pour la planification des fréquences attribuées à la radiodiffusion télévisuelle de Terre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1" w:history="1">
              <w:r w:rsidR="005131A3" w:rsidRPr="00C87FC4">
                <w:rPr>
                  <w:rStyle w:val="Hyperlink"/>
                  <w:rFonts w:eastAsia="SimSun"/>
                  <w:b/>
                  <w:bCs/>
                  <w:szCs w:val="20"/>
                  <w:lang w:val="fr-CH"/>
                </w:rPr>
                <w:t xml:space="preserve">15-2/6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Imagerie numérique sur grand écran (LSDI)</w:t>
            </w:r>
          </w:p>
        </w:tc>
      </w:tr>
      <w:tr w:rsidR="005131A3" w:rsidRPr="00C87FC4"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2" w:history="1">
              <w:r w:rsidR="005131A3" w:rsidRPr="00C87FC4">
                <w:rPr>
                  <w:rStyle w:val="Hyperlink"/>
                  <w:rFonts w:eastAsia="SimSun"/>
                  <w:b/>
                  <w:bCs/>
                  <w:szCs w:val="20"/>
                  <w:lang w:val="fr-CH"/>
                </w:rPr>
                <w:t xml:space="preserve">16-2/6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spacing w:val="-2"/>
                <w:szCs w:val="20"/>
                <w:lang w:val="fr-CH" w:eastAsia="zh-CN"/>
              </w:rPr>
              <w:t>Radiodiffusion numérique interactive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3" w:history="1">
              <w:r w:rsidR="005131A3" w:rsidRPr="00C87FC4">
                <w:rPr>
                  <w:rStyle w:val="Hyperlink"/>
                  <w:rFonts w:eastAsia="SimSun"/>
                  <w:b/>
                  <w:bCs/>
                  <w:szCs w:val="20"/>
                  <w:lang w:val="fr-CH"/>
                </w:rPr>
                <w:t xml:space="preserve">27/6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Récepteurs pour la radiodiffusion sonore en dessous de 30 MHz</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4" w:history="1">
              <w:r w:rsidR="005131A3" w:rsidRPr="00C87FC4">
                <w:rPr>
                  <w:rStyle w:val="Hyperlink"/>
                  <w:rFonts w:eastAsia="SimSun"/>
                  <w:b/>
                  <w:bCs/>
                  <w:szCs w:val="20"/>
                  <w:lang w:val="fr-CH"/>
                </w:rPr>
                <w:t xml:space="preserve">29/6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Emission d'informations supplémentaires avec le même émetteur en radiodiffusion sonore à modulation de fréquence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5" w:history="1">
              <w:r w:rsidR="005131A3" w:rsidRPr="00C87FC4">
                <w:rPr>
                  <w:rStyle w:val="Hyperlink"/>
                  <w:rFonts w:eastAsia="SimSun"/>
                  <w:b/>
                  <w:bCs/>
                  <w:szCs w:val="20"/>
                  <w:lang w:val="fr-CH"/>
                </w:rPr>
                <w:t xml:space="preserve">46-1/6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l'utilisateur en ce qui concerne les métadonnées associées à la production, la postproduction, l'enregistrement et l'archivage numériques de programmes radiophoniques et télévisuels en radiodiffusion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6" w:history="1">
              <w:r w:rsidR="005131A3" w:rsidRPr="00C87FC4">
                <w:rPr>
                  <w:rStyle w:val="Hyperlink"/>
                  <w:rFonts w:eastAsia="SimSun"/>
                  <w:b/>
                  <w:bCs/>
                  <w:szCs w:val="20"/>
                  <w:lang w:val="fr-CH"/>
                </w:rPr>
                <w:t xml:space="preserve">48/6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Contrôle en service de la qualité audio perçue dans les réseaux de distribution et de radiodiffusion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7" w:history="1">
              <w:r w:rsidR="005131A3" w:rsidRPr="00C87FC4">
                <w:rPr>
                  <w:rStyle w:val="Hyperlink"/>
                  <w:rFonts w:eastAsia="SimSun"/>
                  <w:b/>
                  <w:bCs/>
                  <w:szCs w:val="20"/>
                  <w:lang w:val="fr-CH"/>
                </w:rPr>
                <w:t xml:space="preserve">51/6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Réception par onde ionosphérique en radiodiffusion (B.km, B.hm et B.dam)</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18" w:history="1">
              <w:r w:rsidR="005131A3" w:rsidRPr="00C87FC4">
                <w:rPr>
                  <w:rStyle w:val="Hyperlink"/>
                  <w:rFonts w:eastAsia="SimSun"/>
                  <w:b/>
                  <w:bCs/>
                  <w:szCs w:val="20"/>
                  <w:lang w:val="fr-CH"/>
                </w:rPr>
                <w:t xml:space="preserve">53/6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Normes pour la diffusion de plusieurs voies son dans un canal de télévision en radiodiffusion de Terre ou par satellite y compris la télévision à haute définition et à définition améliorée</w:t>
            </w:r>
          </w:p>
        </w:tc>
      </w:tr>
      <w:tr w:rsidR="005131A3" w:rsidRPr="004B4231" w:rsidTr="00C87FC4">
        <w:trPr>
          <w:cantSplit/>
          <w:jc w:val="center"/>
        </w:trPr>
        <w:tc>
          <w:tcPr>
            <w:tcW w:w="807" w:type="pct"/>
          </w:tcPr>
          <w:p w:rsidR="005131A3" w:rsidRPr="00C87FC4" w:rsidRDefault="004B4231" w:rsidP="008952AB">
            <w:pPr>
              <w:pStyle w:val="Tabletext"/>
              <w:jc w:val="center"/>
              <w:rPr>
                <w:b/>
                <w:bCs/>
                <w:szCs w:val="20"/>
                <w:lang w:val="fr-CH"/>
              </w:rPr>
            </w:pPr>
            <w:hyperlink r:id="rId19" w:history="1">
              <w:r w:rsidR="005131A3" w:rsidRPr="00C87FC4">
                <w:rPr>
                  <w:rStyle w:val="Hyperlink"/>
                  <w:b/>
                  <w:bCs/>
                  <w:szCs w:val="20"/>
                  <w:lang w:val="fr-CH"/>
                </w:rPr>
                <w:t>55/6</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Evaluation subjective de la qualité du son en radiodiffusion utilisant des techniques numériques</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0" w:history="1">
              <w:r w:rsidR="005131A3" w:rsidRPr="00C87FC4">
                <w:rPr>
                  <w:rStyle w:val="Hyperlink"/>
                  <w:rFonts w:eastAsia="SimSun"/>
                  <w:b/>
                  <w:bCs/>
                  <w:szCs w:val="20"/>
                  <w:lang w:val="fr-CH"/>
                </w:rPr>
                <w:t xml:space="preserve">59-1/6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Archivage de programmes sonores en radiodiffusion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1" w:history="1">
              <w:r w:rsidR="005131A3" w:rsidRPr="00C87FC4">
                <w:rPr>
                  <w:rStyle w:val="Hyperlink"/>
                  <w:rFonts w:eastAsia="SimSun"/>
                  <w:b/>
                  <w:bCs/>
                  <w:szCs w:val="20"/>
                  <w:lang w:val="fr-CH"/>
                </w:rPr>
                <w:t xml:space="preserve">60/6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Radiodiffusion numérique aux fréquences en dessous de 30 MHz</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2" w:history="1">
              <w:r w:rsidR="005131A3" w:rsidRPr="00C87FC4">
                <w:rPr>
                  <w:rStyle w:val="Hyperlink"/>
                  <w:rFonts w:eastAsia="SimSun"/>
                  <w:b/>
                  <w:bCs/>
                  <w:szCs w:val="20"/>
                  <w:lang w:val="fr-CH"/>
                </w:rPr>
                <w:t xml:space="preserve">64-1/6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Paramètres de planification pour la radiodiffusion numérique aux fréquences inférieures à 30 MHz</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3" w:history="1">
              <w:r w:rsidR="005131A3" w:rsidRPr="00C87FC4">
                <w:rPr>
                  <w:rStyle w:val="Hyperlink"/>
                  <w:rFonts w:eastAsia="SimSun"/>
                  <w:b/>
                  <w:bCs/>
                  <w:szCs w:val="20"/>
                  <w:lang w:val="fr-CH"/>
                </w:rPr>
                <w:t xml:space="preserve">88/6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Evaluation subjective des images de télévision stéréoscopiques</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4" w:history="1">
              <w:r w:rsidR="005131A3" w:rsidRPr="00C87FC4">
                <w:rPr>
                  <w:rStyle w:val="Hyperlink"/>
                  <w:rFonts w:eastAsia="SimSun"/>
                  <w:b/>
                  <w:bCs/>
                  <w:szCs w:val="20"/>
                  <w:lang w:val="fr-CH"/>
                </w:rPr>
                <w:t xml:space="preserve">89-1/6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Exigences des utilisateurs concernant le reportage électronique d'actualités</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5" w:history="1">
              <w:r w:rsidR="005131A3" w:rsidRPr="00C87FC4">
                <w:rPr>
                  <w:rStyle w:val="Hyperlink"/>
                  <w:rFonts w:eastAsia="SimSun"/>
                  <w:b/>
                  <w:bCs/>
                  <w:szCs w:val="20"/>
                  <w:lang w:val="fr-CH"/>
                </w:rPr>
                <w:t xml:space="preserve">93/6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fréquences associés aux reportages d'actualités par satellite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6" w:history="1">
              <w:r w:rsidR="005131A3" w:rsidRPr="00C87FC4">
                <w:rPr>
                  <w:rStyle w:val="Hyperlink"/>
                  <w:rFonts w:eastAsia="SimSun"/>
                  <w:b/>
                  <w:bCs/>
                  <w:szCs w:val="20"/>
                  <w:lang w:val="fr-CH"/>
                </w:rPr>
                <w:t xml:space="preserve">95/6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Utilisation des technologies informatiques dans les applications de radiodiffusion télévisuelle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7" w:history="1">
              <w:r w:rsidR="005131A3" w:rsidRPr="00C87FC4">
                <w:rPr>
                  <w:rStyle w:val="Hyperlink"/>
                  <w:rFonts w:eastAsia="SimSun"/>
                  <w:b/>
                  <w:bCs/>
                  <w:szCs w:val="20"/>
                  <w:lang w:val="fr-CH"/>
                </w:rPr>
                <w:t xml:space="preserve">96-1/6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l'utilisateur dans le domaine des protocoles de gestion et de transfert de contenus multimédias pour la production, l'enregistrement et l'archivage de programmes de télévision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8" w:history="1">
              <w:r w:rsidR="005131A3" w:rsidRPr="00C87FC4">
                <w:rPr>
                  <w:rStyle w:val="Hyperlink"/>
                  <w:rFonts w:eastAsia="SimSun"/>
                  <w:b/>
                  <w:bCs/>
                  <w:szCs w:val="20"/>
                  <w:lang w:val="fr-CH"/>
                </w:rPr>
                <w:t xml:space="preserve">99/6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Relations entre qualité, méthode d'évaluation de la qualité et type d'application dans un environnement multimédia</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29" w:history="1">
              <w:r w:rsidR="005131A3" w:rsidRPr="00C87FC4">
                <w:rPr>
                  <w:rStyle w:val="Hyperlink"/>
                  <w:rFonts w:eastAsia="SimSun"/>
                  <w:b/>
                  <w:bCs/>
                  <w:szCs w:val="20"/>
                  <w:lang w:val="fr-CH"/>
                </w:rPr>
                <w:t xml:space="preserve">100/6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Niveaux de qualité des images de télévision et des images multimédias</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0" w:history="1">
              <w:r w:rsidR="005131A3" w:rsidRPr="00C87FC4">
                <w:rPr>
                  <w:rStyle w:val="Hyperlink"/>
                  <w:rFonts w:eastAsia="SimSun"/>
                  <w:b/>
                  <w:bCs/>
                  <w:szCs w:val="20"/>
                  <w:lang w:val="fr-CH"/>
                </w:rPr>
                <w:t xml:space="preserve">108/6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Radiodiffusion sonore numérique dans la bande 7 (ondes décamétriques) en Zone tropicale</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1" w:history="1">
              <w:r w:rsidR="005131A3" w:rsidRPr="00C87FC4">
                <w:rPr>
                  <w:rStyle w:val="Hyperlink"/>
                  <w:rFonts w:eastAsia="SimSun"/>
                  <w:b/>
                  <w:bCs/>
                  <w:szCs w:val="20"/>
                  <w:lang w:val="fr-CH"/>
                </w:rPr>
                <w:t xml:space="preserve">112-1/6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Lignes directrices relatives aux fonctionnalités des installations utilisant des serveurs numériques pour l'enregistrement, l'archivage et la lecture de programme de radiodiffusion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2" w:history="1">
              <w:r w:rsidR="005131A3" w:rsidRPr="00C87FC4">
                <w:rPr>
                  <w:rStyle w:val="Hyperlink"/>
                  <w:rFonts w:eastAsia="SimSun"/>
                  <w:b/>
                  <w:bCs/>
                  <w:szCs w:val="20"/>
                  <w:lang w:val="fr-CH"/>
                </w:rPr>
                <w:t xml:space="preserve">113/6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Diffusion d'informations interactives en provenance et à destination de salles de projection d'images numériques sur grand écran au moyen de systèmes de radiodiffusion</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3" w:history="1">
              <w:r w:rsidR="005131A3" w:rsidRPr="00C87FC4">
                <w:rPr>
                  <w:rStyle w:val="Hyperlink"/>
                  <w:rFonts w:eastAsia="SimSun"/>
                  <w:b/>
                  <w:bCs/>
                  <w:szCs w:val="20"/>
                  <w:lang w:val="fr-CH"/>
                </w:rPr>
                <w:t xml:space="preserve">121/6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Microphones sans fil: spécifications en ce qui concerne l'utilisation du spectre et spécifications relatives aux utilisateurs</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4" w:history="1">
              <w:r w:rsidR="005131A3" w:rsidRPr="00C87FC4">
                <w:rPr>
                  <w:rStyle w:val="Hyperlink"/>
                  <w:rFonts w:eastAsia="SimSun"/>
                  <w:b/>
                  <w:bCs/>
                  <w:szCs w:val="20"/>
                  <w:lang w:val="fr-CH"/>
                </w:rPr>
                <w:t xml:space="preserve">122/6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Méthodes de mesure objectives perceptuelles de la qualité audio</w:t>
            </w:r>
          </w:p>
        </w:tc>
      </w:tr>
      <w:tr w:rsidR="005131A3" w:rsidRPr="004B4231" w:rsidTr="00C87FC4">
        <w:trPr>
          <w:cantSplit/>
          <w:jc w:val="center"/>
        </w:trPr>
        <w:tc>
          <w:tcPr>
            <w:tcW w:w="807" w:type="pct"/>
          </w:tcPr>
          <w:p w:rsidR="005131A3" w:rsidRPr="00C87FC4" w:rsidRDefault="004B4231" w:rsidP="008952AB">
            <w:pPr>
              <w:pStyle w:val="Tabletext"/>
              <w:jc w:val="center"/>
              <w:rPr>
                <w:rStyle w:val="Hyperlink"/>
                <w:rFonts w:eastAsia="SimSun"/>
                <w:b/>
                <w:bCs/>
                <w:szCs w:val="20"/>
                <w:lang w:val="fr-CH"/>
              </w:rPr>
            </w:pPr>
            <w:hyperlink r:id="rId35" w:history="1">
              <w:r w:rsidR="005131A3" w:rsidRPr="00C87FC4">
                <w:rPr>
                  <w:rStyle w:val="Hyperlink"/>
                  <w:rFonts w:eastAsia="SimSun"/>
                  <w:b/>
                  <w:bCs/>
                  <w:szCs w:val="20"/>
                  <w:lang w:val="fr-CH"/>
                </w:rPr>
                <w:t xml:space="preserve">123/6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r>
    </w:tbl>
    <w:p w:rsidR="00D21694" w:rsidRPr="00C87FC4" w:rsidRDefault="005131A3" w:rsidP="00452C07">
      <w:pPr>
        <w:spacing w:before="240"/>
        <w:jc w:val="center"/>
        <w:rPr>
          <w:lang w:val="fr-CH"/>
        </w:rPr>
      </w:pPr>
      <w:r w:rsidRPr="00C87FC4">
        <w:rPr>
          <w:lang w:val="fr-CH"/>
        </w:rPr>
        <w:t>______________</w:t>
      </w:r>
    </w:p>
    <w:sectPr w:rsidR="00D21694" w:rsidRPr="00C87FC4" w:rsidSect="00031E64">
      <w:headerReference w:type="even" r:id="rId36"/>
      <w:headerReference w:type="default" r:id="rId37"/>
      <w:headerReference w:type="first" r:id="rId38"/>
      <w:footerReference w:type="first" r:id="rId3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80" w:rsidRDefault="00B92E80">
      <w:r>
        <w:separator/>
      </w:r>
    </w:p>
  </w:endnote>
  <w:endnote w:type="continuationSeparator" w:id="0">
    <w:p w:rsidR="00B92E80" w:rsidRDefault="00B9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80" w:rsidRDefault="00B92E80">
      <w:r>
        <w:t>____________________</w:t>
      </w:r>
    </w:p>
  </w:footnote>
  <w:footnote w:type="continuationSeparator" w:id="0">
    <w:p w:rsidR="00B92E80" w:rsidRDefault="00B92E80">
      <w:r>
        <w:continuationSeparator/>
      </w:r>
    </w:p>
  </w:footnote>
  <w:footnote w:id="1">
    <w:p w:rsidR="005131A3" w:rsidRPr="00DD557D" w:rsidRDefault="005131A3" w:rsidP="005131A3">
      <w:pPr>
        <w:pStyle w:val="FootnoteText"/>
        <w:rPr>
          <w:rFonts w:ascii="Times New Roman" w:hAnsi="Times New Roman" w:cs="Times New Roman"/>
          <w:sz w:val="24"/>
          <w:szCs w:val="24"/>
          <w:lang w:val="fr-CH"/>
        </w:rPr>
      </w:pPr>
      <w:r w:rsidRPr="00DD557D">
        <w:rPr>
          <w:rStyle w:val="FootnoteReference"/>
          <w:rFonts w:asciiTheme="majorBidi" w:hAnsiTheme="majorBidi" w:cstheme="majorBidi"/>
          <w:szCs w:val="18"/>
        </w:rPr>
        <w:footnoteRef/>
      </w:r>
      <w:r w:rsidRPr="00875F9A">
        <w:rPr>
          <w:lang w:val="fr-CH"/>
        </w:rPr>
        <w:tab/>
      </w:r>
      <w:r w:rsidRPr="00DD557D">
        <w:rPr>
          <w:rFonts w:ascii="Times New Roman" w:hAnsi="Times New Roman" w:cs="Times New Roman"/>
          <w:color w:val="000000"/>
          <w:sz w:val="24"/>
          <w:szCs w:val="24"/>
          <w:lang w:val="fr-CH"/>
        </w:rPr>
        <w:t xml:space="preserve">Cette Question doit être portée à l'attention des Commissions d'études </w:t>
      </w:r>
      <w:r w:rsidRPr="00DD557D">
        <w:rPr>
          <w:rFonts w:ascii="Times New Roman" w:hAnsi="Times New Roman" w:cs="Times New Roman"/>
          <w:sz w:val="24"/>
          <w:szCs w:val="24"/>
          <w:lang w:val="fr-CH"/>
        </w:rPr>
        <w:t>9 et 16</w:t>
      </w:r>
      <w:r w:rsidRPr="00DD557D">
        <w:rPr>
          <w:rFonts w:ascii="Times New Roman" w:hAnsi="Times New Roman" w:cs="Times New Roman"/>
          <w:color w:val="000000"/>
          <w:sz w:val="24"/>
          <w:szCs w:val="24"/>
          <w:lang w:val="fr-CH"/>
        </w:rPr>
        <w:t xml:space="preserve"> de l'UIT-T</w:t>
      </w:r>
      <w:r w:rsidRPr="00DD557D">
        <w:rPr>
          <w:rFonts w:ascii="Times New Roman" w:hAnsi="Times New Roman" w:cs="Times New Roman"/>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B92E8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4B4231">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5429B" w:rsidRDefault="0035429B" w:rsidP="0035429B">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B4231">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92E80"/>
    <w:rsid w:val="00006A31"/>
    <w:rsid w:val="00006C82"/>
    <w:rsid w:val="00010E30"/>
    <w:rsid w:val="0001169A"/>
    <w:rsid w:val="00015C76"/>
    <w:rsid w:val="00026CF8"/>
    <w:rsid w:val="00030BD7"/>
    <w:rsid w:val="00031E64"/>
    <w:rsid w:val="00034340"/>
    <w:rsid w:val="00035CB3"/>
    <w:rsid w:val="00045A8D"/>
    <w:rsid w:val="0005167A"/>
    <w:rsid w:val="00054E5D"/>
    <w:rsid w:val="00070258"/>
    <w:rsid w:val="0007323C"/>
    <w:rsid w:val="00081F7D"/>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3C28"/>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7EC1"/>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5429B"/>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D5BE8"/>
    <w:rsid w:val="003E504F"/>
    <w:rsid w:val="003E78D6"/>
    <w:rsid w:val="00400573"/>
    <w:rsid w:val="004007A3"/>
    <w:rsid w:val="00406D71"/>
    <w:rsid w:val="00411CB3"/>
    <w:rsid w:val="004228FA"/>
    <w:rsid w:val="004326DB"/>
    <w:rsid w:val="004363F7"/>
    <w:rsid w:val="0043682E"/>
    <w:rsid w:val="00447ECB"/>
    <w:rsid w:val="00452C07"/>
    <w:rsid w:val="004623F7"/>
    <w:rsid w:val="00480F51"/>
    <w:rsid w:val="00481124"/>
    <w:rsid w:val="004815EB"/>
    <w:rsid w:val="00487569"/>
    <w:rsid w:val="00496864"/>
    <w:rsid w:val="00496920"/>
    <w:rsid w:val="004A4496"/>
    <w:rsid w:val="004B11AB"/>
    <w:rsid w:val="004B4231"/>
    <w:rsid w:val="004B7C9A"/>
    <w:rsid w:val="004C6779"/>
    <w:rsid w:val="004D733B"/>
    <w:rsid w:val="004E0DC4"/>
    <w:rsid w:val="004E0FB5"/>
    <w:rsid w:val="004E43BB"/>
    <w:rsid w:val="004E460D"/>
    <w:rsid w:val="004F178E"/>
    <w:rsid w:val="004F4543"/>
    <w:rsid w:val="004F57BB"/>
    <w:rsid w:val="00505309"/>
    <w:rsid w:val="0050789B"/>
    <w:rsid w:val="005131A3"/>
    <w:rsid w:val="005224A1"/>
    <w:rsid w:val="00534372"/>
    <w:rsid w:val="00543DF8"/>
    <w:rsid w:val="00546101"/>
    <w:rsid w:val="00547841"/>
    <w:rsid w:val="00553DD7"/>
    <w:rsid w:val="0056143B"/>
    <w:rsid w:val="0056313F"/>
    <w:rsid w:val="005638CF"/>
    <w:rsid w:val="0056741E"/>
    <w:rsid w:val="0057325A"/>
    <w:rsid w:val="0057469A"/>
    <w:rsid w:val="00580814"/>
    <w:rsid w:val="00583A0B"/>
    <w:rsid w:val="005A03A3"/>
    <w:rsid w:val="005A2AF4"/>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E4812"/>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685"/>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6BE0"/>
    <w:rsid w:val="00A119E6"/>
    <w:rsid w:val="00A20FBC"/>
    <w:rsid w:val="00A231BC"/>
    <w:rsid w:val="00A25197"/>
    <w:rsid w:val="00A31370"/>
    <w:rsid w:val="00A34D6F"/>
    <w:rsid w:val="00A41F91"/>
    <w:rsid w:val="00A63355"/>
    <w:rsid w:val="00A7596D"/>
    <w:rsid w:val="00A840F0"/>
    <w:rsid w:val="00A963DF"/>
    <w:rsid w:val="00A974CB"/>
    <w:rsid w:val="00AA211B"/>
    <w:rsid w:val="00AC0C22"/>
    <w:rsid w:val="00AC3896"/>
    <w:rsid w:val="00AD2CF2"/>
    <w:rsid w:val="00AD45C1"/>
    <w:rsid w:val="00AD65BC"/>
    <w:rsid w:val="00AE2D88"/>
    <w:rsid w:val="00AE6F6F"/>
    <w:rsid w:val="00AF3325"/>
    <w:rsid w:val="00AF34D9"/>
    <w:rsid w:val="00AF70DA"/>
    <w:rsid w:val="00B019D3"/>
    <w:rsid w:val="00B32906"/>
    <w:rsid w:val="00B34CF9"/>
    <w:rsid w:val="00B37559"/>
    <w:rsid w:val="00B4054B"/>
    <w:rsid w:val="00B55327"/>
    <w:rsid w:val="00B579B0"/>
    <w:rsid w:val="00B57D11"/>
    <w:rsid w:val="00B649D7"/>
    <w:rsid w:val="00B77F8E"/>
    <w:rsid w:val="00B81C2F"/>
    <w:rsid w:val="00B90743"/>
    <w:rsid w:val="00B90C45"/>
    <w:rsid w:val="00B92E80"/>
    <w:rsid w:val="00B933BE"/>
    <w:rsid w:val="00B97890"/>
    <w:rsid w:val="00BD6738"/>
    <w:rsid w:val="00BD7E5E"/>
    <w:rsid w:val="00BE63DB"/>
    <w:rsid w:val="00BE6574"/>
    <w:rsid w:val="00C07319"/>
    <w:rsid w:val="00C16FD2"/>
    <w:rsid w:val="00C3556B"/>
    <w:rsid w:val="00C4395E"/>
    <w:rsid w:val="00C47FFD"/>
    <w:rsid w:val="00C51E92"/>
    <w:rsid w:val="00C57E2C"/>
    <w:rsid w:val="00C60148"/>
    <w:rsid w:val="00C608B7"/>
    <w:rsid w:val="00C66F24"/>
    <w:rsid w:val="00C719B2"/>
    <w:rsid w:val="00C76D7F"/>
    <w:rsid w:val="00C813AA"/>
    <w:rsid w:val="00C87FC4"/>
    <w:rsid w:val="00C9291E"/>
    <w:rsid w:val="00CA3F44"/>
    <w:rsid w:val="00CA4E58"/>
    <w:rsid w:val="00CB3771"/>
    <w:rsid w:val="00CB44BF"/>
    <w:rsid w:val="00CB5153"/>
    <w:rsid w:val="00CE076A"/>
    <w:rsid w:val="00CE463D"/>
    <w:rsid w:val="00D10BA0"/>
    <w:rsid w:val="00D21694"/>
    <w:rsid w:val="00D24EB5"/>
    <w:rsid w:val="00D35AB9"/>
    <w:rsid w:val="00D37DF6"/>
    <w:rsid w:val="00D41571"/>
    <w:rsid w:val="00D416A0"/>
    <w:rsid w:val="00D47672"/>
    <w:rsid w:val="00D5123C"/>
    <w:rsid w:val="00D55560"/>
    <w:rsid w:val="00D5579D"/>
    <w:rsid w:val="00D61C5A"/>
    <w:rsid w:val="00D6790C"/>
    <w:rsid w:val="00D73277"/>
    <w:rsid w:val="00D76586"/>
    <w:rsid w:val="00D76708"/>
    <w:rsid w:val="00D82657"/>
    <w:rsid w:val="00D87E20"/>
    <w:rsid w:val="00DA4037"/>
    <w:rsid w:val="00DD557D"/>
    <w:rsid w:val="00DE66A5"/>
    <w:rsid w:val="00DF2B50"/>
    <w:rsid w:val="00E01059"/>
    <w:rsid w:val="00E04C86"/>
    <w:rsid w:val="00E17344"/>
    <w:rsid w:val="00E20F30"/>
    <w:rsid w:val="00E2189C"/>
    <w:rsid w:val="00E25BB1"/>
    <w:rsid w:val="00E25E6D"/>
    <w:rsid w:val="00E27BBA"/>
    <w:rsid w:val="00E30E3F"/>
    <w:rsid w:val="00E35E8F"/>
    <w:rsid w:val="00E428AB"/>
    <w:rsid w:val="00E435CE"/>
    <w:rsid w:val="00E438E8"/>
    <w:rsid w:val="00E453A3"/>
    <w:rsid w:val="00E520E2"/>
    <w:rsid w:val="00E530C4"/>
    <w:rsid w:val="00E53DCE"/>
    <w:rsid w:val="00E55996"/>
    <w:rsid w:val="00E64254"/>
    <w:rsid w:val="00E67928"/>
    <w:rsid w:val="00E70FB5"/>
    <w:rsid w:val="00E90493"/>
    <w:rsid w:val="00E915AF"/>
    <w:rsid w:val="00E96415"/>
    <w:rsid w:val="00EA15B3"/>
    <w:rsid w:val="00EA2C83"/>
    <w:rsid w:val="00EB2358"/>
    <w:rsid w:val="00EB3EB8"/>
    <w:rsid w:val="00EB73A5"/>
    <w:rsid w:val="00EC00EF"/>
    <w:rsid w:val="00EC02FE"/>
    <w:rsid w:val="00EC4A96"/>
    <w:rsid w:val="00EE03A0"/>
    <w:rsid w:val="00EE1A57"/>
    <w:rsid w:val="00F0462C"/>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B88781A-876D-4B57-AD8D-56E3E95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B92E8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B92E80"/>
    <w:rPr>
      <w:b/>
      <w:sz w:val="24"/>
      <w:szCs w:val="22"/>
      <w:lang w:val="en-US" w:eastAsia="en-US"/>
    </w:rPr>
  </w:style>
  <w:style w:type="paragraph" w:customStyle="1" w:styleId="Reasons">
    <w:name w:val="Reasons"/>
    <w:basedOn w:val="Normal"/>
    <w:qFormat/>
    <w:rsid w:val="00B92E8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locked/>
    <w:rsid w:val="00AD65BC"/>
    <w:rPr>
      <w:sz w:val="24"/>
      <w:szCs w:val="22"/>
      <w:lang w:val="en-US" w:eastAsia="en-US"/>
    </w:rPr>
  </w:style>
  <w:style w:type="character" w:customStyle="1" w:styleId="CallChar">
    <w:name w:val="Call Char"/>
    <w:link w:val="Call"/>
    <w:rsid w:val="00AD65BC"/>
    <w:rPr>
      <w:i/>
      <w:sz w:val="24"/>
      <w:szCs w:val="22"/>
      <w:lang w:val="en-US" w:eastAsia="en-US"/>
    </w:rPr>
  </w:style>
  <w:style w:type="character" w:customStyle="1" w:styleId="NormalaftertitleChar">
    <w:name w:val="Normal_after_title Char"/>
    <w:link w:val="Normalaftertitle"/>
    <w:locked/>
    <w:rsid w:val="00AD65BC"/>
    <w:rPr>
      <w:sz w:val="24"/>
      <w:szCs w:val="22"/>
      <w:lang w:val="en-US" w:eastAsia="en-US"/>
    </w:rPr>
  </w:style>
  <w:style w:type="character" w:customStyle="1" w:styleId="FootnoteTextChar">
    <w:name w:val="Footnote Text Char"/>
    <w:basedOn w:val="DefaultParagraphFont"/>
    <w:link w:val="FootnoteText"/>
    <w:uiPriority w:val="99"/>
    <w:rsid w:val="00AD65BC"/>
    <w:rPr>
      <w:szCs w:val="22"/>
      <w:lang w:val="en-US" w:eastAsia="en-US"/>
    </w:rPr>
  </w:style>
  <w:style w:type="character" w:customStyle="1" w:styleId="TabletextChar">
    <w:name w:val="Table_text Char"/>
    <w:basedOn w:val="DefaultParagraphFont"/>
    <w:link w:val="Tabletext"/>
    <w:locked/>
    <w:rsid w:val="00AD65BC"/>
    <w:rPr>
      <w:szCs w:val="22"/>
      <w:lang w:val="en-US" w:eastAsia="en-US"/>
    </w:rPr>
  </w:style>
  <w:style w:type="character" w:customStyle="1" w:styleId="TableheadChar">
    <w:name w:val="Table_head Char"/>
    <w:basedOn w:val="DefaultParagraphFont"/>
    <w:link w:val="Tablehead"/>
    <w:locked/>
    <w:rsid w:val="005131A3"/>
    <w:rPr>
      <w:b/>
      <w:szCs w:val="22"/>
      <w:lang w:val="en-US" w:eastAsia="en-US"/>
    </w:rPr>
  </w:style>
  <w:style w:type="paragraph" w:customStyle="1" w:styleId="Normalaftertitle0">
    <w:name w:val="Normal after title"/>
    <w:basedOn w:val="Normal"/>
    <w:next w:val="Normal"/>
    <w:rsid w:val="005131A3"/>
    <w:pPr>
      <w:spacing w:before="280" w:line="240" w:lineRule="auto"/>
      <w:jc w:val="left"/>
    </w:pPr>
    <w:rPr>
      <w:rFonts w:ascii="Times New Roman" w:hAnsi="Times New Roman" w:cs="Times New Roman"/>
      <w:szCs w:val="20"/>
      <w:lang w:val="fr-FR"/>
    </w:rPr>
  </w:style>
  <w:style w:type="character" w:styleId="FollowedHyperlink">
    <w:name w:val="FollowedHyperlink"/>
    <w:basedOn w:val="DefaultParagraphFont"/>
    <w:semiHidden/>
    <w:unhideWhenUsed/>
    <w:rsid w:val="009E6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6092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hyperlink" Target="http://www.itu.int/pub/R-QUE-SG06.27/fr" TargetMode="External"/><Relationship Id="rId18" Type="http://schemas.openxmlformats.org/officeDocument/2006/relationships/hyperlink" Target="http://www.itu.int/pub/R-QUE-SG06.53/fr" TargetMode="External"/><Relationship Id="rId26" Type="http://schemas.openxmlformats.org/officeDocument/2006/relationships/hyperlink" Target="http://www.itu.int/pub/R-QUE-SG06.95/f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pub/R-QUE-SG06.60/fr" TargetMode="External"/><Relationship Id="rId34" Type="http://schemas.openxmlformats.org/officeDocument/2006/relationships/hyperlink" Target="http://www.itu.int/pub/R-QUE-SG06.122/fr" TargetMode="External"/><Relationship Id="rId7" Type="http://schemas.openxmlformats.org/officeDocument/2006/relationships/endnotes" Target="endnotes.xml"/><Relationship Id="rId12" Type="http://schemas.openxmlformats.org/officeDocument/2006/relationships/hyperlink" Target="http://www.itu.int/pub/R-QUE-SG06.16/fr" TargetMode="External"/><Relationship Id="rId17" Type="http://schemas.openxmlformats.org/officeDocument/2006/relationships/hyperlink" Target="http://www.itu.int/pub/R-QUE-SG06.51/fr" TargetMode="External"/><Relationship Id="rId25" Type="http://schemas.openxmlformats.org/officeDocument/2006/relationships/hyperlink" Target="http://www.itu.int/pub/R-QUE-SG06.93/fr" TargetMode="External"/><Relationship Id="rId33" Type="http://schemas.openxmlformats.org/officeDocument/2006/relationships/hyperlink" Target="http://www.itu.int/pub/R-QUE-SG06.121/fr"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R-QUE-SG06.48/fr" TargetMode="External"/><Relationship Id="rId20" Type="http://schemas.openxmlformats.org/officeDocument/2006/relationships/hyperlink" Target="http://www.itu.int/pub/R-QUE-SG06.59/fr" TargetMode="External"/><Relationship Id="rId29" Type="http://schemas.openxmlformats.org/officeDocument/2006/relationships/hyperlink" Target="http://www.itu.int/pub/R-QUE-SG06.100/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15/fr" TargetMode="External"/><Relationship Id="rId24" Type="http://schemas.openxmlformats.org/officeDocument/2006/relationships/hyperlink" Target="http://www.itu.int/pub/R-QUE-SG06.89/fr" TargetMode="External"/><Relationship Id="rId32" Type="http://schemas.openxmlformats.org/officeDocument/2006/relationships/hyperlink" Target="http://www.itu.int/pub/R-QUE-SG06.113/fr"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6.46/fr" TargetMode="External"/><Relationship Id="rId23" Type="http://schemas.openxmlformats.org/officeDocument/2006/relationships/hyperlink" Target="http://www.itu.int/pub/R-QUE-SG06.88/fr" TargetMode="External"/><Relationship Id="rId28" Type="http://schemas.openxmlformats.org/officeDocument/2006/relationships/hyperlink" Target="http://www.itu.int/pub/R-QUE-SG06.99/fr" TargetMode="External"/><Relationship Id="rId36" Type="http://schemas.openxmlformats.org/officeDocument/2006/relationships/header" Target="header1.xml"/><Relationship Id="rId10" Type="http://schemas.openxmlformats.org/officeDocument/2006/relationships/hyperlink" Target="http://www.itu.int/pub/R-QUE-SG06.14/fr" TargetMode="External"/><Relationship Id="rId19" Type="http://schemas.openxmlformats.org/officeDocument/2006/relationships/hyperlink" Target="http://www.itu.int/pub/R-QUE-SG06.55/fr" TargetMode="External"/><Relationship Id="rId31" Type="http://schemas.openxmlformats.org/officeDocument/2006/relationships/hyperlink" Target="http://www.itu.int/pub/R-QUE-SG06.112/fr" TargetMode="External"/><Relationship Id="rId4" Type="http://schemas.openxmlformats.org/officeDocument/2006/relationships/settings" Target="settings.xml"/><Relationship Id="rId9" Type="http://schemas.openxmlformats.org/officeDocument/2006/relationships/hyperlink" Target="http://www.itu.int/pub/R-QUE-SG06.4/fr" TargetMode="External"/><Relationship Id="rId14" Type="http://schemas.openxmlformats.org/officeDocument/2006/relationships/hyperlink" Target="http://www.itu.int/pub/R-QUE-SG06.29/fr" TargetMode="External"/><Relationship Id="rId22" Type="http://schemas.openxmlformats.org/officeDocument/2006/relationships/hyperlink" Target="http://www.itu.int/pub/R-QUE-SG06.64/fr" TargetMode="External"/><Relationship Id="rId27" Type="http://schemas.openxmlformats.org/officeDocument/2006/relationships/hyperlink" Target="http://www.itu.int/pub/R-QUE-SG06.96/fr" TargetMode="External"/><Relationship Id="rId30" Type="http://schemas.openxmlformats.org/officeDocument/2006/relationships/hyperlink" Target="http://www.itu.int/pub/R-QUE-SG06.108/fr" TargetMode="External"/><Relationship Id="rId35" Type="http://schemas.openxmlformats.org/officeDocument/2006/relationships/hyperlink" Target="http://www.itu.int/pub/R-QUE-SG06.123/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A29B-3BAE-4C8E-89CB-DA78D318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38</TotalTime>
  <Pages>6</Pages>
  <Words>1843</Words>
  <Characters>12881</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LRT</dc:creator>
  <cp:lastModifiedBy>Song, Xiaojing</cp:lastModifiedBy>
  <cp:revision>12</cp:revision>
  <cp:lastPrinted>2015-08-10T13:54:00Z</cp:lastPrinted>
  <dcterms:created xsi:type="dcterms:W3CDTF">2015-10-14T08:59:00Z</dcterms:created>
  <dcterms:modified xsi:type="dcterms:W3CDTF">2015-10-19T05:56:00Z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