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421299">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8A6785">
              <w:rPr>
                <w:b/>
                <w:bCs/>
              </w:rPr>
              <w:t>752</w:t>
            </w:r>
          </w:p>
        </w:tc>
        <w:tc>
          <w:tcPr>
            <w:tcW w:w="2835" w:type="dxa"/>
            <w:shd w:val="clear" w:color="auto" w:fill="auto"/>
          </w:tcPr>
          <w:p w:rsidR="00E53DCE" w:rsidRPr="00773F7E" w:rsidRDefault="00F03087" w:rsidP="00D777EE">
            <w:pPr>
              <w:spacing w:before="0"/>
              <w:jc w:val="right"/>
              <w:rPr>
                <w:sz w:val="28"/>
                <w:szCs w:val="28"/>
                <w:lang w:val="en-GB"/>
              </w:rPr>
            </w:pPr>
            <w:r>
              <w:rPr>
                <w:szCs w:val="24"/>
              </w:rPr>
              <w:t xml:space="preserve">Le </w:t>
            </w:r>
            <w:bookmarkStart w:id="0" w:name="_GoBack"/>
            <w:bookmarkEnd w:id="0"/>
            <w:r w:rsidR="00395642">
              <w:rPr>
                <w:szCs w:val="24"/>
              </w:rPr>
              <w:t>21</w:t>
            </w:r>
            <w:r w:rsidR="001950D0">
              <w:rPr>
                <w:szCs w:val="24"/>
              </w:rPr>
              <w:t xml:space="preserve"> septembre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F03087" w:rsidTr="006160CB">
        <w:tc>
          <w:tcPr>
            <w:tcW w:w="9889" w:type="dxa"/>
            <w:gridSpan w:val="3"/>
            <w:shd w:val="clear" w:color="auto" w:fill="auto"/>
          </w:tcPr>
          <w:p w:rsidR="00E53DCE" w:rsidRPr="00773F7E" w:rsidRDefault="00EE1A57" w:rsidP="001950D0">
            <w:pPr>
              <w:spacing w:before="0"/>
              <w:jc w:val="left"/>
              <w:rPr>
                <w:b/>
                <w:bCs/>
                <w:szCs w:val="24"/>
                <w:lang w:val="fr-CH"/>
              </w:rPr>
            </w:pPr>
            <w:r w:rsidRPr="003A13CD">
              <w:rPr>
                <w:b/>
                <w:bCs/>
                <w:szCs w:val="24"/>
                <w:lang w:val="fr-CH"/>
              </w:rPr>
              <w:t>Aux Administrations des Etats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1950D0">
              <w:rPr>
                <w:b/>
                <w:lang w:val="fr-CH"/>
              </w:rPr>
              <w:t>4</w:t>
            </w:r>
            <w:r w:rsidR="003A13CD" w:rsidRPr="005622AB">
              <w:rPr>
                <w:b/>
                <w:lang w:val="fr-CH"/>
              </w:rPr>
              <w:t xml:space="preserve"> des radiocommunications</w:t>
            </w:r>
          </w:p>
        </w:tc>
      </w:tr>
      <w:tr w:rsidR="00E53DCE" w:rsidRPr="00F0308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F0308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F03087"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3A13CD" w:rsidP="00E55484">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1950D0">
              <w:rPr>
                <w:b/>
                <w:bCs/>
                <w:szCs w:val="24"/>
                <w:lang w:val="fr-CH"/>
              </w:rPr>
              <w:t>4</w:t>
            </w:r>
            <w:r w:rsidRPr="00077773">
              <w:rPr>
                <w:b/>
                <w:bCs/>
                <w:szCs w:val="24"/>
                <w:lang w:val="fr-CH"/>
              </w:rPr>
              <w:t xml:space="preserve"> des radiocommunications (</w:t>
            </w:r>
            <w:r w:rsidR="00E55484">
              <w:rPr>
                <w:b/>
                <w:bCs/>
                <w:szCs w:val="24"/>
                <w:lang w:val="fr-CH"/>
              </w:rPr>
              <w:t>Services par satellite</w:t>
            </w:r>
            <w:r w:rsidRPr="00077773">
              <w:rPr>
                <w:b/>
                <w:bCs/>
                <w:szCs w:val="24"/>
                <w:lang w:val="fr-CH"/>
              </w:rPr>
              <w:t>)</w:t>
            </w:r>
          </w:p>
          <w:p w:rsidR="00E53DCE" w:rsidRPr="003A13CD" w:rsidRDefault="008018B7" w:rsidP="001950D0">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Pr="00077773">
              <w:rPr>
                <w:b/>
                <w:bCs/>
                <w:szCs w:val="24"/>
                <w:lang w:val="fr-CH"/>
              </w:rPr>
              <w:tab/>
            </w:r>
            <w:r w:rsidR="00421299">
              <w:rPr>
                <w:b/>
                <w:bCs/>
                <w:szCs w:val="24"/>
                <w:lang w:val="fr-CH"/>
              </w:rPr>
              <w:t>A</w:t>
            </w:r>
            <w:r w:rsidR="00E55484">
              <w:rPr>
                <w:b/>
                <w:bCs/>
                <w:szCs w:val="24"/>
                <w:lang w:val="fr-CH"/>
              </w:rPr>
              <w:t>doption d'une</w:t>
            </w:r>
            <w:r>
              <w:rPr>
                <w:b/>
                <w:bCs/>
                <w:szCs w:val="24"/>
                <w:lang w:val="fr-CH"/>
              </w:rPr>
              <w:t xml:space="preserve"> </w:t>
            </w:r>
            <w:r>
              <w:rPr>
                <w:b/>
                <w:bCs/>
                <w:lang w:val="fr-CH"/>
              </w:rPr>
              <w:t xml:space="preserve">nouvelle </w:t>
            </w:r>
            <w:r w:rsidRPr="00CB3366">
              <w:rPr>
                <w:b/>
                <w:bCs/>
                <w:lang w:val="fr-CH"/>
              </w:rPr>
              <w:t>Recommandation</w:t>
            </w:r>
            <w:r w:rsidR="00E55484">
              <w:rPr>
                <w:b/>
                <w:bCs/>
                <w:lang w:val="fr-CH"/>
              </w:rPr>
              <w:t xml:space="preserve"> UIT-R,</w:t>
            </w:r>
            <w:r w:rsidR="0083056D">
              <w:rPr>
                <w:b/>
                <w:bCs/>
                <w:lang w:val="fr-CH"/>
              </w:rPr>
              <w:t xml:space="preserve"> </w:t>
            </w:r>
            <w:r w:rsidR="00E55484">
              <w:rPr>
                <w:b/>
                <w:bCs/>
                <w:lang w:val="fr-CH"/>
              </w:rPr>
              <w:t>6</w:t>
            </w:r>
            <w:r w:rsidR="0083056D">
              <w:rPr>
                <w:b/>
                <w:bCs/>
                <w:lang w:val="fr-CH"/>
              </w:rPr>
              <w:t> </w:t>
            </w:r>
            <w:r w:rsidRPr="00CB3366">
              <w:rPr>
                <w:b/>
                <w:bCs/>
                <w:lang w:val="fr-CH"/>
              </w:rPr>
              <w:t>Recommandation</w:t>
            </w:r>
            <w:r w:rsidR="00E55484">
              <w:rPr>
                <w:b/>
                <w:bCs/>
                <w:lang w:val="fr-CH"/>
              </w:rPr>
              <w:t>s</w:t>
            </w:r>
            <w:r w:rsidRPr="00CB3366">
              <w:rPr>
                <w:b/>
                <w:bCs/>
                <w:lang w:val="fr-CH"/>
              </w:rPr>
              <w:t xml:space="preserve"> UIT-R révisée</w:t>
            </w:r>
            <w:r w:rsidR="00E55484">
              <w:rPr>
                <w:b/>
                <w:bCs/>
                <w:lang w:val="fr-CH"/>
              </w:rPr>
              <w:t>s</w:t>
            </w:r>
            <w:r w:rsidRPr="00CB3366">
              <w:rPr>
                <w:b/>
                <w:bCs/>
                <w:lang w:val="fr-CH"/>
              </w:rPr>
              <w:t xml:space="preserve"> </w:t>
            </w:r>
            <w:r w:rsidR="00E55484">
              <w:rPr>
                <w:b/>
                <w:bCs/>
                <w:lang w:val="fr-CH"/>
              </w:rPr>
              <w:t xml:space="preserve">et 2 nouvelles Questions UIT-R </w:t>
            </w:r>
            <w:r w:rsidR="00421299" w:rsidRPr="00CB3366">
              <w:rPr>
                <w:b/>
                <w:bCs/>
                <w:lang w:val="fr-CH"/>
              </w:rPr>
              <w:t>et</w:t>
            </w:r>
            <w:r w:rsidR="00421299">
              <w:rPr>
                <w:b/>
                <w:bCs/>
                <w:lang w:val="fr-CH"/>
              </w:rPr>
              <w:t xml:space="preserve"> leur</w:t>
            </w:r>
            <w:r w:rsidR="00421299" w:rsidRPr="00CB3366">
              <w:rPr>
                <w:b/>
                <w:bCs/>
                <w:lang w:val="fr-CH"/>
              </w:rPr>
              <w:t xml:space="preserve"> approbation simultanée par correspondance</w:t>
            </w:r>
            <w:r w:rsidRPr="00CB3366">
              <w:rPr>
                <w:b/>
                <w:bCs/>
                <w:lang w:val="fr-CH"/>
              </w:rPr>
              <w:t>, conformément au § 10.3 de la Résolution</w:t>
            </w:r>
            <w:r w:rsidR="009B6680">
              <w:rPr>
                <w:b/>
                <w:bCs/>
                <w:lang w:val="fr-CH"/>
              </w:rPr>
              <w:t xml:space="preserve"> </w:t>
            </w:r>
            <w:r w:rsidRPr="00CB3366">
              <w:rPr>
                <w:b/>
                <w:bCs/>
                <w:lang w:val="fr-CH"/>
              </w:rPr>
              <w:t>UIT-R 1-6 (Procédure d'adoption et d'approbation simultanées par correspondance)</w:t>
            </w:r>
          </w:p>
        </w:tc>
      </w:tr>
      <w:tr w:rsidR="00E53DCE" w:rsidRPr="00F03087"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F03087"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F03087"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bl>
    <w:p w:rsidR="00421299" w:rsidRPr="006E0087" w:rsidRDefault="00421299" w:rsidP="006E5C2A">
      <w:pPr>
        <w:spacing w:before="240"/>
        <w:rPr>
          <w:lang w:val="fr-CH"/>
        </w:rPr>
      </w:pPr>
      <w:r w:rsidRPr="006E0087">
        <w:rPr>
          <w:lang w:val="fr-CH"/>
        </w:rPr>
        <w:t>Dans la Circulaire administrative CA</w:t>
      </w:r>
      <w:r>
        <w:rPr>
          <w:lang w:val="fr-CH"/>
        </w:rPr>
        <w:t>CE</w:t>
      </w:r>
      <w:r w:rsidRPr="006E0087">
        <w:rPr>
          <w:lang w:val="fr-CH"/>
        </w:rPr>
        <w:t>/</w:t>
      </w:r>
      <w:r w:rsidR="001950D0">
        <w:rPr>
          <w:lang w:val="fr-CH"/>
        </w:rPr>
        <w:t>737</w:t>
      </w:r>
      <w:r w:rsidRPr="006E0087">
        <w:rPr>
          <w:lang w:val="fr-CH"/>
        </w:rPr>
        <w:t xml:space="preserve"> datée du</w:t>
      </w:r>
      <w:r>
        <w:rPr>
          <w:lang w:val="fr-CH"/>
        </w:rPr>
        <w:t xml:space="preserve"> </w:t>
      </w:r>
      <w:r w:rsidR="001950D0">
        <w:rPr>
          <w:lang w:val="fr-CH"/>
        </w:rPr>
        <w:t>9 juillet 2015</w:t>
      </w:r>
      <w:r w:rsidRPr="006E0087">
        <w:rPr>
          <w:lang w:val="fr-CH"/>
        </w:rPr>
        <w:t xml:space="preserve">, </w:t>
      </w:r>
      <w:r w:rsidR="001950D0">
        <w:rPr>
          <w:lang w:val="fr-CH"/>
        </w:rPr>
        <w:t>un</w:t>
      </w:r>
      <w:r w:rsidRPr="006E0087">
        <w:rPr>
          <w:lang w:val="fr-CH"/>
        </w:rPr>
        <w:t xml:space="preserve"> projet de nouvelle Recommandation </w:t>
      </w:r>
      <w:r w:rsidR="006E5C2A">
        <w:rPr>
          <w:lang w:val="fr-CH"/>
        </w:rPr>
        <w:t>UIT-R, 6</w:t>
      </w:r>
      <w:r>
        <w:rPr>
          <w:lang w:val="fr-CH"/>
        </w:rPr>
        <w:t xml:space="preserve"> </w:t>
      </w:r>
      <w:r w:rsidRPr="006E0087">
        <w:rPr>
          <w:lang w:val="fr-CH"/>
        </w:rPr>
        <w:t xml:space="preserve">projets de Recommandation </w:t>
      </w:r>
      <w:r>
        <w:rPr>
          <w:lang w:val="fr-CH"/>
        </w:rPr>
        <w:t xml:space="preserve">UIT-R </w:t>
      </w:r>
      <w:r w:rsidRPr="006E0087">
        <w:rPr>
          <w:lang w:val="fr-CH"/>
        </w:rPr>
        <w:t xml:space="preserve">révisée </w:t>
      </w:r>
      <w:r w:rsidR="006E5C2A">
        <w:rPr>
          <w:lang w:val="fr-CH"/>
        </w:rPr>
        <w:t xml:space="preserve">et 2 projets de nouvelle Question UIT-R </w:t>
      </w:r>
      <w:r w:rsidRPr="006E0087">
        <w:rPr>
          <w:lang w:val="fr-CH"/>
        </w:rPr>
        <w:t xml:space="preserve">ont été soumis pour adoption et approbation simultanées par correspondance (PAAS), conformément à la </w:t>
      </w:r>
      <w:r>
        <w:rPr>
          <w:lang w:val="fr-CH"/>
        </w:rPr>
        <w:t>procédure prévue dans la </w:t>
      </w:r>
      <w:r w:rsidRPr="006E0087">
        <w:rPr>
          <w:lang w:val="fr-CH"/>
        </w:rPr>
        <w:t>Résolution UIT</w:t>
      </w:r>
      <w:r w:rsidRPr="006E0087">
        <w:rPr>
          <w:lang w:val="fr-CH"/>
        </w:rPr>
        <w:noBreakHyphen/>
        <w:t xml:space="preserve">R 1-6 (§ 10.3). </w:t>
      </w:r>
    </w:p>
    <w:p w:rsidR="006421F8" w:rsidRPr="006E0087" w:rsidRDefault="006421F8" w:rsidP="006421F8">
      <w:pPr>
        <w:spacing w:before="140"/>
        <w:rPr>
          <w:lang w:val="fr-CH"/>
        </w:rPr>
      </w:pPr>
      <w:r w:rsidRPr="006E0087">
        <w:rPr>
          <w:lang w:val="fr-CH"/>
        </w:rPr>
        <w:t xml:space="preserve">Les conditions régissant cette procédure ont été satisfaites </w:t>
      </w:r>
      <w:r>
        <w:rPr>
          <w:lang w:val="fr-CH"/>
        </w:rPr>
        <w:t>au 9 septembre 2015, sauf en ce qui concerne l'adoption du projet de nouvelle Recommandation UIT</w:t>
      </w:r>
      <w:r>
        <w:rPr>
          <w:lang w:val="fr-CH"/>
        </w:rPr>
        <w:noBreakHyphen/>
        <w:t>R M.[AMS(R)S.METHODOLOGY]-0, qui sera soumis à l'Assemblée des radiocommunications de 2015 (AR-15).</w:t>
      </w:r>
    </w:p>
    <w:p w:rsidR="00421299" w:rsidRDefault="006421F8" w:rsidP="006421F8">
      <w:pPr>
        <w:ind w:right="-142"/>
        <w:rPr>
          <w:lang w:val="fr-CH"/>
        </w:rPr>
      </w:pPr>
      <w:r w:rsidRPr="006E0087">
        <w:rPr>
          <w:lang w:val="fr-CH"/>
        </w:rPr>
        <w:t xml:space="preserve">Les Recommandations </w:t>
      </w:r>
      <w:r>
        <w:rPr>
          <w:lang w:val="fr-CH"/>
        </w:rPr>
        <w:t xml:space="preserve">et les Questions </w:t>
      </w:r>
      <w:r w:rsidRPr="006E0087">
        <w:rPr>
          <w:lang w:val="fr-CH"/>
        </w:rPr>
        <w:t>approuvées</w:t>
      </w:r>
      <w:r>
        <w:rPr>
          <w:lang w:val="fr-CH"/>
        </w:rPr>
        <w:t xml:space="preserve"> </w:t>
      </w:r>
      <w:r w:rsidRPr="006E0087">
        <w:rPr>
          <w:lang w:val="fr-CH"/>
        </w:rPr>
        <w:t>seront publiées par l</w:t>
      </w:r>
      <w:r>
        <w:rPr>
          <w:lang w:val="fr-CH"/>
        </w:rPr>
        <w:t>'</w:t>
      </w:r>
      <w:r w:rsidRPr="006E0087">
        <w:rPr>
          <w:lang w:val="fr-CH"/>
        </w:rPr>
        <w:t>UIT</w:t>
      </w:r>
      <w:r>
        <w:rPr>
          <w:lang w:val="fr-CH"/>
        </w:rPr>
        <w:t>. Vous</w:t>
      </w:r>
      <w:r w:rsidRPr="006E0087">
        <w:rPr>
          <w:lang w:val="fr-CH"/>
        </w:rPr>
        <w:t xml:space="preserve"> trouverez dans l</w:t>
      </w:r>
      <w:r>
        <w:rPr>
          <w:lang w:val="fr-CH"/>
        </w:rPr>
        <w:t>'</w:t>
      </w:r>
      <w:r w:rsidRPr="006E0087">
        <w:rPr>
          <w:lang w:val="fr-CH"/>
        </w:rPr>
        <w:t xml:space="preserve">Annexe 1 de la présente Circulaire </w:t>
      </w:r>
      <w:r>
        <w:rPr>
          <w:lang w:val="fr-CH"/>
        </w:rPr>
        <w:t>le</w:t>
      </w:r>
      <w:r w:rsidRPr="006E0087">
        <w:rPr>
          <w:lang w:val="fr-CH"/>
        </w:rPr>
        <w:t>s titres</w:t>
      </w:r>
      <w:r>
        <w:rPr>
          <w:lang w:val="fr-CH"/>
        </w:rPr>
        <w:t xml:space="preserve"> des Recommandations approuvées</w:t>
      </w:r>
      <w:r w:rsidRPr="006E0087">
        <w:rPr>
          <w:lang w:val="fr-CH"/>
        </w:rPr>
        <w:t xml:space="preserve"> ainsi que les numéros qui leur ont été attribués. L</w:t>
      </w:r>
      <w:r>
        <w:rPr>
          <w:lang w:val="fr-CH"/>
        </w:rPr>
        <w:t xml:space="preserve">es </w:t>
      </w:r>
      <w:r w:rsidRPr="006E0087">
        <w:rPr>
          <w:lang w:val="fr-CH"/>
        </w:rPr>
        <w:t>Annexe</w:t>
      </w:r>
      <w:r>
        <w:rPr>
          <w:lang w:val="fr-CH"/>
        </w:rPr>
        <w:t>s</w:t>
      </w:r>
      <w:r w:rsidRPr="006E0087">
        <w:rPr>
          <w:lang w:val="fr-CH"/>
        </w:rPr>
        <w:t xml:space="preserve"> 2</w:t>
      </w:r>
      <w:r>
        <w:rPr>
          <w:lang w:val="fr-CH"/>
        </w:rPr>
        <w:t xml:space="preserve"> et 3 contiennent</w:t>
      </w:r>
      <w:r w:rsidRPr="006E0087">
        <w:rPr>
          <w:lang w:val="fr-CH"/>
        </w:rPr>
        <w:t xml:space="preserve"> l</w:t>
      </w:r>
      <w:r>
        <w:rPr>
          <w:lang w:val="fr-CH"/>
        </w:rPr>
        <w:t>es textes des Questions approuvées.</w:t>
      </w:r>
    </w:p>
    <w:p w:rsidR="00421299" w:rsidRDefault="00421299" w:rsidP="003A13CD">
      <w:pPr>
        <w:jc w:val="left"/>
        <w:rPr>
          <w:rFonts w:asciiTheme="minorHAnsi" w:hAnsiTheme="minorHAnsi"/>
          <w:lang w:val="fr-CH"/>
        </w:rPr>
      </w:pPr>
    </w:p>
    <w:p w:rsidR="00EE1A57" w:rsidRDefault="003A13CD" w:rsidP="003A13CD">
      <w:pPr>
        <w:jc w:val="left"/>
        <w:rPr>
          <w:rFonts w:asciiTheme="minorHAnsi" w:hAnsiTheme="minorHAnsi"/>
          <w:lang w:val="fr-CH"/>
        </w:rPr>
      </w:pPr>
      <w:r w:rsidRPr="003A13CD">
        <w:rPr>
          <w:rFonts w:asciiTheme="minorHAnsi" w:hAnsiTheme="minorHAnsi"/>
          <w:lang w:val="fr-CH"/>
        </w:rPr>
        <w:t>François Rancy</w:t>
      </w:r>
      <w:r w:rsidRPr="003A13CD">
        <w:rPr>
          <w:rFonts w:asciiTheme="minorHAnsi" w:hAnsiTheme="minorHAnsi"/>
          <w:lang w:val="fr-CH"/>
        </w:rPr>
        <w:br/>
        <w:t>Directeur</w:t>
      </w:r>
    </w:p>
    <w:p w:rsidR="001950D0" w:rsidRPr="003A13CD" w:rsidRDefault="001950D0" w:rsidP="003A13CD">
      <w:pPr>
        <w:jc w:val="left"/>
        <w:rPr>
          <w:rFonts w:asciiTheme="minorHAnsi" w:hAnsiTheme="minorHAnsi" w:cstheme="minorHAnsi"/>
          <w:szCs w:val="24"/>
          <w:lang w:val="fr-CH"/>
        </w:rPr>
      </w:pPr>
    </w:p>
    <w:p w:rsidR="00421299" w:rsidRPr="00136CBE" w:rsidRDefault="00421299" w:rsidP="00344CCC">
      <w:pPr>
        <w:keepNext/>
        <w:keepLines/>
        <w:tabs>
          <w:tab w:val="center" w:pos="7939"/>
          <w:tab w:val="right" w:pos="8505"/>
        </w:tabs>
        <w:spacing w:before="240"/>
        <w:rPr>
          <w:lang w:val="fr-CH"/>
        </w:rPr>
      </w:pPr>
      <w:r w:rsidRPr="00136CBE">
        <w:rPr>
          <w:b/>
          <w:lang w:val="fr-CH"/>
        </w:rPr>
        <w:t>Annexes</w:t>
      </w:r>
      <w:r w:rsidRPr="003F4FA0">
        <w:rPr>
          <w:bCs/>
          <w:lang w:val="fr-CH"/>
        </w:rPr>
        <w:t xml:space="preserve">: </w:t>
      </w:r>
      <w:r w:rsidR="001950D0">
        <w:rPr>
          <w:lang w:val="fr-CH"/>
        </w:rPr>
        <w:t>3</w:t>
      </w:r>
    </w:p>
    <w:p w:rsidR="00421299" w:rsidRPr="00136CBE" w:rsidRDefault="00421299" w:rsidP="00421299">
      <w:pPr>
        <w:keepNext/>
        <w:keepLines/>
        <w:tabs>
          <w:tab w:val="left" w:pos="284"/>
          <w:tab w:val="left" w:pos="568"/>
        </w:tabs>
        <w:spacing w:before="240" w:after="80" w:line="240" w:lineRule="auto"/>
        <w:rPr>
          <w:b/>
          <w:bCs/>
          <w:sz w:val="18"/>
          <w:szCs w:val="18"/>
          <w:lang w:val="fr-CH"/>
        </w:rPr>
      </w:pPr>
      <w:r w:rsidRPr="00136CBE">
        <w:rPr>
          <w:b/>
          <w:bCs/>
          <w:sz w:val="18"/>
          <w:szCs w:val="18"/>
          <w:lang w:val="fr-CH"/>
        </w:rPr>
        <w:t>Distribution:</w:t>
      </w:r>
    </w:p>
    <w:p w:rsidR="00421299" w:rsidRPr="006E0087" w:rsidRDefault="00421299" w:rsidP="001950D0">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Administrations des Etats Membres de l</w:t>
      </w:r>
      <w:r>
        <w:rPr>
          <w:sz w:val="18"/>
          <w:szCs w:val="18"/>
          <w:lang w:val="fr-CH"/>
        </w:rPr>
        <w:t>'</w:t>
      </w:r>
      <w:r w:rsidRPr="006E0087">
        <w:rPr>
          <w:sz w:val="18"/>
          <w:szCs w:val="18"/>
          <w:lang w:val="fr-CH"/>
        </w:rPr>
        <w:t>UIT et Membres du Secteur des radiocommunications participant aux tra</w:t>
      </w:r>
      <w:r>
        <w:rPr>
          <w:sz w:val="18"/>
          <w:szCs w:val="18"/>
          <w:lang w:val="fr-CH"/>
        </w:rPr>
        <w:t xml:space="preserve">vaux de la Commission d'études </w:t>
      </w:r>
      <w:r w:rsidR="001950D0">
        <w:rPr>
          <w:sz w:val="18"/>
          <w:szCs w:val="18"/>
          <w:lang w:val="fr-CH"/>
        </w:rPr>
        <w:t>4</w:t>
      </w:r>
      <w:r w:rsidRPr="006E0087">
        <w:rPr>
          <w:sz w:val="18"/>
          <w:szCs w:val="18"/>
          <w:lang w:val="fr-CH"/>
        </w:rPr>
        <w:t xml:space="preserve"> des radiocommunications </w:t>
      </w:r>
    </w:p>
    <w:p w:rsidR="00421299" w:rsidRPr="006E0087" w:rsidRDefault="00421299" w:rsidP="001950D0">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sidR="001950D0">
        <w:rPr>
          <w:sz w:val="18"/>
          <w:szCs w:val="18"/>
          <w:lang w:val="fr-CH"/>
        </w:rPr>
        <w:t>4</w:t>
      </w:r>
      <w:r w:rsidRPr="006E0087">
        <w:rPr>
          <w:sz w:val="18"/>
          <w:szCs w:val="18"/>
          <w:lang w:val="fr-CH"/>
        </w:rPr>
        <w:t xml:space="preserve"> des radiocommunications </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études des radiocommunications et de la Commission spéciale chargée d</w:t>
      </w:r>
      <w:r>
        <w:rPr>
          <w:sz w:val="18"/>
          <w:szCs w:val="18"/>
          <w:lang w:val="fr-CH"/>
        </w:rPr>
        <w:t>'</w:t>
      </w:r>
      <w:r w:rsidRPr="006E0087">
        <w:rPr>
          <w:sz w:val="18"/>
          <w:szCs w:val="18"/>
          <w:lang w:val="fr-CH"/>
        </w:rPr>
        <w:t>examiner les questions réglementaires et de procédure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421299" w:rsidRPr="006E0087"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4256F2" w:rsidRPr="00421299" w:rsidRDefault="00421299" w:rsidP="00421299">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F61977" w:rsidRPr="00121BC8" w:rsidRDefault="00F61977" w:rsidP="00AD6512">
      <w:pPr>
        <w:pStyle w:val="AnnexNotitle0"/>
        <w:rPr>
          <w:rFonts w:asciiTheme="minorHAnsi" w:hAnsiTheme="minorHAnsi" w:cstheme="minorHAnsi"/>
          <w:szCs w:val="28"/>
          <w:lang w:val="fr-CH"/>
        </w:rPr>
      </w:pPr>
      <w:r>
        <w:rPr>
          <w:rFonts w:asciiTheme="minorHAnsi" w:hAnsiTheme="minorHAnsi" w:cstheme="minorHAnsi"/>
          <w:szCs w:val="28"/>
          <w:lang w:val="fr-CH"/>
        </w:rPr>
        <w:lastRenderedPageBreak/>
        <w:t>Annexe 1</w:t>
      </w:r>
      <w:r w:rsidRPr="00121BC8">
        <w:rPr>
          <w:rFonts w:asciiTheme="minorHAnsi" w:hAnsiTheme="minorHAnsi" w:cstheme="minorHAnsi"/>
          <w:szCs w:val="28"/>
          <w:lang w:val="fr-CH"/>
        </w:rPr>
        <w:br/>
      </w:r>
      <w:r w:rsidRPr="00121BC8">
        <w:rPr>
          <w:rFonts w:asciiTheme="minorHAnsi" w:hAnsiTheme="minorHAnsi" w:cstheme="minorHAnsi"/>
          <w:szCs w:val="28"/>
          <w:lang w:val="fr-CH"/>
        </w:rPr>
        <w:br/>
        <w:t>Titres des Recommandation</w:t>
      </w:r>
      <w:r w:rsidR="008039A4">
        <w:rPr>
          <w:rFonts w:asciiTheme="minorHAnsi" w:hAnsiTheme="minorHAnsi" w:cstheme="minorHAnsi"/>
          <w:szCs w:val="28"/>
          <w:lang w:val="fr-CH"/>
        </w:rPr>
        <w:t xml:space="preserve"> UIT-R approuvé</w:t>
      </w:r>
      <w:r w:rsidR="00AD6512">
        <w:rPr>
          <w:rFonts w:asciiTheme="minorHAnsi" w:hAnsiTheme="minorHAnsi" w:cstheme="minorHAnsi"/>
          <w:szCs w:val="28"/>
          <w:lang w:val="fr-CH"/>
        </w:rPr>
        <w:t>e</w:t>
      </w:r>
      <w:r w:rsidR="008039A4">
        <w:rPr>
          <w:rFonts w:asciiTheme="minorHAnsi" w:hAnsiTheme="minorHAnsi" w:cstheme="minorHAnsi"/>
          <w:szCs w:val="28"/>
          <w:lang w:val="fr-CH"/>
        </w:rPr>
        <w:t>s</w:t>
      </w:r>
    </w:p>
    <w:p w:rsidR="00F61977" w:rsidRPr="00121BC8" w:rsidRDefault="00F61977" w:rsidP="00F61977">
      <w:pPr>
        <w:tabs>
          <w:tab w:val="right" w:pos="9639"/>
        </w:tabs>
        <w:spacing w:before="480" w:line="240" w:lineRule="auto"/>
        <w:rPr>
          <w:rFonts w:asciiTheme="minorHAnsi" w:hAnsiTheme="minorHAnsi"/>
          <w:szCs w:val="24"/>
          <w:lang w:val="fr-CH"/>
        </w:rPr>
      </w:pPr>
      <w:r w:rsidRPr="00121BC8">
        <w:rPr>
          <w:rFonts w:asciiTheme="minorHAnsi" w:hAnsiTheme="minorHAnsi"/>
          <w:szCs w:val="24"/>
          <w:u w:val="single"/>
          <w:lang w:val="fr-CH"/>
        </w:rPr>
        <w:t>Recommandation UIT-R M.2014-</w:t>
      </w:r>
      <w:r w:rsidR="00417344">
        <w:rPr>
          <w:rFonts w:asciiTheme="minorHAnsi" w:hAnsiTheme="minorHAnsi"/>
          <w:szCs w:val="24"/>
          <w:u w:val="single"/>
          <w:lang w:val="fr-CH"/>
        </w:rPr>
        <w:t>1</w:t>
      </w:r>
      <w:r w:rsidRPr="00121BC8">
        <w:rPr>
          <w:rFonts w:asciiTheme="minorHAnsi" w:hAnsiTheme="minorHAnsi"/>
          <w:szCs w:val="24"/>
          <w:lang w:val="fr-CH"/>
        </w:rPr>
        <w:tab/>
        <w:t>Doc. 4/94(Rév.1)</w:t>
      </w:r>
    </w:p>
    <w:p w:rsidR="00F61977" w:rsidRPr="00121BC8" w:rsidRDefault="00F61977" w:rsidP="00F61977">
      <w:pPr>
        <w:tabs>
          <w:tab w:val="right" w:pos="9639"/>
        </w:tabs>
        <w:spacing w:before="36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Circulation à l'échelle mondiale des</w:t>
      </w:r>
      <w:r w:rsidR="008039A4">
        <w:rPr>
          <w:rFonts w:asciiTheme="minorHAnsi" w:hAnsiTheme="minorHAnsi" w:cstheme="majorBidi"/>
          <w:b/>
          <w:bCs/>
          <w:color w:val="000000"/>
          <w:sz w:val="28"/>
          <w:szCs w:val="28"/>
          <w:lang w:val="fr-CH" w:eastAsia="zh-CN"/>
        </w:rPr>
        <w:t xml:space="preserve"> terminaux de satellite IMT</w:t>
      </w:r>
    </w:p>
    <w:p w:rsidR="00F61977" w:rsidRPr="00121BC8" w:rsidRDefault="00F61977" w:rsidP="00F61977">
      <w:pPr>
        <w:tabs>
          <w:tab w:val="right" w:pos="9639"/>
        </w:tabs>
        <w:spacing w:before="480" w:line="240" w:lineRule="auto"/>
        <w:rPr>
          <w:rFonts w:asciiTheme="minorHAnsi" w:hAnsiTheme="minorHAnsi"/>
          <w:szCs w:val="24"/>
          <w:lang w:val="fr-CH"/>
        </w:rPr>
      </w:pPr>
      <w:r w:rsidRPr="00121BC8">
        <w:rPr>
          <w:rFonts w:asciiTheme="minorHAnsi" w:hAnsiTheme="minorHAnsi"/>
          <w:szCs w:val="24"/>
          <w:u w:val="single"/>
          <w:lang w:val="fr-CH"/>
        </w:rPr>
        <w:t>Recommandation UIT-R M.1831-</w:t>
      </w:r>
      <w:r w:rsidR="00417344">
        <w:rPr>
          <w:rFonts w:asciiTheme="minorHAnsi" w:hAnsiTheme="minorHAnsi"/>
          <w:szCs w:val="24"/>
          <w:u w:val="single"/>
          <w:lang w:val="fr-CH"/>
        </w:rPr>
        <w:t>1</w:t>
      </w:r>
      <w:r w:rsidRPr="00121BC8">
        <w:rPr>
          <w:rFonts w:asciiTheme="minorHAnsi" w:hAnsiTheme="minorHAnsi"/>
          <w:szCs w:val="24"/>
          <w:lang w:val="fr-CH"/>
        </w:rPr>
        <w:tab/>
        <w:t>Doc. 4/102(Rév.2)</w:t>
      </w:r>
    </w:p>
    <w:p w:rsidR="00F61977" w:rsidRPr="00121BC8" w:rsidRDefault="00F61977" w:rsidP="00F61977">
      <w:pPr>
        <w:spacing w:before="36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 xml:space="preserve">Méthode de coordination pour l'évaluation des brouillages entre systèmes </w:t>
      </w:r>
      <w:r w:rsidRPr="00121BC8">
        <w:rPr>
          <w:rFonts w:asciiTheme="minorHAnsi" w:hAnsiTheme="minorHAnsi" w:cstheme="majorBidi"/>
          <w:b/>
          <w:bCs/>
          <w:color w:val="000000"/>
          <w:sz w:val="28"/>
          <w:szCs w:val="28"/>
          <w:lang w:val="fr-CH" w:eastAsia="zh-CN"/>
        </w:rPr>
        <w:br/>
        <w:t>du service de radionavigation par satellite</w:t>
      </w:r>
    </w:p>
    <w:p w:rsidR="00F61977" w:rsidRPr="00121BC8" w:rsidRDefault="00F61977" w:rsidP="00F61977">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t>Recommandation UIT-R M.2031-</w:t>
      </w:r>
      <w:r w:rsidR="00417344">
        <w:rPr>
          <w:rFonts w:asciiTheme="minorHAnsi" w:hAnsiTheme="minorHAnsi"/>
          <w:szCs w:val="24"/>
          <w:u w:val="single"/>
          <w:lang w:val="fr-CH"/>
        </w:rPr>
        <w:t>1</w:t>
      </w:r>
      <w:r w:rsidRPr="00121BC8">
        <w:rPr>
          <w:rFonts w:asciiTheme="minorHAnsi" w:hAnsiTheme="minorHAnsi"/>
          <w:szCs w:val="24"/>
          <w:lang w:val="fr-CH"/>
        </w:rPr>
        <w:tab/>
        <w:t>Doc. 4/103(Rév.1)</w:t>
      </w:r>
    </w:p>
    <w:p w:rsidR="00F61977" w:rsidRPr="00121BC8" w:rsidRDefault="00F61977" w:rsidP="00AD6512">
      <w:pPr>
        <w:spacing w:before="36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Caractéristiques et critères de protection des stations terriennes de réception et caractéristiques des stations spatiales d'émission du service de radionavigation par satellite (espace vers Terre) fonctionnant dans la bande 5 010-5 030 MHz</w:t>
      </w:r>
    </w:p>
    <w:p w:rsidR="00F61977" w:rsidRPr="00121BC8" w:rsidRDefault="00F61977" w:rsidP="00F61977">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t>Recommandation UIT-R M.1906-</w:t>
      </w:r>
      <w:r w:rsidR="00417344">
        <w:rPr>
          <w:rFonts w:asciiTheme="minorHAnsi" w:hAnsiTheme="minorHAnsi"/>
          <w:szCs w:val="24"/>
          <w:u w:val="single"/>
          <w:lang w:val="fr-CH"/>
        </w:rPr>
        <w:t>1</w:t>
      </w:r>
      <w:r w:rsidRPr="00121BC8">
        <w:rPr>
          <w:rFonts w:asciiTheme="minorHAnsi" w:hAnsiTheme="minorHAnsi"/>
          <w:szCs w:val="24"/>
          <w:lang w:val="fr-CH"/>
        </w:rPr>
        <w:tab/>
        <w:t>Doc. 4/104(Rév.1)</w:t>
      </w:r>
    </w:p>
    <w:p w:rsidR="00F61977" w:rsidRPr="00121BC8" w:rsidRDefault="00F61977" w:rsidP="00AD6512">
      <w:pPr>
        <w:spacing w:before="36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Caractéristiques et critères de protection des sta</w:t>
      </w:r>
      <w:r>
        <w:rPr>
          <w:rFonts w:asciiTheme="minorHAnsi" w:hAnsiTheme="minorHAnsi" w:cstheme="majorBidi"/>
          <w:b/>
          <w:bCs/>
          <w:color w:val="000000"/>
          <w:sz w:val="28"/>
          <w:szCs w:val="28"/>
          <w:lang w:val="fr-CH" w:eastAsia="zh-CN"/>
        </w:rPr>
        <w:t>tions spatiales de réception et </w:t>
      </w:r>
      <w:r w:rsidRPr="00121BC8">
        <w:rPr>
          <w:rFonts w:asciiTheme="minorHAnsi" w:hAnsiTheme="minorHAnsi" w:cstheme="majorBidi"/>
          <w:b/>
          <w:bCs/>
          <w:color w:val="000000"/>
          <w:sz w:val="28"/>
          <w:szCs w:val="28"/>
          <w:lang w:val="fr-CH" w:eastAsia="zh-CN"/>
        </w:rPr>
        <w:t xml:space="preserve">caractéristiques des stations terriennes d'émission du service </w:t>
      </w:r>
      <w:r>
        <w:rPr>
          <w:rFonts w:asciiTheme="minorHAnsi" w:hAnsiTheme="minorHAnsi" w:cstheme="majorBidi"/>
          <w:b/>
          <w:bCs/>
          <w:color w:val="000000"/>
          <w:sz w:val="28"/>
          <w:szCs w:val="28"/>
          <w:lang w:val="fr-CH" w:eastAsia="zh-CN"/>
        </w:rPr>
        <w:br/>
      </w:r>
      <w:r w:rsidRPr="00121BC8">
        <w:rPr>
          <w:rFonts w:asciiTheme="minorHAnsi" w:hAnsiTheme="minorHAnsi" w:cstheme="majorBidi"/>
          <w:b/>
          <w:bCs/>
          <w:color w:val="000000"/>
          <w:sz w:val="28"/>
          <w:szCs w:val="28"/>
          <w:lang w:val="fr-CH" w:eastAsia="zh-CN"/>
        </w:rPr>
        <w:t xml:space="preserve">de radionavigation par satellite (Terre vers espace) fonctionnant </w:t>
      </w:r>
      <w:r>
        <w:rPr>
          <w:rFonts w:asciiTheme="minorHAnsi" w:hAnsiTheme="minorHAnsi" w:cstheme="majorBidi"/>
          <w:b/>
          <w:bCs/>
          <w:color w:val="000000"/>
          <w:sz w:val="28"/>
          <w:szCs w:val="28"/>
          <w:lang w:val="fr-CH" w:eastAsia="zh-CN"/>
        </w:rPr>
        <w:br/>
      </w:r>
      <w:r w:rsidRPr="00121BC8">
        <w:rPr>
          <w:rFonts w:asciiTheme="minorHAnsi" w:hAnsiTheme="minorHAnsi" w:cstheme="majorBidi"/>
          <w:b/>
          <w:bCs/>
          <w:color w:val="000000"/>
          <w:sz w:val="28"/>
          <w:szCs w:val="28"/>
          <w:lang w:val="fr-CH" w:eastAsia="zh-CN"/>
        </w:rPr>
        <w:t>dans la bande 5 000-5 010 MHz</w:t>
      </w:r>
    </w:p>
    <w:p w:rsidR="00F61977" w:rsidRPr="00121BC8" w:rsidRDefault="00F61977" w:rsidP="00F61977">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t>Recommandation UIT-R S.1717-</w:t>
      </w:r>
      <w:r w:rsidR="00417344">
        <w:rPr>
          <w:rFonts w:asciiTheme="minorHAnsi" w:hAnsiTheme="minorHAnsi"/>
          <w:szCs w:val="24"/>
          <w:u w:val="single"/>
          <w:lang w:val="fr-CH"/>
        </w:rPr>
        <w:t>1</w:t>
      </w:r>
      <w:r w:rsidRPr="00121BC8">
        <w:rPr>
          <w:rFonts w:asciiTheme="minorHAnsi" w:hAnsiTheme="minorHAnsi"/>
          <w:szCs w:val="24"/>
          <w:lang w:val="fr-CH"/>
        </w:rPr>
        <w:tab/>
        <w:t>Doc. 4/113(Rév.1)</w:t>
      </w:r>
    </w:p>
    <w:p w:rsidR="00F61977" w:rsidRPr="00121BC8" w:rsidRDefault="00F61977" w:rsidP="00AD6512">
      <w:pPr>
        <w:spacing w:before="360" w:line="240" w:lineRule="auto"/>
        <w:jc w:val="center"/>
        <w:rPr>
          <w:rFonts w:asciiTheme="minorHAnsi" w:hAnsiTheme="minorHAnsi" w:cstheme="majorBidi"/>
          <w:b/>
          <w:bCs/>
          <w:sz w:val="28"/>
          <w:szCs w:val="28"/>
          <w:lang w:val="fr-CH"/>
        </w:rPr>
      </w:pPr>
      <w:r w:rsidRPr="00121BC8">
        <w:rPr>
          <w:rFonts w:asciiTheme="minorHAnsi" w:hAnsiTheme="minorHAnsi" w:cstheme="majorBidi"/>
          <w:b/>
          <w:bCs/>
          <w:sz w:val="28"/>
          <w:szCs w:val="28"/>
          <w:lang w:val="fr-CH"/>
        </w:rPr>
        <w:t xml:space="preserve">Format des fichiers de données électroniques pour les diagrammes </w:t>
      </w:r>
      <w:r w:rsidRPr="00121BC8">
        <w:rPr>
          <w:rFonts w:asciiTheme="minorHAnsi" w:hAnsiTheme="minorHAnsi" w:cstheme="majorBidi"/>
          <w:b/>
          <w:bCs/>
          <w:sz w:val="28"/>
          <w:szCs w:val="28"/>
          <w:lang w:val="fr-CH"/>
        </w:rPr>
        <w:br/>
        <w:t>d'antenne de station terrienne</w:t>
      </w:r>
    </w:p>
    <w:p w:rsidR="00F61977" w:rsidRPr="00121BC8" w:rsidRDefault="00F61977" w:rsidP="00F61977">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t>Recommandation UIT-R S.1587-</w:t>
      </w:r>
      <w:r w:rsidR="00417344">
        <w:rPr>
          <w:rFonts w:asciiTheme="minorHAnsi" w:hAnsiTheme="minorHAnsi"/>
          <w:szCs w:val="24"/>
          <w:u w:val="single"/>
          <w:lang w:val="fr-CH"/>
        </w:rPr>
        <w:t>3</w:t>
      </w:r>
      <w:r w:rsidRPr="00121BC8">
        <w:rPr>
          <w:rFonts w:asciiTheme="minorHAnsi" w:hAnsiTheme="minorHAnsi"/>
          <w:szCs w:val="24"/>
          <w:lang w:val="fr-CH"/>
        </w:rPr>
        <w:tab/>
        <w:t>Doc. 4/114(Rév.1)</w:t>
      </w:r>
    </w:p>
    <w:p w:rsidR="00F61977" w:rsidRPr="00121BC8" w:rsidRDefault="00F61977" w:rsidP="00AD6512">
      <w:pPr>
        <w:spacing w:before="360" w:line="240" w:lineRule="auto"/>
        <w:jc w:val="center"/>
        <w:rPr>
          <w:rFonts w:asciiTheme="minorHAnsi" w:hAnsiTheme="minorHAnsi" w:cstheme="majorBidi"/>
          <w:b/>
          <w:bCs/>
          <w:sz w:val="28"/>
          <w:szCs w:val="28"/>
          <w:lang w:val="fr-CH"/>
        </w:rPr>
      </w:pPr>
      <w:r w:rsidRPr="00121BC8">
        <w:rPr>
          <w:rFonts w:asciiTheme="minorHAnsi" w:hAnsiTheme="minorHAnsi" w:cstheme="majorBidi"/>
          <w:b/>
          <w:bCs/>
          <w:sz w:val="28"/>
          <w:szCs w:val="28"/>
          <w:lang w:val="fr-CH"/>
        </w:rPr>
        <w:t>Caractéristiques techniques des stations terrien</w:t>
      </w:r>
      <w:r>
        <w:rPr>
          <w:rFonts w:asciiTheme="minorHAnsi" w:hAnsiTheme="minorHAnsi" w:cstheme="majorBidi"/>
          <w:b/>
          <w:bCs/>
          <w:sz w:val="28"/>
          <w:szCs w:val="28"/>
          <w:lang w:val="fr-CH"/>
        </w:rPr>
        <w:t>nes de navire communiquant avec </w:t>
      </w:r>
      <w:r w:rsidRPr="00121BC8">
        <w:rPr>
          <w:rFonts w:asciiTheme="minorHAnsi" w:hAnsiTheme="minorHAnsi" w:cstheme="majorBidi"/>
          <w:b/>
          <w:bCs/>
          <w:sz w:val="28"/>
          <w:szCs w:val="28"/>
          <w:lang w:val="fr-CH"/>
        </w:rPr>
        <w:t xml:space="preserve">des satellites du service fixe par satellite </w:t>
      </w:r>
      <w:r>
        <w:rPr>
          <w:rFonts w:asciiTheme="minorHAnsi" w:hAnsiTheme="minorHAnsi" w:cstheme="majorBidi"/>
          <w:b/>
          <w:bCs/>
          <w:sz w:val="28"/>
          <w:szCs w:val="28"/>
          <w:lang w:val="fr-CH"/>
        </w:rPr>
        <w:t>dans les bandes de fréquences 5 </w:t>
      </w:r>
      <w:r w:rsidRPr="00121BC8">
        <w:rPr>
          <w:rFonts w:asciiTheme="minorHAnsi" w:hAnsiTheme="minorHAnsi" w:cstheme="majorBidi"/>
          <w:b/>
          <w:bCs/>
          <w:sz w:val="28"/>
          <w:szCs w:val="28"/>
          <w:lang w:val="fr-CH"/>
        </w:rPr>
        <w:t xml:space="preserve">925-6 425 MHz et 14-14,5 GHz qui sont attribuées </w:t>
      </w:r>
      <w:r>
        <w:rPr>
          <w:rFonts w:asciiTheme="minorHAnsi" w:hAnsiTheme="minorHAnsi" w:cstheme="majorBidi"/>
          <w:b/>
          <w:bCs/>
          <w:sz w:val="28"/>
          <w:szCs w:val="28"/>
          <w:lang w:val="fr-CH"/>
        </w:rPr>
        <w:br/>
      </w:r>
      <w:r w:rsidRPr="00121BC8">
        <w:rPr>
          <w:rFonts w:asciiTheme="minorHAnsi" w:hAnsiTheme="minorHAnsi" w:cstheme="majorBidi"/>
          <w:b/>
          <w:bCs/>
          <w:sz w:val="28"/>
          <w:szCs w:val="28"/>
          <w:lang w:val="fr-CH"/>
        </w:rPr>
        <w:t>au service fixe par satellite</w:t>
      </w:r>
    </w:p>
    <w:p w:rsidR="00F61977" w:rsidRPr="00121BC8" w:rsidRDefault="00F61977" w:rsidP="00F61977">
      <w:pPr>
        <w:pStyle w:val="Headingb"/>
        <w:spacing w:before="360" w:after="120" w:line="240" w:lineRule="auto"/>
        <w:jc w:val="center"/>
        <w:rPr>
          <w:rFonts w:asciiTheme="minorHAnsi" w:hAnsiTheme="minorHAnsi" w:cstheme="minorHAnsi"/>
          <w:sz w:val="28"/>
          <w:szCs w:val="28"/>
          <w:lang w:val="fr-CH"/>
        </w:rPr>
      </w:pPr>
      <w:r w:rsidRPr="00121BC8">
        <w:rPr>
          <w:rFonts w:asciiTheme="minorHAnsi" w:hAnsiTheme="minorHAnsi" w:cstheme="minorHAnsi"/>
          <w:sz w:val="28"/>
          <w:szCs w:val="28"/>
          <w:lang w:val="fr-CH"/>
        </w:rPr>
        <w:br w:type="page"/>
      </w:r>
    </w:p>
    <w:p w:rsidR="00F61977" w:rsidRPr="00121BC8" w:rsidRDefault="00F61977" w:rsidP="00F61977">
      <w:pPr>
        <w:pStyle w:val="Headingb"/>
        <w:spacing w:before="360" w:after="120" w:line="240" w:lineRule="auto"/>
        <w:jc w:val="center"/>
        <w:rPr>
          <w:rFonts w:asciiTheme="minorHAnsi" w:hAnsiTheme="minorHAnsi" w:cstheme="minorHAnsi"/>
          <w:sz w:val="28"/>
          <w:szCs w:val="28"/>
          <w:lang w:val="fr-CH"/>
        </w:rPr>
      </w:pPr>
      <w:r w:rsidRPr="00121BC8">
        <w:rPr>
          <w:rFonts w:asciiTheme="minorHAnsi" w:hAnsiTheme="minorHAnsi" w:cstheme="minorHAnsi"/>
          <w:sz w:val="28"/>
          <w:szCs w:val="28"/>
          <w:lang w:val="fr-CH"/>
        </w:rPr>
        <w:lastRenderedPageBreak/>
        <w:t>Annexe 2</w:t>
      </w:r>
    </w:p>
    <w:p w:rsidR="00F61977" w:rsidRPr="00A7411C" w:rsidRDefault="00F61977" w:rsidP="008039A4">
      <w:pPr>
        <w:pStyle w:val="QuestionNo"/>
        <w:spacing w:before="480" w:line="240" w:lineRule="auto"/>
        <w:jc w:val="center"/>
        <w:rPr>
          <w:rFonts w:asciiTheme="majorBidi" w:hAnsiTheme="majorBidi" w:cstheme="majorBidi"/>
          <w:b w:val="0"/>
          <w:bCs/>
          <w:lang w:val="fr-CH" w:eastAsia="ja-JP"/>
        </w:rPr>
      </w:pPr>
      <w:r w:rsidRPr="00A7411C">
        <w:rPr>
          <w:rFonts w:asciiTheme="majorBidi" w:hAnsiTheme="majorBidi" w:cstheme="majorBidi"/>
          <w:b w:val="0"/>
          <w:bCs/>
          <w:lang w:val="fr-CH" w:eastAsia="ja-JP"/>
        </w:rPr>
        <w:t xml:space="preserve">QUESTION UIT-R </w:t>
      </w:r>
      <w:r w:rsidR="008039A4">
        <w:rPr>
          <w:rFonts w:asciiTheme="majorBidi" w:hAnsiTheme="majorBidi" w:cstheme="majorBidi"/>
          <w:b w:val="0"/>
          <w:bCs/>
          <w:lang w:val="fr-CH" w:eastAsia="ja-JP"/>
        </w:rPr>
        <w:t>292/</w:t>
      </w:r>
      <w:r w:rsidRPr="00A7411C">
        <w:rPr>
          <w:rFonts w:asciiTheme="majorBidi" w:hAnsiTheme="majorBidi" w:cstheme="majorBidi"/>
          <w:b w:val="0"/>
          <w:bCs/>
          <w:lang w:val="fr-CH" w:eastAsia="ja-JP"/>
        </w:rPr>
        <w:t>4</w:t>
      </w:r>
    </w:p>
    <w:p w:rsidR="00F61977" w:rsidRDefault="00F61977" w:rsidP="00F61977">
      <w:pPr>
        <w:pStyle w:val="Questiontitle"/>
        <w:rPr>
          <w:rFonts w:asciiTheme="majorBidi" w:hAnsiTheme="majorBidi" w:cstheme="majorBidi"/>
          <w:szCs w:val="28"/>
          <w:lang w:val="fr-CH" w:eastAsia="ja-JP"/>
        </w:rPr>
      </w:pPr>
      <w:r w:rsidRPr="00A7411C">
        <w:rPr>
          <w:rFonts w:asciiTheme="majorBidi" w:hAnsiTheme="majorBidi" w:cstheme="majorBidi"/>
          <w:szCs w:val="28"/>
          <w:lang w:val="fr-CH" w:eastAsia="ja-JP"/>
        </w:rPr>
        <w:t xml:space="preserve">Systèmes de radiodiffusion de TVUHD par satellite </w:t>
      </w:r>
    </w:p>
    <w:p w:rsidR="008039A4" w:rsidRPr="008039A4" w:rsidRDefault="008039A4" w:rsidP="008039A4">
      <w:pPr>
        <w:pStyle w:val="Resdate"/>
        <w:rPr>
          <w:rFonts w:asciiTheme="majorBidi" w:hAnsiTheme="majorBidi" w:cstheme="majorBidi"/>
          <w:i w:val="0"/>
          <w:iCs/>
          <w:lang w:val="fr-CH" w:eastAsia="ja-JP"/>
        </w:rPr>
      </w:pPr>
      <w:r w:rsidRPr="008039A4">
        <w:rPr>
          <w:rFonts w:asciiTheme="majorBidi" w:hAnsiTheme="majorBidi" w:cstheme="majorBidi"/>
          <w:i w:val="0"/>
          <w:iCs/>
          <w:lang w:val="fr-CH" w:eastAsia="ja-JP"/>
        </w:rPr>
        <w:t>(2015)</w:t>
      </w:r>
    </w:p>
    <w:p w:rsidR="00F61977" w:rsidRPr="00A7411C" w:rsidRDefault="00F61977" w:rsidP="00F61977">
      <w:pPr>
        <w:pStyle w:val="Normalaftertitle"/>
        <w:spacing w:line="240" w:lineRule="auto"/>
        <w:jc w:val="left"/>
        <w:rPr>
          <w:rFonts w:asciiTheme="majorBidi" w:hAnsiTheme="majorBidi" w:cstheme="majorBidi"/>
          <w:szCs w:val="24"/>
          <w:lang w:val="fr-CH"/>
        </w:rPr>
      </w:pPr>
      <w:r w:rsidRPr="00A7411C">
        <w:rPr>
          <w:rFonts w:asciiTheme="majorBidi" w:hAnsiTheme="majorBidi" w:cstheme="majorBidi"/>
          <w:szCs w:val="24"/>
          <w:lang w:val="fr-CH"/>
        </w:rPr>
        <w:t>L'Assemblée des radiocommunications de l'UIT,</w:t>
      </w:r>
    </w:p>
    <w:p w:rsidR="00F61977" w:rsidRPr="00A7411C" w:rsidRDefault="00F61977" w:rsidP="00F61977">
      <w:pPr>
        <w:pStyle w:val="Call"/>
        <w:ind w:left="1134"/>
        <w:rPr>
          <w:rFonts w:asciiTheme="majorBidi" w:hAnsiTheme="majorBidi" w:cstheme="majorBidi"/>
          <w:szCs w:val="24"/>
          <w:lang w:val="fr-CH" w:eastAsia="ja-JP"/>
        </w:rPr>
      </w:pPr>
      <w:r w:rsidRPr="00A7411C">
        <w:rPr>
          <w:rFonts w:asciiTheme="majorBidi" w:hAnsiTheme="majorBidi" w:cstheme="majorBidi"/>
          <w:szCs w:val="24"/>
          <w:lang w:val="fr-CH"/>
        </w:rPr>
        <w:t>considérant</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rPr>
        <w:t>a)</w:t>
      </w:r>
      <w:r w:rsidRPr="00A7411C">
        <w:rPr>
          <w:rFonts w:asciiTheme="majorBidi" w:hAnsiTheme="majorBidi" w:cstheme="majorBidi"/>
          <w:szCs w:val="24"/>
          <w:lang w:val="fr-CH"/>
        </w:rPr>
        <w:tab/>
        <w:t xml:space="preserve">la diversification des </w:t>
      </w:r>
      <w:r w:rsidRPr="00A7411C">
        <w:rPr>
          <w:rFonts w:asciiTheme="majorBidi" w:hAnsiTheme="majorBidi" w:cstheme="majorBidi"/>
          <w:szCs w:val="24"/>
          <w:lang w:val="fr-CH" w:eastAsia="ja-JP"/>
        </w:rPr>
        <w:t>p</w:t>
      </w:r>
      <w:r w:rsidRPr="00A7411C">
        <w:rPr>
          <w:rFonts w:asciiTheme="majorBidi" w:hAnsiTheme="majorBidi" w:cstheme="majorBidi"/>
          <w:szCs w:val="24"/>
          <w:lang w:val="fr-CH"/>
        </w:rPr>
        <w:t>référence</w:t>
      </w:r>
      <w:r w:rsidRPr="00A7411C">
        <w:rPr>
          <w:rFonts w:asciiTheme="majorBidi" w:hAnsiTheme="majorBidi" w:cstheme="majorBidi"/>
          <w:szCs w:val="24"/>
          <w:lang w:val="fr-CH" w:eastAsia="ja-JP"/>
        </w:rPr>
        <w:t>s</w:t>
      </w:r>
      <w:r w:rsidRPr="00A7411C">
        <w:rPr>
          <w:rFonts w:asciiTheme="majorBidi" w:hAnsiTheme="majorBidi" w:cstheme="majorBidi"/>
          <w:szCs w:val="24"/>
          <w:lang w:val="fr-CH"/>
        </w:rPr>
        <w:t xml:space="preserve"> </w:t>
      </w:r>
      <w:r w:rsidRPr="00A7411C">
        <w:rPr>
          <w:rFonts w:asciiTheme="majorBidi" w:hAnsiTheme="majorBidi" w:cstheme="majorBidi"/>
          <w:szCs w:val="24"/>
          <w:lang w:val="fr-CH" w:eastAsia="ja-JP"/>
        </w:rPr>
        <w:t>des téléspectateurs</w:t>
      </w:r>
      <w:r w:rsidRPr="00A7411C">
        <w:rPr>
          <w:rFonts w:asciiTheme="majorBidi" w:hAnsiTheme="majorBidi" w:cstheme="majorBidi"/>
          <w:szCs w:val="24"/>
          <w:lang w:val="fr-CH"/>
        </w:rPr>
        <w:t>, qui souhaitent notamment des images haute résolution;</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b</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la recherche permanente de moyens d'améliorer la souplesse et l'efficacité d'utilisation du spectre des fréquences radioélectriques;</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c</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 xml:space="preserve">la nécessité d'augmenter la capacité de </w:t>
      </w:r>
      <w:r w:rsidRPr="00A7411C">
        <w:rPr>
          <w:rFonts w:asciiTheme="majorBidi" w:hAnsiTheme="majorBidi" w:cstheme="majorBidi"/>
          <w:szCs w:val="24"/>
          <w:lang w:val="fr-CH" w:eastAsia="ja-JP"/>
        </w:rPr>
        <w:t>transmission afin d'assurer la radiodiffusion de télévision ultra haute définition (TVUHD) par satellite au moyen d'un seul répéteur de satellite</w:t>
      </w:r>
      <w:r w:rsidRPr="00A7411C">
        <w:rPr>
          <w:rFonts w:asciiTheme="majorBidi" w:hAnsiTheme="majorBidi" w:cstheme="majorBidi"/>
          <w:szCs w:val="24"/>
          <w:lang w:val="fr-CH"/>
        </w:rPr>
        <w:t>;</w:t>
      </w:r>
    </w:p>
    <w:p w:rsidR="00F61977" w:rsidRPr="00A7411C" w:rsidRDefault="00F61977" w:rsidP="00F61977">
      <w:pPr>
        <w:tabs>
          <w:tab w:val="clear" w:pos="794"/>
          <w:tab w:val="left" w:pos="1134"/>
        </w:tabs>
        <w:rPr>
          <w:rFonts w:asciiTheme="majorBidi" w:hAnsiTheme="majorBidi" w:cstheme="majorBidi"/>
          <w:szCs w:val="24"/>
          <w:lang w:val="fr-CH"/>
        </w:rPr>
      </w:pPr>
      <w:r w:rsidRPr="00A7411C">
        <w:rPr>
          <w:rFonts w:asciiTheme="majorBidi" w:hAnsiTheme="majorBidi" w:cstheme="majorBidi"/>
          <w:i/>
          <w:iCs/>
          <w:szCs w:val="24"/>
          <w:lang w:val="fr-CH" w:eastAsia="ja-JP"/>
        </w:rPr>
        <w:t>d</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que des progrès importants ont été accomplis en ce qui concerne l'efficacité des techniques de modulation et de codage de canal, notamment les formats utilisant par exemple les codes APSK (modulation par déplacement d'amplitude et de phase) et LDPC (contrôle de parité de faible densité), mais pas uniquement;</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e</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que les progrès réalisés concernant les techniques de compression vidéo et audio compatibles avec le format TVUHD ont montré qu'il était possible de transmettre plusieurs services de TVUHD par répéteur de satellite;</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f</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r>
      <w:r w:rsidRPr="00A7411C">
        <w:rPr>
          <w:rFonts w:asciiTheme="majorBidi" w:hAnsiTheme="majorBidi" w:cstheme="majorBidi"/>
          <w:szCs w:val="24"/>
          <w:lang w:val="fr-CH" w:eastAsia="ja-JP"/>
        </w:rPr>
        <w:t>que la radiodiffusion de TVUHD par satellite peut utiliser aussi bien des paquets de flux de transport MPEG que des paquets IP</w:t>
      </w:r>
      <w:r w:rsidRPr="00A7411C">
        <w:rPr>
          <w:rFonts w:asciiTheme="majorBidi" w:hAnsiTheme="majorBidi" w:cstheme="majorBidi"/>
          <w:szCs w:val="24"/>
          <w:lang w:val="fr-CH"/>
        </w:rPr>
        <w:t>;</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g</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r>
      <w:r w:rsidRPr="00A7411C">
        <w:rPr>
          <w:rFonts w:asciiTheme="majorBidi" w:hAnsiTheme="majorBidi" w:cstheme="majorBidi"/>
          <w:szCs w:val="24"/>
          <w:lang w:val="fr-CH" w:eastAsia="ja-JP"/>
        </w:rPr>
        <w:t>que des configurations souples de transmission et de multiplexage permettent d'intégrer la radiodiffusion de TVUHD par satellite dans le réseau IP</w:t>
      </w:r>
      <w:r w:rsidRPr="00A7411C">
        <w:rPr>
          <w:rFonts w:asciiTheme="majorBidi" w:hAnsiTheme="majorBidi" w:cstheme="majorBidi"/>
          <w:szCs w:val="24"/>
          <w:lang w:val="fr-CH"/>
        </w:rPr>
        <w:t>;</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h</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que les critères de disponibilité de ces différents services, y compris de TVUHD, peuvent varier en fonction de leur application,</w:t>
      </w:r>
    </w:p>
    <w:p w:rsidR="00F61977" w:rsidRPr="00A7411C" w:rsidRDefault="00F61977" w:rsidP="00F61977">
      <w:pPr>
        <w:pStyle w:val="Call"/>
        <w:ind w:left="1134"/>
        <w:rPr>
          <w:rFonts w:asciiTheme="majorBidi" w:hAnsiTheme="majorBidi" w:cstheme="majorBidi"/>
          <w:szCs w:val="24"/>
          <w:lang w:val="fr-CH" w:eastAsia="ja-JP"/>
        </w:rPr>
      </w:pPr>
      <w:r w:rsidRPr="00A7411C">
        <w:rPr>
          <w:rFonts w:asciiTheme="majorBidi" w:hAnsiTheme="majorBidi" w:cstheme="majorBidi"/>
          <w:szCs w:val="24"/>
          <w:lang w:val="fr-CH" w:eastAsia="ja-JP"/>
        </w:rPr>
        <w:t>notant</w:t>
      </w:r>
    </w:p>
    <w:p w:rsidR="00F61977" w:rsidRPr="00A7411C" w:rsidRDefault="00F61977" w:rsidP="00F61977">
      <w:pPr>
        <w:rPr>
          <w:rFonts w:asciiTheme="majorBidi" w:hAnsiTheme="majorBidi" w:cstheme="majorBidi"/>
          <w:szCs w:val="24"/>
          <w:lang w:val="fr-CH" w:eastAsia="ja-JP"/>
        </w:rPr>
      </w:pPr>
      <w:r w:rsidRPr="00A7411C">
        <w:rPr>
          <w:rFonts w:asciiTheme="majorBidi" w:hAnsiTheme="majorBidi" w:cstheme="majorBidi"/>
          <w:szCs w:val="24"/>
          <w:lang w:val="fr-CH" w:eastAsia="ja-JP"/>
        </w:rPr>
        <w:t>que la Recommandation UIT-R BT.2020 – Valeurs de paramètres des systèmes de télévision à ultra haute définition pour la production et l'échange international de programmes, spécifie les paramètres des systèmes d'image de TVUHD,</w:t>
      </w:r>
    </w:p>
    <w:p w:rsidR="00F61977" w:rsidRPr="00A7411C" w:rsidRDefault="00F61977" w:rsidP="00F61977">
      <w:pPr>
        <w:pStyle w:val="Call"/>
        <w:ind w:left="1134"/>
        <w:rPr>
          <w:rFonts w:asciiTheme="majorBidi" w:hAnsiTheme="majorBidi" w:cstheme="majorBidi"/>
          <w:szCs w:val="24"/>
          <w:lang w:val="fr-CH" w:eastAsia="ja-JP"/>
        </w:rPr>
      </w:pPr>
      <w:r w:rsidRPr="00A7411C">
        <w:rPr>
          <w:rFonts w:asciiTheme="majorBidi" w:hAnsiTheme="majorBidi" w:cstheme="majorBidi"/>
          <w:szCs w:val="24"/>
          <w:lang w:val="fr-CH"/>
        </w:rPr>
        <w:t>décide</w:t>
      </w:r>
      <w:r w:rsidRPr="00A7411C">
        <w:rPr>
          <w:rFonts w:asciiTheme="majorBidi" w:hAnsiTheme="majorBidi" w:cstheme="majorBidi"/>
          <w:szCs w:val="24"/>
          <w:lang w:val="fr-CH" w:eastAsia="ja-JP"/>
        </w:rPr>
        <w:t xml:space="preserve"> </w:t>
      </w:r>
      <w:r w:rsidRPr="00A7411C">
        <w:rPr>
          <w:rFonts w:asciiTheme="majorBidi" w:hAnsiTheme="majorBidi" w:cstheme="majorBidi"/>
          <w:i w:val="0"/>
          <w:iCs/>
          <w:szCs w:val="24"/>
          <w:lang w:val="fr-CH"/>
        </w:rPr>
        <w:t>de mettre à l'étude les Questions suivantes</w:t>
      </w:r>
    </w:p>
    <w:p w:rsidR="00F61977" w:rsidRPr="00A7411C" w:rsidRDefault="00F61977" w:rsidP="00F61977">
      <w:pPr>
        <w:tabs>
          <w:tab w:val="clear" w:pos="794"/>
          <w:tab w:val="left" w:pos="1134"/>
        </w:tabs>
        <w:rPr>
          <w:rFonts w:asciiTheme="majorBidi" w:hAnsiTheme="majorBidi" w:cstheme="majorBidi"/>
          <w:i/>
          <w:szCs w:val="24"/>
          <w:lang w:val="fr-CH"/>
        </w:rPr>
      </w:pPr>
      <w:r w:rsidRPr="00A7411C">
        <w:rPr>
          <w:rFonts w:asciiTheme="majorBidi" w:hAnsiTheme="majorBidi" w:cstheme="majorBidi"/>
          <w:szCs w:val="24"/>
          <w:lang w:val="fr-CH"/>
        </w:rPr>
        <w:t>1</w:t>
      </w:r>
      <w:r w:rsidRPr="00A7411C">
        <w:rPr>
          <w:rFonts w:asciiTheme="majorBidi" w:hAnsiTheme="majorBidi" w:cstheme="majorBidi"/>
          <w:szCs w:val="24"/>
          <w:lang w:val="fr-CH"/>
        </w:rPr>
        <w:tab/>
        <w:t xml:space="preserve">Quelles sont les techniques de modulation et de codage de canal qui conviennent et/ou qui sont optimales pour les systèmes de radiodiffusion de TVUHD par satellite, quels sont les débits de transmission de canal possibles (capacité) et quelle est la qualité de fonctionnement possible (par exemple le TEB en fonction des rapports </w:t>
      </w:r>
      <w:r w:rsidRPr="00A7411C">
        <w:rPr>
          <w:rFonts w:asciiTheme="majorBidi" w:hAnsiTheme="majorBidi" w:cstheme="majorBidi"/>
          <w:i/>
          <w:szCs w:val="24"/>
          <w:lang w:val="fr-CH"/>
        </w:rPr>
        <w:t>C</w:t>
      </w:r>
      <w:r w:rsidRPr="00A7411C">
        <w:rPr>
          <w:rFonts w:asciiTheme="majorBidi" w:hAnsiTheme="majorBidi" w:cstheme="majorBidi"/>
          <w:szCs w:val="24"/>
          <w:lang w:val="fr-CH"/>
        </w:rPr>
        <w:t>/</w:t>
      </w:r>
      <w:r w:rsidRPr="00A7411C">
        <w:rPr>
          <w:rFonts w:asciiTheme="majorBidi" w:hAnsiTheme="majorBidi" w:cstheme="majorBidi"/>
          <w:i/>
          <w:szCs w:val="24"/>
          <w:lang w:val="fr-CH"/>
        </w:rPr>
        <w:t>N</w:t>
      </w:r>
      <w:r w:rsidRPr="00A7411C">
        <w:rPr>
          <w:rFonts w:asciiTheme="majorBidi" w:hAnsiTheme="majorBidi" w:cstheme="majorBidi"/>
          <w:szCs w:val="24"/>
          <w:lang w:val="fr-CH" w:eastAsia="ja-JP"/>
        </w:rPr>
        <w:t>,</w:t>
      </w:r>
      <w:r w:rsidRPr="00A7411C">
        <w:rPr>
          <w:rFonts w:asciiTheme="majorBidi" w:hAnsiTheme="majorBidi" w:cstheme="majorBidi"/>
          <w:szCs w:val="24"/>
          <w:lang w:val="fr-CH"/>
        </w:rPr>
        <w:t xml:space="preserve"> </w:t>
      </w:r>
      <w:r w:rsidRPr="00A7411C">
        <w:rPr>
          <w:rFonts w:asciiTheme="majorBidi" w:hAnsiTheme="majorBidi" w:cstheme="majorBidi"/>
          <w:i/>
          <w:szCs w:val="24"/>
          <w:lang w:val="fr-CH"/>
        </w:rPr>
        <w:t>C</w:t>
      </w:r>
      <w:r w:rsidRPr="00A7411C">
        <w:rPr>
          <w:rFonts w:asciiTheme="majorBidi" w:hAnsiTheme="majorBidi" w:cstheme="majorBidi"/>
          <w:szCs w:val="24"/>
          <w:lang w:val="fr-CH"/>
        </w:rPr>
        <w:t>/</w:t>
      </w:r>
      <w:r w:rsidRPr="00A7411C">
        <w:rPr>
          <w:rFonts w:asciiTheme="majorBidi" w:hAnsiTheme="majorBidi" w:cstheme="majorBidi"/>
          <w:i/>
          <w:szCs w:val="24"/>
          <w:lang w:val="fr-CH"/>
        </w:rPr>
        <w:t>I</w:t>
      </w:r>
      <w:r w:rsidRPr="00A7411C">
        <w:rPr>
          <w:rFonts w:asciiTheme="majorBidi" w:hAnsiTheme="majorBidi" w:cstheme="majorBidi"/>
          <w:szCs w:val="24"/>
          <w:lang w:val="fr-CH" w:eastAsia="ja-JP"/>
        </w:rPr>
        <w:t>, signal/bruit</w:t>
      </w:r>
      <w:r w:rsidRPr="00A7411C">
        <w:rPr>
          <w:rFonts w:asciiTheme="majorBidi" w:hAnsiTheme="majorBidi" w:cstheme="majorBidi"/>
          <w:i/>
          <w:szCs w:val="24"/>
          <w:lang w:val="fr-CH" w:eastAsia="ja-JP"/>
        </w:rPr>
        <w:t xml:space="preserve"> </w:t>
      </w:r>
      <w:r w:rsidRPr="00A7411C">
        <w:rPr>
          <w:rFonts w:asciiTheme="majorBidi" w:hAnsiTheme="majorBidi" w:cstheme="majorBidi"/>
          <w:iCs/>
          <w:szCs w:val="24"/>
          <w:lang w:val="fr-CH" w:eastAsia="ja-JP"/>
        </w:rPr>
        <w:t>et</w:t>
      </w:r>
      <w:r w:rsidRPr="00A7411C">
        <w:rPr>
          <w:rFonts w:asciiTheme="majorBidi" w:hAnsiTheme="majorBidi" w:cstheme="majorBidi"/>
          <w:i/>
          <w:szCs w:val="24"/>
          <w:lang w:val="fr-CH" w:eastAsia="ja-JP"/>
        </w:rPr>
        <w:t xml:space="preserve"> E</w:t>
      </w:r>
      <w:r w:rsidRPr="00A7411C">
        <w:rPr>
          <w:rFonts w:asciiTheme="majorBidi" w:hAnsiTheme="majorBidi" w:cstheme="majorBidi"/>
          <w:i/>
          <w:szCs w:val="24"/>
          <w:vertAlign w:val="subscript"/>
          <w:lang w:val="fr-CH" w:eastAsia="ja-JP"/>
        </w:rPr>
        <w:t>b</w:t>
      </w:r>
      <w:r w:rsidRPr="00A7411C">
        <w:rPr>
          <w:rFonts w:asciiTheme="majorBidi" w:hAnsiTheme="majorBidi" w:cstheme="majorBidi"/>
          <w:iCs/>
          <w:szCs w:val="24"/>
          <w:lang w:val="fr-CH" w:eastAsia="ja-JP"/>
        </w:rPr>
        <w:t>/</w:t>
      </w:r>
      <w:r w:rsidRPr="00A7411C">
        <w:rPr>
          <w:rFonts w:asciiTheme="majorBidi" w:hAnsiTheme="majorBidi" w:cstheme="majorBidi"/>
          <w:i/>
          <w:szCs w:val="24"/>
          <w:lang w:val="fr-CH" w:eastAsia="ja-JP"/>
        </w:rPr>
        <w:t>N</w:t>
      </w:r>
      <w:r w:rsidRPr="00A7411C">
        <w:rPr>
          <w:rFonts w:asciiTheme="majorBidi" w:hAnsiTheme="majorBidi" w:cstheme="majorBidi"/>
          <w:i/>
          <w:szCs w:val="24"/>
          <w:vertAlign w:val="subscript"/>
          <w:lang w:val="fr-CH" w:eastAsia="ja-JP"/>
        </w:rPr>
        <w:t>0</w:t>
      </w:r>
      <w:r w:rsidRPr="00A7411C">
        <w:rPr>
          <w:rFonts w:asciiTheme="majorBidi" w:hAnsiTheme="majorBidi" w:cstheme="majorBidi"/>
          <w:szCs w:val="24"/>
          <w:lang w:val="fr-CH"/>
        </w:rPr>
        <w:t>)?</w:t>
      </w:r>
    </w:p>
    <w:p w:rsidR="00F61977" w:rsidRPr="00A7411C" w:rsidRDefault="00F61977" w:rsidP="00F61977">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t>2</w:t>
      </w:r>
      <w:r w:rsidRPr="00A7411C">
        <w:rPr>
          <w:rFonts w:asciiTheme="majorBidi" w:hAnsiTheme="majorBidi" w:cstheme="majorBidi"/>
          <w:szCs w:val="24"/>
          <w:lang w:val="fr-CH"/>
        </w:rPr>
        <w:tab/>
        <w:t>Quelle est la qualité de fonctionnement requise en termes de disponibilité et quel est le taux d'erreurs sur les bits requis pour la transmission par ces systèmes de radiodiffusion de TVUHD par satellite?</w:t>
      </w:r>
    </w:p>
    <w:p w:rsidR="00F61977" w:rsidRPr="00A7411C" w:rsidRDefault="00F61977" w:rsidP="00F61977">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lastRenderedPageBreak/>
        <w:t>3</w:t>
      </w:r>
      <w:r w:rsidRPr="00A7411C">
        <w:rPr>
          <w:rFonts w:asciiTheme="majorBidi" w:hAnsiTheme="majorBidi" w:cstheme="majorBidi"/>
          <w:szCs w:val="24"/>
          <w:lang w:val="fr-CH"/>
        </w:rPr>
        <w:tab/>
        <w:t>Quelles sont les techniques de limitation des erreurs ou les procédés de masquage des erreurs qui permettent d'optimiser les paramètres de qualité, de largeur de bande et de coût?</w:t>
      </w:r>
    </w:p>
    <w:p w:rsidR="00F61977" w:rsidRPr="00A7411C" w:rsidRDefault="00F61977" w:rsidP="00F61977">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t>4</w:t>
      </w:r>
      <w:r w:rsidRPr="00A7411C">
        <w:rPr>
          <w:rFonts w:asciiTheme="majorBidi" w:hAnsiTheme="majorBidi" w:cstheme="majorBidi"/>
          <w:szCs w:val="24"/>
          <w:lang w:val="fr-CH"/>
        </w:rPr>
        <w:tab/>
        <w:t>Quelles sont les valeurs du rapport de protection nécessaires entre deux signaux numériques et entre un signal numérique et d'autres types de signaux qui sont susceptibles d'être transmis dans la bande attribuée au service de radiodiffusion par satellite?</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szCs w:val="24"/>
          <w:lang w:val="fr-CH" w:eastAsia="ja-JP"/>
        </w:rPr>
        <w:t>5</w:t>
      </w:r>
      <w:r w:rsidRPr="00A7411C">
        <w:rPr>
          <w:rFonts w:asciiTheme="majorBidi" w:hAnsiTheme="majorBidi" w:cstheme="majorBidi"/>
          <w:szCs w:val="24"/>
          <w:lang w:val="fr-CH"/>
        </w:rPr>
        <w:tab/>
        <w:t xml:space="preserve">Quelles sont les solutions concrètes à prendre en compte </w:t>
      </w:r>
      <w:r w:rsidRPr="00A7411C">
        <w:rPr>
          <w:rFonts w:asciiTheme="majorBidi" w:hAnsiTheme="majorBidi" w:cstheme="majorBidi"/>
          <w:szCs w:val="24"/>
          <w:lang w:val="fr-CH" w:eastAsia="ja-JP"/>
        </w:rPr>
        <w:t xml:space="preserve">dans les systèmes de radiodiffusion par satellite en cas d'affaiblissement dû à la pluie, </w:t>
      </w:r>
      <w:r w:rsidRPr="00A7411C">
        <w:rPr>
          <w:rFonts w:asciiTheme="majorBidi" w:hAnsiTheme="majorBidi" w:cstheme="majorBidi"/>
          <w:szCs w:val="24"/>
          <w:lang w:val="fr-CH"/>
        </w:rPr>
        <w:t>qui varie en fonction des zones climatiques</w:t>
      </w:r>
      <w:r w:rsidRPr="00A7411C">
        <w:rPr>
          <w:rFonts w:asciiTheme="majorBidi" w:hAnsiTheme="majorBidi" w:cstheme="majorBidi"/>
          <w:szCs w:val="24"/>
          <w:lang w:val="fr-CH" w:eastAsia="ja-JP"/>
        </w:rPr>
        <w:t>?</w:t>
      </w:r>
    </w:p>
    <w:p w:rsidR="00F61977" w:rsidRPr="00A7411C" w:rsidRDefault="00F61977" w:rsidP="00F61977">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szCs w:val="24"/>
          <w:lang w:val="fr-CH" w:eastAsia="ja-JP"/>
        </w:rPr>
        <w:t>6</w:t>
      </w:r>
      <w:r w:rsidRPr="00A7411C">
        <w:rPr>
          <w:rFonts w:asciiTheme="majorBidi" w:hAnsiTheme="majorBidi" w:cstheme="majorBidi"/>
          <w:szCs w:val="24"/>
          <w:lang w:val="fr-CH"/>
        </w:rPr>
        <w:tab/>
        <w:t xml:space="preserve">Quelles sont les solutions concrètes à utiliser </w:t>
      </w:r>
      <w:r w:rsidRPr="00A7411C">
        <w:rPr>
          <w:rFonts w:asciiTheme="majorBidi" w:hAnsiTheme="majorBidi" w:cstheme="majorBidi"/>
          <w:szCs w:val="24"/>
          <w:lang w:val="fr-CH" w:eastAsia="ja-JP"/>
        </w:rPr>
        <w:t xml:space="preserve">en cas de non-linéarité du répéteur de satellite entraînant une distorsion du signal? </w:t>
      </w:r>
    </w:p>
    <w:p w:rsidR="00F61977" w:rsidRPr="00A7411C" w:rsidRDefault="00F61977" w:rsidP="00F61977">
      <w:pPr>
        <w:pStyle w:val="Call"/>
        <w:tabs>
          <w:tab w:val="clear" w:pos="794"/>
        </w:tabs>
        <w:ind w:left="1134"/>
        <w:rPr>
          <w:rFonts w:asciiTheme="majorBidi" w:hAnsiTheme="majorBidi" w:cstheme="majorBidi"/>
          <w:szCs w:val="24"/>
          <w:lang w:val="fr-CH"/>
        </w:rPr>
      </w:pPr>
      <w:r w:rsidRPr="00A7411C">
        <w:rPr>
          <w:rFonts w:asciiTheme="majorBidi" w:hAnsiTheme="majorBidi" w:cstheme="majorBidi"/>
          <w:szCs w:val="24"/>
          <w:lang w:val="fr-CH"/>
        </w:rPr>
        <w:t>décide en outre</w:t>
      </w:r>
    </w:p>
    <w:p w:rsidR="00F61977" w:rsidRPr="00A7411C" w:rsidRDefault="00F61977" w:rsidP="00F61977">
      <w:pPr>
        <w:tabs>
          <w:tab w:val="clear" w:pos="794"/>
          <w:tab w:val="left" w:pos="1134"/>
        </w:tabs>
        <w:rPr>
          <w:rFonts w:asciiTheme="majorBidi" w:hAnsiTheme="majorBidi" w:cstheme="majorBidi"/>
          <w:szCs w:val="24"/>
          <w:lang w:val="fr-CH"/>
        </w:rPr>
      </w:pPr>
      <w:r w:rsidRPr="00A7411C">
        <w:rPr>
          <w:rFonts w:asciiTheme="majorBidi" w:hAnsiTheme="majorBidi" w:cstheme="majorBidi"/>
          <w:bCs/>
          <w:szCs w:val="24"/>
          <w:lang w:val="fr-CH"/>
        </w:rPr>
        <w:t>1</w:t>
      </w:r>
      <w:r w:rsidRPr="00A7411C">
        <w:rPr>
          <w:rFonts w:asciiTheme="majorBidi" w:hAnsiTheme="majorBidi" w:cstheme="majorBidi"/>
          <w:b/>
          <w:szCs w:val="24"/>
          <w:lang w:val="fr-CH"/>
        </w:rPr>
        <w:tab/>
      </w:r>
      <w:r w:rsidRPr="00A7411C">
        <w:rPr>
          <w:rFonts w:asciiTheme="majorBidi" w:hAnsiTheme="majorBidi" w:cstheme="majorBidi"/>
          <w:szCs w:val="24"/>
          <w:lang w:val="fr-CH"/>
        </w:rPr>
        <w:t>que les résultats de ces études devront être inclus dans des Recommandations et/ou des Rapports appropriés;</w:t>
      </w:r>
    </w:p>
    <w:p w:rsidR="00F61977" w:rsidRPr="00A7411C" w:rsidRDefault="00F61977" w:rsidP="00F61977">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t>2</w:t>
      </w:r>
      <w:r w:rsidRPr="00A7411C">
        <w:rPr>
          <w:rFonts w:asciiTheme="majorBidi" w:hAnsiTheme="majorBidi" w:cstheme="majorBidi"/>
          <w:szCs w:val="24"/>
          <w:lang w:val="fr-CH"/>
        </w:rPr>
        <w:tab/>
        <w:t>que ces études devront être achevées en 201</w:t>
      </w:r>
      <w:r w:rsidRPr="00A7411C">
        <w:rPr>
          <w:rFonts w:asciiTheme="majorBidi" w:hAnsiTheme="majorBidi" w:cstheme="majorBidi"/>
          <w:szCs w:val="24"/>
          <w:lang w:val="fr-CH" w:eastAsia="ja-JP"/>
        </w:rPr>
        <w:t>7</w:t>
      </w:r>
      <w:r w:rsidRPr="00A7411C">
        <w:rPr>
          <w:rFonts w:asciiTheme="majorBidi" w:hAnsiTheme="majorBidi" w:cstheme="majorBidi"/>
          <w:szCs w:val="24"/>
          <w:lang w:val="fr-CH"/>
        </w:rPr>
        <w:t>.</w:t>
      </w:r>
    </w:p>
    <w:p w:rsidR="00F61977" w:rsidRPr="00A7411C" w:rsidRDefault="00F61977" w:rsidP="00F61977">
      <w:pPr>
        <w:spacing w:before="600" w:line="240" w:lineRule="auto"/>
        <w:rPr>
          <w:rFonts w:asciiTheme="majorBidi" w:hAnsiTheme="majorBidi" w:cstheme="majorBidi"/>
          <w:i/>
          <w:iCs/>
          <w:szCs w:val="24"/>
          <w:lang w:val="fr-CH"/>
        </w:rPr>
      </w:pPr>
      <w:r w:rsidRPr="00A7411C">
        <w:rPr>
          <w:rFonts w:asciiTheme="majorBidi" w:hAnsiTheme="majorBidi" w:cstheme="majorBidi"/>
          <w:szCs w:val="24"/>
          <w:lang w:val="fr-CH"/>
        </w:rPr>
        <w:t>Catégorie: S1</w:t>
      </w:r>
    </w:p>
    <w:p w:rsidR="00F61977" w:rsidRPr="00121BC8" w:rsidRDefault="00F61977" w:rsidP="00F61977">
      <w:pPr>
        <w:spacing w:line="240" w:lineRule="auto"/>
        <w:rPr>
          <w:rFonts w:asciiTheme="minorHAnsi" w:hAnsiTheme="minorHAnsi"/>
          <w:lang w:val="fr-CH"/>
        </w:rPr>
      </w:pPr>
      <w:r w:rsidRPr="00121BC8">
        <w:rPr>
          <w:rFonts w:asciiTheme="minorHAnsi" w:hAnsiTheme="minorHAnsi"/>
          <w:lang w:val="fr-CH"/>
        </w:rPr>
        <w:br w:type="page"/>
      </w:r>
    </w:p>
    <w:p w:rsidR="00F61977" w:rsidRPr="00121BC8" w:rsidRDefault="00F61977" w:rsidP="00F61977">
      <w:pPr>
        <w:pStyle w:val="Headingb"/>
        <w:spacing w:before="360" w:after="120" w:line="240" w:lineRule="auto"/>
        <w:jc w:val="center"/>
        <w:rPr>
          <w:rFonts w:asciiTheme="minorHAnsi" w:hAnsiTheme="minorHAnsi" w:cstheme="minorHAnsi"/>
          <w:sz w:val="28"/>
          <w:szCs w:val="28"/>
          <w:lang w:val="fr-CH"/>
        </w:rPr>
      </w:pPr>
      <w:r w:rsidRPr="00121BC8">
        <w:rPr>
          <w:rFonts w:asciiTheme="minorHAnsi" w:hAnsiTheme="minorHAnsi" w:cstheme="minorHAnsi"/>
          <w:sz w:val="28"/>
          <w:szCs w:val="28"/>
          <w:lang w:val="fr-CH"/>
        </w:rPr>
        <w:lastRenderedPageBreak/>
        <w:t>Annexe 3</w:t>
      </w:r>
    </w:p>
    <w:p w:rsidR="00F61977" w:rsidRPr="00417344" w:rsidRDefault="008039A4" w:rsidP="008039A4">
      <w:pPr>
        <w:pStyle w:val="Title1"/>
        <w:tabs>
          <w:tab w:val="clear" w:pos="567"/>
          <w:tab w:val="clear" w:pos="1134"/>
          <w:tab w:val="clear" w:pos="1701"/>
          <w:tab w:val="clear" w:pos="2268"/>
          <w:tab w:val="clear" w:pos="2835"/>
        </w:tabs>
        <w:spacing w:before="480" w:line="240" w:lineRule="auto"/>
        <w:ind w:left="108"/>
        <w:rPr>
          <w:rFonts w:asciiTheme="majorBidi" w:hAnsiTheme="majorBidi" w:cstheme="majorBidi"/>
          <w:szCs w:val="28"/>
          <w:lang w:val="fr-CH" w:eastAsia="zh-CN"/>
        </w:rPr>
      </w:pPr>
      <w:bookmarkStart w:id="1" w:name="drec" w:colFirst="0" w:colLast="0"/>
      <w:r w:rsidRPr="00417344">
        <w:rPr>
          <w:rFonts w:asciiTheme="majorBidi" w:hAnsiTheme="majorBidi" w:cstheme="majorBidi"/>
          <w:szCs w:val="28"/>
          <w:lang w:val="fr-CH"/>
        </w:rPr>
        <w:t>question UIT-r 293/</w:t>
      </w:r>
      <w:r w:rsidR="00F61977" w:rsidRPr="00417344">
        <w:rPr>
          <w:rFonts w:asciiTheme="majorBidi" w:hAnsiTheme="majorBidi" w:cstheme="majorBidi"/>
          <w:szCs w:val="28"/>
          <w:lang w:val="fr-CH"/>
        </w:rPr>
        <w:t>4</w:t>
      </w:r>
    </w:p>
    <w:p w:rsidR="00F61977" w:rsidRDefault="00F61977" w:rsidP="00F61977">
      <w:pPr>
        <w:pStyle w:val="Title4"/>
        <w:tabs>
          <w:tab w:val="clear" w:pos="1134"/>
          <w:tab w:val="clear" w:pos="2268"/>
        </w:tabs>
        <w:spacing w:line="240" w:lineRule="auto"/>
        <w:ind w:left="108"/>
        <w:rPr>
          <w:rFonts w:asciiTheme="majorBidi" w:hAnsiTheme="majorBidi" w:cstheme="majorBidi"/>
          <w:szCs w:val="28"/>
          <w:lang w:val="fr-CH"/>
        </w:rPr>
      </w:pPr>
      <w:bookmarkStart w:id="2" w:name="dtitle1" w:colFirst="0" w:colLast="0"/>
      <w:bookmarkEnd w:id="1"/>
      <w:r w:rsidRPr="00953369">
        <w:rPr>
          <w:rFonts w:asciiTheme="majorBidi" w:hAnsiTheme="majorBidi" w:cstheme="majorBidi"/>
          <w:szCs w:val="28"/>
          <w:lang w:val="fr-CH"/>
        </w:rPr>
        <w:t>Diagrammes de rayonnement des petites antennes de station terrienne (D/λ</w:t>
      </w:r>
      <w:r w:rsidRPr="00953369">
        <w:rPr>
          <w:rStyle w:val="FootnoteReference"/>
          <w:rFonts w:asciiTheme="majorBidi" w:hAnsiTheme="majorBidi" w:cstheme="majorBidi"/>
          <w:sz w:val="28"/>
          <w:szCs w:val="28"/>
          <w:lang w:val="fr-CH"/>
        </w:rPr>
        <w:footnoteReference w:id="1"/>
      </w:r>
      <w:r w:rsidRPr="00953369">
        <w:rPr>
          <w:rFonts w:asciiTheme="majorBidi" w:hAnsiTheme="majorBidi" w:cstheme="majorBidi"/>
          <w:szCs w:val="28"/>
          <w:lang w:val="fr-CH"/>
        </w:rPr>
        <w:t xml:space="preserve"> de 30 environ) utilisées dans les systèmes du service fixe </w:t>
      </w:r>
      <w:r w:rsidRPr="00953369">
        <w:rPr>
          <w:rFonts w:asciiTheme="majorBidi" w:hAnsiTheme="majorBidi" w:cstheme="majorBidi"/>
          <w:szCs w:val="28"/>
          <w:lang w:val="fr-CH"/>
        </w:rPr>
        <w:br/>
        <w:t xml:space="preserve">par satellite et du service de radiodiffusion par satellite </w:t>
      </w:r>
    </w:p>
    <w:p w:rsidR="008039A4" w:rsidRPr="008039A4" w:rsidRDefault="008039A4" w:rsidP="008039A4">
      <w:pPr>
        <w:pStyle w:val="Resdate"/>
        <w:rPr>
          <w:rFonts w:asciiTheme="majorBidi" w:hAnsiTheme="majorBidi" w:cstheme="majorBidi"/>
          <w:i w:val="0"/>
          <w:iCs/>
          <w:lang w:val="fr-CH"/>
        </w:rPr>
      </w:pPr>
      <w:r w:rsidRPr="008039A4">
        <w:rPr>
          <w:rFonts w:asciiTheme="majorBidi" w:hAnsiTheme="majorBidi" w:cstheme="majorBidi"/>
          <w:i w:val="0"/>
          <w:iCs/>
          <w:lang w:val="fr-CH"/>
        </w:rPr>
        <w:t>(2015)</w:t>
      </w:r>
    </w:p>
    <w:p w:rsidR="00F61977" w:rsidRPr="00953369" w:rsidRDefault="00F61977" w:rsidP="00F61977">
      <w:pPr>
        <w:tabs>
          <w:tab w:val="clear" w:pos="794"/>
          <w:tab w:val="clear" w:pos="1191"/>
          <w:tab w:val="clear" w:pos="1588"/>
          <w:tab w:val="clear" w:pos="1985"/>
          <w:tab w:val="left" w:pos="1134"/>
          <w:tab w:val="left" w:pos="1871"/>
          <w:tab w:val="left" w:pos="2268"/>
        </w:tabs>
        <w:spacing w:before="480" w:line="240" w:lineRule="auto"/>
        <w:rPr>
          <w:rFonts w:asciiTheme="majorBidi" w:hAnsiTheme="majorBidi" w:cstheme="majorBidi"/>
          <w:szCs w:val="24"/>
          <w:lang w:val="fr-CH"/>
        </w:rPr>
      </w:pPr>
      <w:bookmarkStart w:id="3" w:name="dbreak"/>
      <w:bookmarkEnd w:id="2"/>
      <w:bookmarkEnd w:id="3"/>
      <w:r w:rsidRPr="00953369">
        <w:rPr>
          <w:rFonts w:asciiTheme="majorBidi" w:hAnsiTheme="majorBidi" w:cstheme="majorBidi"/>
          <w:szCs w:val="24"/>
          <w:lang w:val="fr-CH"/>
        </w:rPr>
        <w:t>L'Assemblée des radiocommunications de l'UIT,</w:t>
      </w:r>
    </w:p>
    <w:p w:rsidR="00F61977" w:rsidRPr="00953369" w:rsidRDefault="00F61977" w:rsidP="00F61977">
      <w:pPr>
        <w:pStyle w:val="Call"/>
        <w:tabs>
          <w:tab w:val="clear" w:pos="794"/>
        </w:tabs>
        <w:ind w:left="1134"/>
        <w:rPr>
          <w:rFonts w:asciiTheme="majorBidi" w:hAnsiTheme="majorBidi" w:cstheme="majorBidi"/>
          <w:szCs w:val="24"/>
          <w:lang w:val="fr-CH"/>
        </w:rPr>
      </w:pPr>
      <w:r w:rsidRPr="00953369">
        <w:rPr>
          <w:rFonts w:asciiTheme="majorBidi" w:hAnsiTheme="majorBidi" w:cstheme="majorBidi"/>
          <w:szCs w:val="24"/>
          <w:lang w:val="fr-CH"/>
        </w:rPr>
        <w:t>considérant</w:t>
      </w:r>
    </w:p>
    <w:p w:rsidR="00F61977" w:rsidRPr="00953369" w:rsidRDefault="00F61977" w:rsidP="00F61977">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t>a)</w:t>
      </w:r>
      <w:r w:rsidRPr="00953369">
        <w:rPr>
          <w:rFonts w:asciiTheme="majorBidi" w:hAnsiTheme="majorBidi" w:cstheme="majorBidi"/>
          <w:szCs w:val="24"/>
          <w:lang w:val="fr-CH"/>
        </w:rPr>
        <w:tab/>
        <w:t>que les diagrammes d'antenne de référence de station terrienne du service fixe par satellite (SFS) et du service de radiodiffusion par satellite (SRS) sont utilisés pour déterminer les besoins de coordination conformément au Règlement des radiocommunications;</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b)</w:t>
      </w:r>
      <w:r w:rsidRPr="00953369">
        <w:rPr>
          <w:rFonts w:asciiTheme="majorBidi" w:hAnsiTheme="majorBidi" w:cstheme="majorBidi"/>
          <w:snapToGrid w:val="0"/>
          <w:szCs w:val="24"/>
          <w:lang w:val="fr-CH"/>
        </w:rPr>
        <w:tab/>
        <w:t>que l'identification des besoins de coordination et/ou les évaluations des brouillages entre les réseaux du SFS/SRS, ainsi qu'entre les stations terriennes du SFS/SRS et les systèmes d'autres services utilisant la même bande de fréquences en partage, dépendent des diagrammes d'antenne de référence utilisés dans les analyses;</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c)</w:t>
      </w:r>
      <w:r w:rsidRPr="00953369">
        <w:rPr>
          <w:rFonts w:asciiTheme="majorBidi" w:hAnsiTheme="majorBidi" w:cstheme="majorBidi"/>
          <w:snapToGrid w:val="0"/>
          <w:szCs w:val="24"/>
          <w:lang w:val="fr-CH"/>
        </w:rPr>
        <w:tab/>
        <w:t>que l'utilisation de diagrammes d'antenne de référence inutilement prudents pourra faire augmenter le nombre de réseaux identifiés comme susceptibles d'être affectés, auquel cas les administrations concernées pourront rencontrer des difficultés pour mener à bien la coordination;</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d)</w:t>
      </w:r>
      <w:r w:rsidRPr="00953369">
        <w:rPr>
          <w:rFonts w:asciiTheme="majorBidi" w:hAnsiTheme="majorBidi" w:cstheme="majorBidi"/>
          <w:snapToGrid w:val="0"/>
          <w:szCs w:val="24"/>
          <w:lang w:val="fr-CH"/>
        </w:rPr>
        <w:tab/>
        <w:t>qu'il faut définir avec précision le champ d'application des diagrammes d'antenne de référence actuels et futurs (gamme des paramètres d'entrée applicables, bandes de fréquences applicables, etc.);</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e)</w:t>
      </w:r>
      <w:r w:rsidRPr="00953369">
        <w:rPr>
          <w:rFonts w:asciiTheme="majorBidi" w:hAnsiTheme="majorBidi" w:cstheme="majorBidi"/>
          <w:snapToGrid w:val="0"/>
          <w:szCs w:val="24"/>
          <w:lang w:val="fr-CH"/>
        </w:rPr>
        <w:tab/>
        <w:t>que la définition des diagrammes d'antenne et de leur champ d'application doit être fondée sur des mesures;</w:t>
      </w:r>
    </w:p>
    <w:p w:rsidR="00F61977" w:rsidRPr="00953369" w:rsidRDefault="00F61977" w:rsidP="00F61977">
      <w:pPr>
        <w:tabs>
          <w:tab w:val="clear" w:pos="794"/>
          <w:tab w:val="left" w:pos="1134"/>
        </w:tabs>
        <w:rPr>
          <w:rFonts w:asciiTheme="majorBidi" w:hAnsiTheme="majorBidi" w:cstheme="majorBidi"/>
          <w:szCs w:val="24"/>
          <w:lang w:val="fr-CH"/>
        </w:rPr>
      </w:pPr>
      <w:r w:rsidRPr="00953369">
        <w:rPr>
          <w:rFonts w:asciiTheme="majorBidi" w:hAnsiTheme="majorBidi" w:cstheme="majorBidi"/>
          <w:i/>
          <w:iCs/>
          <w:snapToGrid w:val="0"/>
          <w:szCs w:val="24"/>
          <w:lang w:val="fr-CH"/>
        </w:rPr>
        <w:t>f)</w:t>
      </w:r>
      <w:r w:rsidRPr="00953369">
        <w:rPr>
          <w:rFonts w:asciiTheme="majorBidi" w:hAnsiTheme="majorBidi" w:cstheme="majorBidi"/>
          <w:snapToGrid w:val="0"/>
          <w:szCs w:val="24"/>
          <w:lang w:val="fr-CH"/>
        </w:rPr>
        <w:tab/>
        <w:t>que de nouvelles conceptions et technologies d'antenne (par exemple, réflecteurs non circulaires, conception spéciale de cornet d'alimentation</w:t>
      </w:r>
      <w:r w:rsidRPr="00953369">
        <w:rPr>
          <w:rFonts w:asciiTheme="majorBidi" w:hAnsiTheme="majorBidi" w:cstheme="majorBidi"/>
          <w:szCs w:val="24"/>
          <w:lang w:val="fr-CH"/>
        </w:rPr>
        <w:t xml:space="preserve">) </w:t>
      </w:r>
      <w:r w:rsidRPr="00953369">
        <w:rPr>
          <w:rFonts w:asciiTheme="majorBidi" w:hAnsiTheme="majorBidi" w:cstheme="majorBidi"/>
          <w:snapToGrid w:val="0"/>
          <w:szCs w:val="24"/>
          <w:lang w:val="fr-CH"/>
        </w:rPr>
        <w:t>permettraient d'obtenir des niveaux des lobes latéraux moins élevés que dans les diagrammes d'antenne de référence actuels</w:t>
      </w:r>
      <w:r w:rsidRPr="00953369">
        <w:rPr>
          <w:rFonts w:asciiTheme="majorBidi" w:hAnsiTheme="majorBidi" w:cstheme="majorBidi"/>
          <w:szCs w:val="24"/>
          <w:lang w:val="fr-CH"/>
        </w:rPr>
        <w:t>;</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zCs w:val="24"/>
          <w:lang w:val="fr-CH"/>
        </w:rPr>
        <w:t>g)</w:t>
      </w:r>
      <w:r w:rsidRPr="00953369">
        <w:rPr>
          <w:rFonts w:asciiTheme="majorBidi" w:hAnsiTheme="majorBidi" w:cstheme="majorBidi"/>
          <w:szCs w:val="24"/>
          <w:lang w:val="fr-CH"/>
        </w:rPr>
        <w:tab/>
        <w:t>que les nouvelles technologies d'antenne, par exemple les antennes-réseau à commande de phase, peuvent aussi être prises en compte dans l'élaboration de nouveaux diagrammes d'antenne;</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h)</w:t>
      </w:r>
      <w:r w:rsidRPr="00953369">
        <w:rPr>
          <w:rFonts w:asciiTheme="majorBidi" w:hAnsiTheme="majorBidi" w:cstheme="majorBidi"/>
          <w:snapToGrid w:val="0"/>
          <w:szCs w:val="24"/>
          <w:lang w:val="fr-CH"/>
        </w:rPr>
        <w:tab/>
        <w:t xml:space="preserve">que le Bureau des radiocommunications de l'UIT a mis au point une bibliothèque de logiciels de diagrammes d'antenne à utiliser conjointement avec tous les logiciels dont on se sert pour appliquer les procédures pertinentes du Règlement des radiocommunications, </w:t>
      </w:r>
    </w:p>
    <w:p w:rsidR="00F61977" w:rsidRPr="00953369" w:rsidRDefault="00F61977" w:rsidP="00F61977">
      <w:pPr>
        <w:pStyle w:val="Call"/>
        <w:ind w:left="1134"/>
        <w:rPr>
          <w:rFonts w:asciiTheme="majorBidi" w:hAnsiTheme="majorBidi" w:cstheme="majorBidi"/>
          <w:szCs w:val="24"/>
          <w:lang w:val="fr-CH"/>
        </w:rPr>
      </w:pPr>
      <w:r w:rsidRPr="00953369">
        <w:rPr>
          <w:rFonts w:asciiTheme="majorBidi" w:hAnsiTheme="majorBidi" w:cstheme="majorBidi"/>
          <w:szCs w:val="24"/>
          <w:lang w:val="fr-CH"/>
        </w:rPr>
        <w:t>notant</w:t>
      </w:r>
    </w:p>
    <w:p w:rsidR="00F61977" w:rsidRPr="00953369" w:rsidRDefault="00F61977" w:rsidP="00F61977">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t>a)</w:t>
      </w:r>
      <w:r w:rsidRPr="00953369">
        <w:rPr>
          <w:rFonts w:asciiTheme="majorBidi" w:hAnsiTheme="majorBidi" w:cstheme="majorBidi"/>
          <w:szCs w:val="24"/>
          <w:lang w:val="fr-CH"/>
        </w:rPr>
        <w:tab/>
        <w:t>que certains diagrammes d'antenne de station terrienne du SFS/SRS présentés dans des Recommandations UIT</w:t>
      </w:r>
      <w:r w:rsidRPr="00953369">
        <w:rPr>
          <w:rFonts w:asciiTheme="majorBidi" w:hAnsiTheme="majorBidi" w:cstheme="majorBidi"/>
          <w:szCs w:val="24"/>
          <w:lang w:val="fr-CH"/>
        </w:rPr>
        <w:noBreakHyphen/>
        <w:t>R existantes, par exemple UIT</w:t>
      </w:r>
      <w:r w:rsidRPr="00953369">
        <w:rPr>
          <w:rFonts w:asciiTheme="majorBidi" w:hAnsiTheme="majorBidi" w:cstheme="majorBidi"/>
          <w:szCs w:val="24"/>
          <w:lang w:val="fr-CH"/>
        </w:rPr>
        <w:noBreakHyphen/>
        <w:t>R S.465, UIT-R S.580, UIT-R BO.1213, UIT-R S.1855, sont utilisés pour des antennes ayant un rapport D/λ de 30 environ;</w:t>
      </w:r>
    </w:p>
    <w:p w:rsidR="00F61977" w:rsidRPr="00953369" w:rsidRDefault="00F61977" w:rsidP="00F61977">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lastRenderedPageBreak/>
        <w:t>b)</w:t>
      </w:r>
      <w:r w:rsidRPr="00953369">
        <w:rPr>
          <w:rFonts w:asciiTheme="majorBidi" w:hAnsiTheme="majorBidi" w:cstheme="majorBidi"/>
          <w:szCs w:val="24"/>
          <w:lang w:val="fr-CH"/>
        </w:rPr>
        <w:tab/>
        <w:t>que, dans bien des cas, pour l'identification du besoin de coordination dans les sections spéciales de la BR IFIC, on considère des réseaux à satellite très éloignés en raison des niveaux relativement élevés des lobes latéraux des diagrammes d'antenne de référence de station terrienne du SFS/SRS, en particulier pour un angle hors axe supérieur à 40 degrés,</w:t>
      </w:r>
    </w:p>
    <w:p w:rsidR="00F61977" w:rsidRPr="00953369" w:rsidRDefault="00F61977" w:rsidP="00F61977">
      <w:pPr>
        <w:pStyle w:val="Call"/>
        <w:ind w:left="1134"/>
        <w:rPr>
          <w:rFonts w:asciiTheme="majorBidi" w:hAnsiTheme="majorBidi" w:cstheme="majorBidi"/>
          <w:szCs w:val="24"/>
          <w:lang w:val="fr-CH"/>
        </w:rPr>
      </w:pPr>
      <w:r w:rsidRPr="00953369">
        <w:rPr>
          <w:rFonts w:asciiTheme="majorBidi" w:hAnsiTheme="majorBidi" w:cstheme="majorBidi"/>
          <w:szCs w:val="24"/>
          <w:lang w:val="fr-CH"/>
        </w:rPr>
        <w:t xml:space="preserve">décide </w:t>
      </w:r>
      <w:r w:rsidRPr="00953369">
        <w:rPr>
          <w:rFonts w:asciiTheme="majorBidi" w:hAnsiTheme="majorBidi" w:cstheme="majorBidi"/>
          <w:i w:val="0"/>
          <w:iCs/>
          <w:szCs w:val="24"/>
          <w:lang w:val="fr-CH"/>
        </w:rPr>
        <w:t>de mettre à l'étude les Questions suivantes</w:t>
      </w:r>
    </w:p>
    <w:p w:rsidR="00F61977" w:rsidRPr="00953369" w:rsidRDefault="00F61977" w:rsidP="00F61977">
      <w:pPr>
        <w:tabs>
          <w:tab w:val="clear" w:pos="794"/>
          <w:tab w:val="left" w:pos="1134"/>
        </w:tabs>
        <w:rPr>
          <w:rFonts w:asciiTheme="majorBidi" w:hAnsiTheme="majorBidi" w:cstheme="majorBidi"/>
          <w:szCs w:val="24"/>
          <w:lang w:val="fr-CH"/>
        </w:rPr>
      </w:pPr>
      <w:r w:rsidRPr="00953369">
        <w:rPr>
          <w:rFonts w:asciiTheme="majorBidi" w:hAnsiTheme="majorBidi" w:cstheme="majorBidi"/>
          <w:szCs w:val="24"/>
          <w:lang w:val="fr-CH"/>
        </w:rPr>
        <w:t>1</w:t>
      </w:r>
      <w:r w:rsidRPr="00953369">
        <w:rPr>
          <w:rFonts w:asciiTheme="majorBidi" w:hAnsiTheme="majorBidi" w:cstheme="majorBidi"/>
          <w:szCs w:val="24"/>
          <w:lang w:val="fr-CH"/>
        </w:rPr>
        <w:tab/>
        <w:t>Quelles sont les caractéristiques de rayonnement mesurées des petites antennes de station terrienne du SFS/SRS, en particulier pour un angle hors axe égal à environ 40 degrés ou supérieur?</w:t>
      </w:r>
    </w:p>
    <w:p w:rsidR="00F61977" w:rsidRPr="00953369" w:rsidRDefault="00F61977" w:rsidP="00F61977">
      <w:pPr>
        <w:tabs>
          <w:tab w:val="clear" w:pos="794"/>
          <w:tab w:val="left" w:pos="1134"/>
        </w:tabs>
        <w:rPr>
          <w:rFonts w:asciiTheme="majorBidi" w:hAnsiTheme="majorBidi" w:cstheme="majorBidi"/>
          <w:szCs w:val="24"/>
          <w:lang w:val="fr-CH"/>
        </w:rPr>
      </w:pPr>
      <w:r w:rsidRPr="00953369">
        <w:rPr>
          <w:rFonts w:asciiTheme="majorBidi" w:hAnsiTheme="majorBidi" w:cstheme="majorBidi"/>
          <w:szCs w:val="24"/>
          <w:lang w:val="fr-CH"/>
        </w:rPr>
        <w:t>2</w:t>
      </w:r>
      <w:r w:rsidRPr="00953369">
        <w:rPr>
          <w:rFonts w:asciiTheme="majorBidi" w:hAnsiTheme="majorBidi" w:cstheme="majorBidi"/>
          <w:szCs w:val="24"/>
          <w:lang w:val="fr-CH"/>
        </w:rPr>
        <w:tab/>
        <w:t>Quels sont les diagrammes de référence applicables aux antennes de station terrienne du SFS/SRS ayant un rapport D/λ de 30 environ?</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snapToGrid w:val="0"/>
          <w:szCs w:val="24"/>
          <w:lang w:val="fr-CH"/>
        </w:rPr>
        <w:t>3</w:t>
      </w:r>
      <w:r w:rsidRPr="00953369">
        <w:rPr>
          <w:rFonts w:asciiTheme="majorBidi" w:hAnsiTheme="majorBidi" w:cstheme="majorBidi"/>
          <w:snapToGrid w:val="0"/>
          <w:szCs w:val="24"/>
          <w:lang w:val="fr-CH"/>
        </w:rPr>
        <w:tab/>
        <w:t>Quel champ d'application pourrait être associé à tout nouveau diagramme d'antenne de référence du SFS/SRS (bandes de fréquences, diamètre d'antenne, etc.)?</w:t>
      </w:r>
    </w:p>
    <w:p w:rsidR="00F61977" w:rsidRPr="00953369" w:rsidRDefault="00F61977" w:rsidP="00F61977">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snapToGrid w:val="0"/>
          <w:szCs w:val="24"/>
          <w:lang w:val="fr-CH"/>
        </w:rPr>
        <w:t>4</w:t>
      </w:r>
      <w:r w:rsidRPr="00953369">
        <w:rPr>
          <w:rFonts w:asciiTheme="majorBidi" w:hAnsiTheme="majorBidi" w:cstheme="majorBidi"/>
          <w:snapToGrid w:val="0"/>
          <w:szCs w:val="24"/>
          <w:lang w:val="fr-CH"/>
        </w:rPr>
        <w:tab/>
        <w:t>Peut-on élargir aux petites antennes le champ d'application des diagrammes d'antenne de référence du SFS/SRS existants?</w:t>
      </w:r>
    </w:p>
    <w:p w:rsidR="00F61977" w:rsidRPr="00953369" w:rsidRDefault="00F61977" w:rsidP="00F61977">
      <w:pPr>
        <w:tabs>
          <w:tab w:val="clear" w:pos="794"/>
          <w:tab w:val="left" w:pos="1134"/>
        </w:tabs>
        <w:rPr>
          <w:rFonts w:asciiTheme="majorBidi" w:hAnsiTheme="majorBidi" w:cstheme="majorBidi"/>
          <w:szCs w:val="24"/>
          <w:lang w:val="fr-CH"/>
        </w:rPr>
      </w:pPr>
      <w:r w:rsidRPr="00953369">
        <w:rPr>
          <w:rFonts w:asciiTheme="majorBidi" w:hAnsiTheme="majorBidi" w:cstheme="majorBidi"/>
          <w:snapToGrid w:val="0"/>
          <w:szCs w:val="24"/>
          <w:lang w:val="fr-CH"/>
        </w:rPr>
        <w:t>5</w:t>
      </w:r>
      <w:r w:rsidRPr="00953369">
        <w:rPr>
          <w:rFonts w:asciiTheme="majorBidi" w:hAnsiTheme="majorBidi" w:cstheme="majorBidi"/>
          <w:snapToGrid w:val="0"/>
          <w:szCs w:val="24"/>
          <w:lang w:val="fr-CH"/>
        </w:rPr>
        <w:tab/>
        <w:t>Comment pourrait-on améliorer/perfectionner les diagrammes existants ou nouveaux applicables aux petites antennes de station terrienne (D/λ de 30 environ), compte tenu des progrès techniques récents, en particulier en ce qui concerne les antennes-réseau à commande de phase et les diagrammes d'antenne mesurés?</w:t>
      </w:r>
    </w:p>
    <w:p w:rsidR="00F61977" w:rsidRPr="00953369" w:rsidRDefault="00F61977" w:rsidP="00F61977">
      <w:pPr>
        <w:tabs>
          <w:tab w:val="clear" w:pos="794"/>
          <w:tab w:val="left" w:pos="1134"/>
        </w:tabs>
        <w:spacing w:line="240" w:lineRule="auto"/>
        <w:rPr>
          <w:rFonts w:asciiTheme="majorBidi" w:hAnsiTheme="majorBidi" w:cstheme="majorBidi"/>
          <w:szCs w:val="24"/>
          <w:lang w:val="fr-CH"/>
        </w:rPr>
      </w:pPr>
      <w:r w:rsidRPr="00953369">
        <w:rPr>
          <w:rFonts w:asciiTheme="majorBidi" w:hAnsiTheme="majorBidi" w:cstheme="majorBidi"/>
          <w:szCs w:val="24"/>
          <w:lang w:val="fr-CH"/>
        </w:rPr>
        <w:t>6</w:t>
      </w:r>
      <w:r w:rsidRPr="00953369">
        <w:rPr>
          <w:rFonts w:asciiTheme="majorBidi" w:hAnsiTheme="majorBidi" w:cstheme="majorBidi"/>
          <w:szCs w:val="24"/>
          <w:lang w:val="fr-CH"/>
        </w:rPr>
        <w:tab/>
        <w:t xml:space="preserve">Quels sont les paramètres nécessaires pour mettre en oeuvre des diagrammes d'antenne de référence dans les outils logiciels développés par le Bureau des radiocommunications de l'UIT? </w:t>
      </w:r>
    </w:p>
    <w:p w:rsidR="00F61977" w:rsidRPr="00953369" w:rsidRDefault="00F61977" w:rsidP="00F61977">
      <w:pPr>
        <w:pStyle w:val="Call"/>
        <w:ind w:left="1134"/>
        <w:rPr>
          <w:rFonts w:asciiTheme="majorBidi" w:hAnsiTheme="majorBidi" w:cstheme="majorBidi"/>
          <w:szCs w:val="24"/>
          <w:lang w:val="fr-CH"/>
        </w:rPr>
      </w:pPr>
      <w:r w:rsidRPr="00953369">
        <w:rPr>
          <w:rFonts w:asciiTheme="majorBidi" w:hAnsiTheme="majorBidi" w:cstheme="majorBidi"/>
          <w:szCs w:val="24"/>
          <w:lang w:val="fr-CH"/>
        </w:rPr>
        <w:t>décide en outre</w:t>
      </w:r>
    </w:p>
    <w:p w:rsidR="00F61977" w:rsidRPr="00953369" w:rsidRDefault="00F61977" w:rsidP="00F61977">
      <w:pPr>
        <w:tabs>
          <w:tab w:val="clear" w:pos="794"/>
          <w:tab w:val="clear" w:pos="1191"/>
          <w:tab w:val="left" w:pos="1134"/>
        </w:tabs>
        <w:spacing w:line="240" w:lineRule="auto"/>
        <w:rPr>
          <w:rFonts w:asciiTheme="majorBidi" w:hAnsiTheme="majorBidi" w:cstheme="majorBidi"/>
          <w:szCs w:val="24"/>
          <w:lang w:val="fr-CH"/>
        </w:rPr>
      </w:pPr>
      <w:r w:rsidRPr="00953369">
        <w:rPr>
          <w:rFonts w:asciiTheme="majorBidi" w:hAnsiTheme="majorBidi" w:cstheme="majorBidi"/>
          <w:bCs/>
          <w:szCs w:val="24"/>
          <w:lang w:val="fr-CH"/>
        </w:rPr>
        <w:t>1</w:t>
      </w:r>
      <w:r w:rsidRPr="00953369">
        <w:rPr>
          <w:rFonts w:asciiTheme="majorBidi" w:hAnsiTheme="majorBidi" w:cstheme="majorBidi"/>
          <w:b/>
          <w:szCs w:val="24"/>
          <w:lang w:val="fr-CH"/>
        </w:rPr>
        <w:tab/>
      </w:r>
      <w:r w:rsidRPr="00953369">
        <w:rPr>
          <w:rFonts w:asciiTheme="majorBidi" w:hAnsiTheme="majorBidi" w:cstheme="majorBidi"/>
          <w:szCs w:val="24"/>
          <w:lang w:val="fr-CH"/>
        </w:rPr>
        <w:t>que les résultats de ces études devront être inclus dans des Recommandations et/ou des Rapports appropriés;</w:t>
      </w:r>
    </w:p>
    <w:p w:rsidR="00F61977" w:rsidRPr="00953369" w:rsidRDefault="00F61977" w:rsidP="00F61977">
      <w:pPr>
        <w:tabs>
          <w:tab w:val="clear" w:pos="794"/>
          <w:tab w:val="clear" w:pos="1191"/>
          <w:tab w:val="left" w:pos="1134"/>
        </w:tabs>
        <w:spacing w:line="240" w:lineRule="auto"/>
        <w:rPr>
          <w:rFonts w:asciiTheme="majorBidi" w:hAnsiTheme="majorBidi" w:cstheme="majorBidi"/>
          <w:szCs w:val="24"/>
          <w:lang w:val="fr-CH"/>
        </w:rPr>
      </w:pPr>
      <w:r w:rsidRPr="00953369">
        <w:rPr>
          <w:rFonts w:asciiTheme="majorBidi" w:hAnsiTheme="majorBidi" w:cstheme="majorBidi"/>
          <w:szCs w:val="24"/>
          <w:lang w:val="fr-CH"/>
        </w:rPr>
        <w:t>2</w:t>
      </w:r>
      <w:r w:rsidRPr="00953369">
        <w:rPr>
          <w:rFonts w:asciiTheme="majorBidi" w:hAnsiTheme="majorBidi" w:cstheme="majorBidi"/>
          <w:szCs w:val="24"/>
          <w:lang w:val="fr-CH"/>
        </w:rPr>
        <w:tab/>
        <w:t>que ces études devront être achevées en 201</w:t>
      </w:r>
      <w:r w:rsidRPr="00953369">
        <w:rPr>
          <w:rFonts w:asciiTheme="majorBidi" w:hAnsiTheme="majorBidi" w:cstheme="majorBidi"/>
          <w:szCs w:val="24"/>
          <w:lang w:val="fr-CH" w:eastAsia="ja-JP"/>
        </w:rPr>
        <w:t>9</w:t>
      </w:r>
      <w:r w:rsidRPr="00953369">
        <w:rPr>
          <w:rFonts w:asciiTheme="majorBidi" w:hAnsiTheme="majorBidi" w:cstheme="majorBidi"/>
          <w:szCs w:val="24"/>
          <w:lang w:val="fr-CH"/>
        </w:rPr>
        <w:t>.</w:t>
      </w:r>
    </w:p>
    <w:p w:rsidR="00F61977" w:rsidRPr="00953369" w:rsidRDefault="00F61977" w:rsidP="00F61977">
      <w:pPr>
        <w:tabs>
          <w:tab w:val="clear" w:pos="794"/>
          <w:tab w:val="clear" w:pos="1191"/>
          <w:tab w:val="clear" w:pos="1588"/>
          <w:tab w:val="clear" w:pos="1985"/>
          <w:tab w:val="left" w:pos="1134"/>
          <w:tab w:val="left" w:pos="1871"/>
          <w:tab w:val="left" w:pos="2268"/>
        </w:tabs>
        <w:spacing w:before="600" w:line="240" w:lineRule="auto"/>
        <w:rPr>
          <w:rFonts w:asciiTheme="majorBidi" w:hAnsiTheme="majorBidi" w:cstheme="majorBidi"/>
          <w:szCs w:val="24"/>
          <w:lang w:val="fr-CH"/>
        </w:rPr>
      </w:pPr>
      <w:r w:rsidRPr="00953369">
        <w:rPr>
          <w:rFonts w:asciiTheme="majorBidi" w:hAnsiTheme="majorBidi" w:cstheme="majorBidi"/>
          <w:szCs w:val="24"/>
          <w:lang w:val="fr-CH"/>
        </w:rPr>
        <w:t>Catégorie: S2</w:t>
      </w:r>
    </w:p>
    <w:p w:rsidR="00F61977" w:rsidRPr="00FF7F05" w:rsidRDefault="00FF7F05" w:rsidP="00FF7F05">
      <w:pPr>
        <w:spacing w:line="240" w:lineRule="auto"/>
        <w:jc w:val="center"/>
        <w:rPr>
          <w:rFonts w:asciiTheme="minorHAnsi" w:hAnsiTheme="minorHAnsi"/>
        </w:rPr>
      </w:pPr>
      <w:r>
        <w:rPr>
          <w:rFonts w:asciiTheme="minorHAnsi" w:hAnsiTheme="minorHAnsi"/>
        </w:rPr>
        <w:t>_____________</w:t>
      </w:r>
    </w:p>
    <w:p w:rsidR="00F61977" w:rsidRPr="00CC4260" w:rsidRDefault="00F61977" w:rsidP="00F61977">
      <w:pPr>
        <w:rPr>
          <w:lang w:val="fr-CH"/>
        </w:rPr>
      </w:pPr>
    </w:p>
    <w:sectPr w:rsidR="00F61977" w:rsidRPr="00CC4260"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B7342" w:rsidRDefault="001B7342" w:rsidP="001B7342">
    <w:pPr>
      <w:pStyle w:val="FirstFooter"/>
      <w:spacing w:line="240" w:lineRule="auto"/>
      <w:ind w:left="-397" w:right="-397"/>
      <w:jc w:val="center"/>
      <w:rPr>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 w:id="1">
    <w:p w:rsidR="00F61977" w:rsidRPr="00A46DF9" w:rsidRDefault="00F61977" w:rsidP="00F61977">
      <w:pPr>
        <w:pStyle w:val="FootnoteText"/>
        <w:rPr>
          <w:rFonts w:asciiTheme="minorHAnsi" w:hAnsiTheme="minorHAnsi"/>
          <w:lang w:val="fr-CH"/>
        </w:rPr>
      </w:pPr>
      <w:r w:rsidRPr="00EA1185">
        <w:rPr>
          <w:rStyle w:val="FootnoteReference"/>
          <w:rFonts w:asciiTheme="majorBidi" w:hAnsiTheme="majorBidi" w:cstheme="majorBidi"/>
        </w:rPr>
        <w:footnoteRef/>
      </w:r>
      <w:r w:rsidRPr="00A46DF9">
        <w:rPr>
          <w:rFonts w:asciiTheme="minorHAnsi" w:hAnsiTheme="minorHAnsi"/>
          <w:lang w:val="fr-CH"/>
        </w:rPr>
        <w:tab/>
      </w:r>
      <w:r w:rsidRPr="00844108">
        <w:rPr>
          <w:rFonts w:asciiTheme="majorBidi" w:hAnsiTheme="majorBidi" w:cstheme="majorBidi"/>
          <w:sz w:val="24"/>
          <w:szCs w:val="24"/>
          <w:lang w:val="fr-CH"/>
        </w:rPr>
        <w:t xml:space="preserve">D est la dimension de l'antenne dans le plan de mesure (m), </w:t>
      </w:r>
      <w:r w:rsidRPr="00844108">
        <w:rPr>
          <w:rFonts w:asciiTheme="majorBidi" w:hAnsiTheme="majorBidi" w:cstheme="majorBidi"/>
          <w:sz w:val="24"/>
          <w:szCs w:val="24"/>
          <w:lang w:val="fr-CH"/>
        </w:rPr>
        <w:sym w:font="Symbol" w:char="F06C"/>
      </w:r>
      <w:r w:rsidRPr="00844108">
        <w:rPr>
          <w:rFonts w:asciiTheme="majorBidi" w:hAnsiTheme="majorBidi" w:cstheme="majorBidi"/>
          <w:sz w:val="24"/>
          <w:szCs w:val="24"/>
          <w:lang w:val="fr-CH"/>
        </w:rPr>
        <w:t xml:space="preserve"> est la longueur d'onde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F7434" w:rsidRDefault="00E915AF">
    <w:pPr>
      <w:pStyle w:val="Header"/>
      <w:rPr>
        <w:sz w:val="18"/>
        <w:szCs w:val="16"/>
      </w:rPr>
    </w:pPr>
    <w:r>
      <w:tab/>
    </w:r>
    <w:r>
      <w:tab/>
    </w:r>
    <w:r w:rsidR="008039A4">
      <w:rPr>
        <w:sz w:val="18"/>
        <w:szCs w:val="16"/>
      </w:rPr>
      <w:t>-</w:t>
    </w:r>
    <w:r w:rsidRPr="000F7434">
      <w:rPr>
        <w:sz w:val="18"/>
        <w:szCs w:val="16"/>
      </w:rPr>
      <w:t xml:space="preserve"> </w:t>
    </w:r>
    <w:r w:rsidR="001B42C9" w:rsidRPr="000F7434">
      <w:rPr>
        <w:rStyle w:val="PageNumber"/>
        <w:sz w:val="18"/>
        <w:szCs w:val="16"/>
      </w:rPr>
      <w:fldChar w:fldCharType="begin"/>
    </w:r>
    <w:r w:rsidRPr="000F7434">
      <w:rPr>
        <w:rStyle w:val="PageNumber"/>
        <w:sz w:val="18"/>
        <w:szCs w:val="16"/>
      </w:rPr>
      <w:instrText xml:space="preserve"> PAGE </w:instrText>
    </w:r>
    <w:r w:rsidR="001B42C9" w:rsidRPr="000F7434">
      <w:rPr>
        <w:rStyle w:val="PageNumber"/>
        <w:sz w:val="18"/>
        <w:szCs w:val="16"/>
      </w:rPr>
      <w:fldChar w:fldCharType="separate"/>
    </w:r>
    <w:r w:rsidR="00F03087">
      <w:rPr>
        <w:rStyle w:val="PageNumber"/>
        <w:noProof/>
        <w:sz w:val="18"/>
        <w:szCs w:val="16"/>
      </w:rPr>
      <w:t>6</w:t>
    </w:r>
    <w:r w:rsidR="001B42C9" w:rsidRPr="000F7434">
      <w:rPr>
        <w:rStyle w:val="PageNumber"/>
        <w:sz w:val="18"/>
        <w:szCs w:val="16"/>
      </w:rPr>
      <w:fldChar w:fldCharType="end"/>
    </w:r>
    <w:r w:rsidRPr="000F7434">
      <w:rPr>
        <w:rStyle w:val="PageNumber"/>
        <w:sz w:val="18"/>
        <w:szCs w:val="16"/>
      </w:rPr>
      <w:t xml:space="preserve"> </w:t>
    </w:r>
    <w:r w:rsidR="008039A4">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39A4" w:rsidRDefault="00E915AF" w:rsidP="008039A4">
    <w:pPr>
      <w:pStyle w:val="Header"/>
      <w:rPr>
        <w:sz w:val="18"/>
        <w:szCs w:val="18"/>
      </w:rPr>
    </w:pPr>
    <w:r>
      <w:tab/>
    </w:r>
    <w:r>
      <w:tab/>
    </w:r>
    <w:r w:rsidR="008039A4">
      <w:rPr>
        <w:sz w:val="18"/>
        <w:szCs w:val="18"/>
      </w:rPr>
      <w:t>-</w:t>
    </w:r>
    <w:r w:rsidR="00847A64" w:rsidRPr="008039A4">
      <w:rPr>
        <w:sz w:val="18"/>
        <w:szCs w:val="18"/>
      </w:rPr>
      <w:t xml:space="preserve"> </w:t>
    </w:r>
    <w:r w:rsidR="00847A64" w:rsidRPr="008039A4">
      <w:rPr>
        <w:rStyle w:val="PageNumber"/>
        <w:sz w:val="18"/>
        <w:szCs w:val="18"/>
      </w:rPr>
      <w:fldChar w:fldCharType="begin"/>
    </w:r>
    <w:r w:rsidR="00847A64" w:rsidRPr="008039A4">
      <w:rPr>
        <w:rStyle w:val="PageNumber"/>
        <w:sz w:val="18"/>
        <w:szCs w:val="18"/>
      </w:rPr>
      <w:instrText xml:space="preserve"> PAGE </w:instrText>
    </w:r>
    <w:r w:rsidR="00847A64" w:rsidRPr="008039A4">
      <w:rPr>
        <w:rStyle w:val="PageNumber"/>
        <w:sz w:val="18"/>
        <w:szCs w:val="18"/>
      </w:rPr>
      <w:fldChar w:fldCharType="separate"/>
    </w:r>
    <w:r w:rsidR="00F03087">
      <w:rPr>
        <w:rStyle w:val="PageNumber"/>
        <w:noProof/>
        <w:sz w:val="18"/>
        <w:szCs w:val="18"/>
      </w:rPr>
      <w:t>5</w:t>
    </w:r>
    <w:r w:rsidR="00847A64" w:rsidRPr="008039A4">
      <w:rPr>
        <w:rStyle w:val="PageNumber"/>
        <w:sz w:val="18"/>
        <w:szCs w:val="18"/>
      </w:rPr>
      <w:fldChar w:fldCharType="end"/>
    </w:r>
    <w:r w:rsidR="00847A64" w:rsidRPr="008039A4">
      <w:rPr>
        <w:rStyle w:val="PageNumber"/>
        <w:sz w:val="18"/>
        <w:szCs w:val="18"/>
      </w:rPr>
      <w:t xml:space="preserve"> </w:t>
    </w:r>
    <w:r w:rsidR="008039A4">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5602"/>
    </w:tblGrid>
    <w:tr w:rsidR="00FF7F05" w:rsidTr="001450CF">
      <w:trPr>
        <w:jc w:val="center"/>
      </w:trPr>
      <w:tc>
        <w:tcPr>
          <w:tcW w:w="4321" w:type="dxa"/>
        </w:tcPr>
        <w:p w:rsidR="00FF7F05" w:rsidRDefault="00FF7F05" w:rsidP="00FF7F05">
          <w:pPr>
            <w:pStyle w:val="Header"/>
            <w:tabs>
              <w:tab w:val="clear" w:pos="794"/>
              <w:tab w:val="clear" w:pos="4820"/>
            </w:tabs>
            <w:spacing w:before="120" w:line="360" w:lineRule="auto"/>
          </w:pPr>
          <w:r>
            <w:rPr>
              <w:b/>
              <w:bCs/>
              <w:noProof/>
              <w:lang w:eastAsia="zh-CN"/>
            </w:rPr>
            <w:drawing>
              <wp:inline distT="0" distB="0" distL="0" distR="0" wp14:anchorId="45E1E166" wp14:editId="0590DF73">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602" w:type="dxa"/>
        </w:tcPr>
        <w:p w:rsidR="00FF7F05" w:rsidRDefault="00FF7F05" w:rsidP="00FF7F05">
          <w:pPr>
            <w:pStyle w:val="Header"/>
            <w:tabs>
              <w:tab w:val="clear" w:pos="794"/>
              <w:tab w:val="clear" w:pos="4820"/>
            </w:tabs>
            <w:spacing w:line="360" w:lineRule="auto"/>
            <w:jc w:val="right"/>
          </w:pPr>
          <w:r>
            <w:rPr>
              <w:noProof/>
              <w:lang w:eastAsia="zh-CN"/>
            </w:rPr>
            <w:drawing>
              <wp:inline distT="0" distB="0" distL="0" distR="0" wp14:anchorId="21D8E6A4" wp14:editId="1914ED55">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FF7F05" w:rsidRDefault="00E915AF" w:rsidP="00FF7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0F7434"/>
    <w:rsid w:val="00100B72"/>
    <w:rsid w:val="00101F7D"/>
    <w:rsid w:val="00103C76"/>
    <w:rsid w:val="0011265F"/>
    <w:rsid w:val="00117282"/>
    <w:rsid w:val="00117389"/>
    <w:rsid w:val="00121C2D"/>
    <w:rsid w:val="00134404"/>
    <w:rsid w:val="00144DFB"/>
    <w:rsid w:val="00187CA3"/>
    <w:rsid w:val="001950D0"/>
    <w:rsid w:val="00196710"/>
    <w:rsid w:val="00196770"/>
    <w:rsid w:val="00197324"/>
    <w:rsid w:val="001B351B"/>
    <w:rsid w:val="001B42C9"/>
    <w:rsid w:val="001B7342"/>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4CCC"/>
    <w:rsid w:val="00345D38"/>
    <w:rsid w:val="00352097"/>
    <w:rsid w:val="003666FF"/>
    <w:rsid w:val="0037309C"/>
    <w:rsid w:val="00380A6E"/>
    <w:rsid w:val="003836D4"/>
    <w:rsid w:val="00395642"/>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7344"/>
    <w:rsid w:val="00421299"/>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01B"/>
    <w:rsid w:val="005B4CDA"/>
    <w:rsid w:val="005B62F0"/>
    <w:rsid w:val="005D3669"/>
    <w:rsid w:val="005E5EB3"/>
    <w:rsid w:val="005F3CB6"/>
    <w:rsid w:val="005F657C"/>
    <w:rsid w:val="00602D53"/>
    <w:rsid w:val="006047E5"/>
    <w:rsid w:val="006421F8"/>
    <w:rsid w:val="0064371D"/>
    <w:rsid w:val="00650543"/>
    <w:rsid w:val="00650B2A"/>
    <w:rsid w:val="00651777"/>
    <w:rsid w:val="006550F8"/>
    <w:rsid w:val="0066286A"/>
    <w:rsid w:val="006829F3"/>
    <w:rsid w:val="006A518B"/>
    <w:rsid w:val="006B0590"/>
    <w:rsid w:val="006B49DA"/>
    <w:rsid w:val="006C53F8"/>
    <w:rsid w:val="006C7CDE"/>
    <w:rsid w:val="006E5C2A"/>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18B7"/>
    <w:rsid w:val="0080261F"/>
    <w:rsid w:val="008039A4"/>
    <w:rsid w:val="00806160"/>
    <w:rsid w:val="008143A4"/>
    <w:rsid w:val="0081513E"/>
    <w:rsid w:val="0083056D"/>
    <w:rsid w:val="00847A64"/>
    <w:rsid w:val="00854131"/>
    <w:rsid w:val="0085652D"/>
    <w:rsid w:val="0087694B"/>
    <w:rsid w:val="00880F4D"/>
    <w:rsid w:val="008A6785"/>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B6680"/>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D651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5D33"/>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77EE"/>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484"/>
    <w:rsid w:val="00E55996"/>
    <w:rsid w:val="00E64254"/>
    <w:rsid w:val="00E67928"/>
    <w:rsid w:val="00E70FB5"/>
    <w:rsid w:val="00E915AF"/>
    <w:rsid w:val="00E96415"/>
    <w:rsid w:val="00EA1185"/>
    <w:rsid w:val="00EA15B3"/>
    <w:rsid w:val="00EB2358"/>
    <w:rsid w:val="00EB3EB8"/>
    <w:rsid w:val="00EC00EF"/>
    <w:rsid w:val="00EC02FE"/>
    <w:rsid w:val="00EC4A96"/>
    <w:rsid w:val="00EE03A0"/>
    <w:rsid w:val="00EE1A57"/>
    <w:rsid w:val="00F03087"/>
    <w:rsid w:val="00F424BF"/>
    <w:rsid w:val="00F44FC3"/>
    <w:rsid w:val="00F46107"/>
    <w:rsid w:val="00F468C5"/>
    <w:rsid w:val="00F52F39"/>
    <w:rsid w:val="00F6184F"/>
    <w:rsid w:val="00F61977"/>
    <w:rsid w:val="00F8310E"/>
    <w:rsid w:val="00F914DD"/>
    <w:rsid w:val="00FA2358"/>
    <w:rsid w:val="00FB2592"/>
    <w:rsid w:val="00FB2810"/>
    <w:rsid w:val="00FB7A2C"/>
    <w:rsid w:val="00FC2947"/>
    <w:rsid w:val="00FE0818"/>
    <w:rsid w:val="00FE6FB1"/>
    <w:rsid w:val="00FF33EF"/>
    <w:rsid w:val="00FF7F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DB364C8-0BC0-446B-9DD7-A465E165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uiPriority w:val="99"/>
    <w:rsid w:val="00F61977"/>
    <w:rPr>
      <w:szCs w:val="22"/>
      <w:lang w:val="en-US" w:eastAsia="en-US"/>
    </w:rPr>
  </w:style>
  <w:style w:type="character" w:customStyle="1" w:styleId="RectitleChar">
    <w:name w:val="Rec_title Char"/>
    <w:link w:val="Rectitle"/>
    <w:rsid w:val="00F61977"/>
    <w:rPr>
      <w:b/>
      <w:sz w:val="28"/>
      <w:szCs w:val="22"/>
      <w:lang w:val="en-US" w:eastAsia="en-US"/>
    </w:rPr>
  </w:style>
  <w:style w:type="character" w:customStyle="1" w:styleId="enumlev1Char">
    <w:name w:val="enumlev1 Char"/>
    <w:basedOn w:val="DefaultParagraphFont"/>
    <w:link w:val="enumlev1"/>
    <w:uiPriority w:val="99"/>
    <w:locked/>
    <w:rsid w:val="00F61977"/>
    <w:rPr>
      <w:sz w:val="24"/>
      <w:szCs w:val="22"/>
      <w:lang w:val="en-US" w:eastAsia="en-US"/>
    </w:rPr>
  </w:style>
  <w:style w:type="character" w:customStyle="1" w:styleId="CallChar">
    <w:name w:val="Call Char"/>
    <w:basedOn w:val="DefaultParagraphFont"/>
    <w:link w:val="Call"/>
    <w:uiPriority w:val="99"/>
    <w:rsid w:val="00F61977"/>
    <w:rPr>
      <w:i/>
      <w:sz w:val="24"/>
      <w:szCs w:val="22"/>
      <w:lang w:val="en-US" w:eastAsia="en-US"/>
    </w:rPr>
  </w:style>
  <w:style w:type="paragraph" w:styleId="Date">
    <w:name w:val="Date"/>
    <w:basedOn w:val="Normal"/>
    <w:next w:val="Normal"/>
    <w:link w:val="DateChar"/>
    <w:rsid w:val="008039A4"/>
  </w:style>
  <w:style w:type="character" w:customStyle="1" w:styleId="DateChar">
    <w:name w:val="Date Char"/>
    <w:basedOn w:val="DefaultParagraphFont"/>
    <w:link w:val="Date"/>
    <w:rsid w:val="008039A4"/>
    <w:rPr>
      <w:sz w:val="24"/>
      <w:szCs w:val="22"/>
      <w:lang w:val="en-US" w:eastAsia="en-US"/>
    </w:rPr>
  </w:style>
  <w:style w:type="character" w:customStyle="1" w:styleId="HeaderChar">
    <w:name w:val="Header Char"/>
    <w:basedOn w:val="DefaultParagraphFont"/>
    <w:link w:val="Header"/>
    <w:rsid w:val="00FF7F05"/>
    <w:rPr>
      <w:sz w:val="24"/>
      <w:szCs w:val="22"/>
      <w:lang w:val="en-US" w:eastAsia="en-US"/>
    </w:rPr>
  </w:style>
  <w:style w:type="table" w:styleId="TableGrid">
    <w:name w:val="Table Grid"/>
    <w:basedOn w:val="TableNormal"/>
    <w:rsid w:val="00FF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A795-5F2A-4D40-AFD9-1C30F23B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122</TotalTime>
  <Pages>6</Pages>
  <Words>1605</Words>
  <Characters>9632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Detraz, Laurence</cp:lastModifiedBy>
  <cp:revision>15</cp:revision>
  <cp:lastPrinted>2015-09-21T06:44:00Z</cp:lastPrinted>
  <dcterms:created xsi:type="dcterms:W3CDTF">2015-09-09T09:10:00Z</dcterms:created>
  <dcterms:modified xsi:type="dcterms:W3CDTF">2015-09-21T06:45:00Z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