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D37C3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D37C3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3D37C3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D37C3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Circular Administrativa</w:t>
            </w:r>
          </w:p>
          <w:p w:rsidR="00E53DCE" w:rsidRPr="003D37C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b/>
                <w:bCs/>
                <w:szCs w:val="24"/>
                <w:lang w:val="es-ES_tradnl"/>
              </w:rPr>
              <w:t>CA</w:t>
            </w:r>
            <w:r w:rsidR="007542D7" w:rsidRPr="003D37C3">
              <w:rPr>
                <w:b/>
                <w:bCs/>
                <w:szCs w:val="24"/>
                <w:lang w:val="es-ES_tradnl"/>
              </w:rPr>
              <w:t>CE</w:t>
            </w:r>
            <w:r w:rsidRPr="003D37C3">
              <w:rPr>
                <w:b/>
                <w:bCs/>
                <w:szCs w:val="24"/>
                <w:lang w:val="es-ES_tradnl"/>
              </w:rPr>
              <w:t>/</w:t>
            </w:r>
            <w:r w:rsidR="007542D7" w:rsidRPr="003D37C3">
              <w:rPr>
                <w:b/>
                <w:bCs/>
                <w:szCs w:val="24"/>
                <w:lang w:val="es-ES_tradnl"/>
              </w:rPr>
              <w:t>746</w:t>
            </w:r>
          </w:p>
        </w:tc>
        <w:tc>
          <w:tcPr>
            <w:tcW w:w="2835" w:type="dxa"/>
            <w:shd w:val="clear" w:color="auto" w:fill="auto"/>
          </w:tcPr>
          <w:p w:rsidR="00E53DCE" w:rsidRPr="003D37C3" w:rsidRDefault="003D37C3" w:rsidP="006C4C59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</w:t>
            </w:r>
            <w:r w:rsidR="006C4C59">
              <w:rPr>
                <w:bCs/>
                <w:szCs w:val="24"/>
                <w:lang w:val="es-ES_tradnl"/>
              </w:rPr>
              <w:t>4</w:t>
            </w:r>
            <w:r>
              <w:rPr>
                <w:bCs/>
                <w:szCs w:val="24"/>
                <w:lang w:val="es-ES_tradnl"/>
              </w:rPr>
              <w:t xml:space="preserve"> </w:t>
            </w:r>
            <w:r w:rsidR="00D32F57">
              <w:rPr>
                <w:bCs/>
                <w:szCs w:val="24"/>
                <w:lang w:val="es-ES_tradnl"/>
              </w:rPr>
              <w:t>de a</w:t>
            </w:r>
            <w:r w:rsidRPr="003D37C3">
              <w:rPr>
                <w:bCs/>
                <w:szCs w:val="24"/>
                <w:lang w:val="es-ES_tradnl"/>
              </w:rPr>
              <w:t>gost</w:t>
            </w:r>
            <w:r>
              <w:rPr>
                <w:bCs/>
                <w:szCs w:val="24"/>
                <w:lang w:val="es-ES_tradnl"/>
              </w:rPr>
              <w:t>o</w:t>
            </w:r>
            <w:r w:rsidR="00D32F57">
              <w:rPr>
                <w:bCs/>
                <w:szCs w:val="24"/>
                <w:lang w:val="es-ES_tradnl"/>
              </w:rPr>
              <w:t xml:space="preserve"> de</w:t>
            </w:r>
            <w:r w:rsidR="00033ADD" w:rsidRPr="003D37C3">
              <w:rPr>
                <w:bCs/>
                <w:szCs w:val="24"/>
                <w:lang w:val="es-ES_tradnl"/>
              </w:rPr>
              <w:t xml:space="preserve"> 2015</w:t>
            </w: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7542D7" w:rsidP="009C7BFE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b/>
                <w:szCs w:val="24"/>
                <w:lang w:val="es-ES_tradnl"/>
              </w:rPr>
              <w:t>A las Administraciones de los Estados Miembros de la UIT, a los Miembros</w:t>
            </w:r>
            <w:r w:rsidR="009C7BFE">
              <w:rPr>
                <w:b/>
                <w:szCs w:val="24"/>
                <w:lang w:val="es-ES_tradnl"/>
              </w:rPr>
              <w:t xml:space="preserve"> </w:t>
            </w:r>
            <w:r w:rsidRPr="003D37C3">
              <w:rPr>
                <w:b/>
                <w:szCs w:val="24"/>
                <w:lang w:val="es-ES_tradnl"/>
              </w:rPr>
              <w:t>del Sector de Radiocomunicaciones y a los Asociados del UIT-R que participan</w:t>
            </w:r>
            <w:r w:rsidR="009C7BFE">
              <w:rPr>
                <w:b/>
                <w:szCs w:val="24"/>
                <w:lang w:val="es-ES_tradnl"/>
              </w:rPr>
              <w:t xml:space="preserve"> </w:t>
            </w:r>
            <w:r w:rsidRPr="003D37C3">
              <w:rPr>
                <w:b/>
                <w:szCs w:val="24"/>
                <w:lang w:val="es-ES_tradnl"/>
              </w:rPr>
              <w:t>en los trabajos de la Comisión de Estudio 6 de Radiocomunicaciones</w:t>
            </w:r>
          </w:p>
          <w:p w:rsidR="00E53DCE" w:rsidRPr="003D37C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37C3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542D7" w:rsidRPr="003D37C3" w:rsidRDefault="007542D7" w:rsidP="009C7B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40" w:after="80"/>
              <w:ind w:left="459" w:hanging="459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6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Servicio de radiodifusión</w:t>
            </w:r>
            <w:r w:rsidRPr="003D37C3">
              <w:rPr>
                <w:b/>
                <w:bCs/>
                <w:szCs w:val="24"/>
                <w:lang w:val="es-ES_tradnl"/>
              </w:rPr>
              <w:t>)</w:t>
            </w:r>
          </w:p>
          <w:p w:rsidR="007542D7" w:rsidRPr="003D37C3" w:rsidRDefault="007542D7" w:rsidP="009C7B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80"/>
              <w:ind w:left="459" w:hanging="459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–</w:t>
            </w:r>
            <w:r w:rsidRPr="003D37C3">
              <w:rPr>
                <w:b/>
                <w:bCs/>
                <w:szCs w:val="24"/>
                <w:lang w:val="es-ES_tradnl"/>
              </w:rPr>
              <w:tab/>
              <w:t xml:space="preserve">Propuesta de adopción de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2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proyectos de nueva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 xml:space="preserve">Cuestión 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UIT-R </w:t>
            </w:r>
            <w:r w:rsidRPr="003D37C3">
              <w:rPr>
                <w:b/>
                <w:szCs w:val="24"/>
                <w:lang w:val="es-ES_tradnl"/>
              </w:rPr>
              <w:t>y su aprobación simultánea por correspondencia de conformidad con el § 10.3 de la Resolución UIT</w:t>
            </w:r>
            <w:r w:rsidRPr="003D37C3">
              <w:rPr>
                <w:b/>
                <w:szCs w:val="24"/>
                <w:lang w:val="es-ES_tradnl"/>
              </w:rPr>
              <w:noBreakHyphen/>
              <w:t>R 1</w:t>
            </w:r>
            <w:r w:rsidRPr="003D37C3">
              <w:rPr>
                <w:b/>
                <w:szCs w:val="24"/>
                <w:lang w:val="es-ES_tradnl"/>
              </w:rPr>
              <w:noBreakHyphen/>
              <w:t>6 (Procedimiento para la adopción y aprobación simultánea por correspondencia)</w:t>
            </w:r>
          </w:p>
          <w:p w:rsidR="00E53DCE" w:rsidRPr="003D37C3" w:rsidRDefault="007542D7" w:rsidP="009C7B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80"/>
              <w:ind w:left="459" w:hanging="459"/>
              <w:rPr>
                <w:b/>
                <w:bCs/>
                <w:szCs w:val="24"/>
                <w:lang w:val="es-ES_tradnl"/>
              </w:rPr>
            </w:pPr>
            <w:r w:rsidRPr="003D37C3">
              <w:rPr>
                <w:szCs w:val="24"/>
                <w:lang w:val="es-ES_tradnl"/>
              </w:rPr>
              <w:t>–</w:t>
            </w:r>
            <w:r w:rsidRPr="003D37C3">
              <w:rPr>
                <w:b/>
                <w:bCs/>
                <w:szCs w:val="24"/>
                <w:lang w:val="es-ES_tradnl"/>
              </w:rPr>
              <w:tab/>
            </w:r>
            <w:r w:rsidRPr="003D37C3">
              <w:rPr>
                <w:b/>
                <w:szCs w:val="24"/>
                <w:lang w:val="es-ES_tradnl"/>
              </w:rPr>
              <w:t>Propuesta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</w:t>
            </w:r>
            <w:r w:rsidR="006038E5">
              <w:rPr>
                <w:b/>
                <w:bCs/>
                <w:szCs w:val="24"/>
                <w:lang w:val="es-ES_tradnl"/>
              </w:rPr>
              <w:t xml:space="preserve">de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 xml:space="preserve">aprobación 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de supresión de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27</w:t>
            </w:r>
            <w:r w:rsidRPr="003D37C3">
              <w:rPr>
                <w:b/>
                <w:bCs/>
                <w:szCs w:val="24"/>
                <w:lang w:val="es-ES_tradnl"/>
              </w:rPr>
              <w:t xml:space="preserve"> </w:t>
            </w:r>
            <w:r w:rsidR="00955A12" w:rsidRPr="003D37C3">
              <w:rPr>
                <w:b/>
                <w:bCs/>
                <w:szCs w:val="24"/>
                <w:lang w:val="es-ES_tradnl"/>
              </w:rPr>
              <w:t>Cuestion</w:t>
            </w:r>
            <w:r w:rsidRPr="003D37C3">
              <w:rPr>
                <w:b/>
                <w:bCs/>
                <w:szCs w:val="24"/>
                <w:lang w:val="es-ES_tradnl"/>
              </w:rPr>
              <w:t>es UIT-R</w:t>
            </w:r>
          </w:p>
        </w:tc>
      </w:tr>
      <w:tr w:rsidR="00E53DCE" w:rsidRPr="003D37C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D37C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D37C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D37C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7542D7" w:rsidRPr="003D37C3" w:rsidRDefault="007542D7" w:rsidP="00A93F12">
      <w:pPr>
        <w:spacing w:before="600"/>
        <w:rPr>
          <w:szCs w:val="24"/>
          <w:lang w:val="es-ES_tradnl"/>
        </w:rPr>
      </w:pPr>
      <w:bookmarkStart w:id="0" w:name="Logo"/>
      <w:bookmarkStart w:id="1" w:name="Origine"/>
      <w:bookmarkEnd w:id="0"/>
      <w:bookmarkEnd w:id="1"/>
      <w:r w:rsidRPr="003D37C3">
        <w:rPr>
          <w:szCs w:val="24"/>
          <w:lang w:val="es-ES_tradnl"/>
        </w:rPr>
        <w:t xml:space="preserve">En la reunión de la Comisión de Estudio </w:t>
      </w:r>
      <w:r w:rsidR="00A93F12" w:rsidRPr="003D37C3">
        <w:rPr>
          <w:szCs w:val="24"/>
          <w:lang w:val="es-ES_tradnl"/>
        </w:rPr>
        <w:t>6</w:t>
      </w:r>
      <w:r w:rsidRPr="003D37C3">
        <w:rPr>
          <w:szCs w:val="24"/>
          <w:lang w:val="es-ES_tradnl"/>
        </w:rPr>
        <w:t xml:space="preserve"> de Radiocomunicaciones celebrada el </w:t>
      </w:r>
      <w:r w:rsidR="00A93F12" w:rsidRPr="003D37C3">
        <w:rPr>
          <w:szCs w:val="24"/>
          <w:lang w:val="es-ES_tradnl"/>
        </w:rPr>
        <w:t>24 de julio de 2015</w:t>
      </w:r>
      <w:r w:rsidRPr="003D37C3">
        <w:rPr>
          <w:szCs w:val="24"/>
          <w:lang w:val="es-ES_tradnl"/>
        </w:rPr>
        <w:t xml:space="preserve">, la Comisión de Estudio decidió solicitar la adopción de </w:t>
      </w:r>
      <w:r w:rsidR="00A93F12" w:rsidRPr="003D37C3">
        <w:rPr>
          <w:szCs w:val="24"/>
          <w:lang w:val="es-ES_tradnl"/>
        </w:rPr>
        <w:t>2 proyectos de nueva</w:t>
      </w:r>
      <w:r w:rsidRPr="003D37C3">
        <w:rPr>
          <w:szCs w:val="24"/>
          <w:lang w:val="es-ES_tradnl"/>
        </w:rPr>
        <w:t xml:space="preserve"> </w:t>
      </w:r>
      <w:r w:rsidR="00A93F12" w:rsidRPr="003D37C3">
        <w:rPr>
          <w:szCs w:val="24"/>
          <w:lang w:val="es-ES_tradnl"/>
        </w:rPr>
        <w:t xml:space="preserve">Cuestión </w:t>
      </w:r>
      <w:r w:rsidRPr="003D37C3">
        <w:rPr>
          <w:szCs w:val="24"/>
          <w:lang w:val="es-ES_tradnl"/>
        </w:rPr>
        <w:t>UIT-R por correspondencia (§ 10.2.3 de la Resolución UIT</w:t>
      </w:r>
      <w:r w:rsidRPr="003D37C3">
        <w:rPr>
          <w:szCs w:val="24"/>
          <w:lang w:val="es-ES_tradnl"/>
        </w:rPr>
        <w:noBreakHyphen/>
        <w:t>R 1</w:t>
      </w:r>
      <w:r w:rsidRPr="003D37C3">
        <w:rPr>
          <w:szCs w:val="24"/>
          <w:lang w:val="es-ES_tradnl"/>
        </w:rPr>
        <w:noBreakHyphen/>
        <w:t>6), y decidió además aplicar el procedimiento de adopción y aprobación simultáneas por correspondencia (PAAS) (§ 10.3 de la Resolución UIT</w:t>
      </w:r>
      <w:r w:rsidRPr="003D37C3">
        <w:rPr>
          <w:szCs w:val="24"/>
          <w:lang w:val="es-ES_tradnl"/>
        </w:rPr>
        <w:noBreakHyphen/>
        <w:t>R 1</w:t>
      </w:r>
      <w:r w:rsidRPr="003D37C3">
        <w:rPr>
          <w:szCs w:val="24"/>
          <w:lang w:val="es-ES_tradnl"/>
        </w:rPr>
        <w:noBreakHyphen/>
        <w:t xml:space="preserve">6). </w:t>
      </w:r>
      <w:r w:rsidR="00A93F12" w:rsidRPr="003D37C3">
        <w:rPr>
          <w:szCs w:val="24"/>
          <w:lang w:val="es-ES_tradnl"/>
        </w:rPr>
        <w:t>Como referencia, se adjuntan a la presente los textos de los proyectos de Cuestión UIT-R en los Anexos 1 y 2</w:t>
      </w:r>
      <w:r w:rsidRPr="003D37C3">
        <w:rPr>
          <w:szCs w:val="24"/>
          <w:lang w:val="es-ES_tradnl"/>
        </w:rPr>
        <w:t>.</w:t>
      </w:r>
      <w:r w:rsidR="00430170" w:rsidRPr="003D37C3">
        <w:rPr>
          <w:szCs w:val="24"/>
          <w:lang w:val="es-ES_tradnl"/>
        </w:rPr>
        <w:t xml:space="preserve"> Además, la Comisión de Estudio propuso la aprobación de supresión de 27 Cuestiones UIT-R cuyo listado se encuentra en el Anexo 3.</w:t>
      </w:r>
    </w:p>
    <w:p w:rsidR="007542D7" w:rsidRPr="003D37C3" w:rsidRDefault="007542D7" w:rsidP="006C4C59">
      <w:pPr>
        <w:rPr>
          <w:szCs w:val="24"/>
          <w:lang w:val="es-ES_tradnl"/>
        </w:rPr>
      </w:pPr>
      <w:r w:rsidRPr="003D37C3">
        <w:rPr>
          <w:szCs w:val="24"/>
          <w:lang w:val="es-ES_tradnl"/>
        </w:rPr>
        <w:t xml:space="preserve">El periodo de consideración se extenderá durante 2 meses finalizando el </w:t>
      </w:r>
      <w:r w:rsidR="00430170" w:rsidRPr="003D37C3">
        <w:rPr>
          <w:szCs w:val="24"/>
          <w:u w:val="single"/>
          <w:lang w:val="es-ES_tradnl"/>
        </w:rPr>
        <w:t>1</w:t>
      </w:r>
      <w:r w:rsidR="006C4C59">
        <w:rPr>
          <w:szCs w:val="24"/>
          <w:u w:val="single"/>
          <w:lang w:val="es-ES_tradnl"/>
        </w:rPr>
        <w:t>4</w:t>
      </w:r>
      <w:bookmarkStart w:id="2" w:name="_GoBack"/>
      <w:bookmarkEnd w:id="2"/>
      <w:r w:rsidR="00430170" w:rsidRPr="003D37C3">
        <w:rPr>
          <w:szCs w:val="24"/>
          <w:u w:val="single"/>
          <w:lang w:val="es-ES_tradnl"/>
        </w:rPr>
        <w:t xml:space="preserve"> de octubre de 2015</w:t>
      </w:r>
      <w:r w:rsidRPr="003D37C3">
        <w:rPr>
          <w:szCs w:val="24"/>
          <w:lang w:val="es-ES_tradnl"/>
        </w:rPr>
        <w:t xml:space="preserve">. Si durante este periodo no se reciben objeciones de los Estados Miembros, se considerará que los proyectos de </w:t>
      </w:r>
      <w:r w:rsidR="00430170" w:rsidRPr="003D37C3">
        <w:rPr>
          <w:szCs w:val="24"/>
          <w:lang w:val="es-ES_tradnl"/>
        </w:rPr>
        <w:t xml:space="preserve">Cuestiones </w:t>
      </w:r>
      <w:r w:rsidRPr="003D37C3">
        <w:rPr>
          <w:szCs w:val="24"/>
          <w:lang w:val="es-ES_tradnl"/>
        </w:rPr>
        <w:t>serán adoptados por la Comisión de Estudio </w:t>
      </w:r>
      <w:r w:rsidR="00430170" w:rsidRPr="003D37C3">
        <w:rPr>
          <w:szCs w:val="24"/>
          <w:lang w:val="es-ES_tradnl"/>
        </w:rPr>
        <w:t>6</w:t>
      </w:r>
      <w:r w:rsidRPr="003D37C3">
        <w:rPr>
          <w:szCs w:val="24"/>
          <w:lang w:val="es-ES_tradnl"/>
        </w:rPr>
        <w:t xml:space="preserve">. Además, como se ha seguido el PAAS, los proyectos de </w:t>
      </w:r>
      <w:r w:rsidR="00430170" w:rsidRPr="003D37C3">
        <w:rPr>
          <w:szCs w:val="24"/>
          <w:lang w:val="es-ES_tradnl"/>
        </w:rPr>
        <w:t xml:space="preserve">Cuestión </w:t>
      </w:r>
      <w:r w:rsidRPr="003D37C3">
        <w:rPr>
          <w:szCs w:val="24"/>
          <w:lang w:val="es-ES_tradnl"/>
        </w:rPr>
        <w:t>también se considerarán aprobados.</w:t>
      </w:r>
    </w:p>
    <w:p w:rsidR="007542D7" w:rsidRPr="003D37C3" w:rsidRDefault="007542D7" w:rsidP="00430170">
      <w:pPr>
        <w:rPr>
          <w:szCs w:val="24"/>
          <w:lang w:val="es-ES_tradnl"/>
        </w:rPr>
      </w:pPr>
      <w:r w:rsidRPr="003D37C3">
        <w:rPr>
          <w:szCs w:val="24"/>
          <w:lang w:val="es-ES_tradnl"/>
        </w:rPr>
        <w:t xml:space="preserve">Todo Estado Miembro que tenga una objeción a la adopción de un proyecto de </w:t>
      </w:r>
      <w:r w:rsidR="00430170" w:rsidRPr="003D37C3">
        <w:rPr>
          <w:szCs w:val="24"/>
          <w:lang w:val="es-ES_tradnl"/>
        </w:rPr>
        <w:t xml:space="preserve">nueva Cuestión o a la aprobación de supresión de una Cuestión </w:t>
      </w:r>
      <w:r w:rsidRPr="003D37C3">
        <w:rPr>
          <w:szCs w:val="24"/>
          <w:lang w:val="es-ES_tradnl"/>
        </w:rPr>
        <w:t>debe informar al Director y al Presidente de la Comisión de Estudio de los motivos de dicha objeción.</w:t>
      </w:r>
    </w:p>
    <w:p w:rsidR="007542D7" w:rsidRPr="003D37C3" w:rsidRDefault="007542D7" w:rsidP="00430170">
      <w:pPr>
        <w:keepNext/>
        <w:rPr>
          <w:szCs w:val="24"/>
          <w:lang w:val="es-ES_tradnl"/>
        </w:rPr>
      </w:pPr>
      <w:r w:rsidRPr="003D37C3">
        <w:rPr>
          <w:szCs w:val="24"/>
          <w:lang w:val="es-ES_tradnl"/>
        </w:rPr>
        <w:lastRenderedPageBreak/>
        <w:t xml:space="preserve">Tras la fecha límite mencionada, los resultados del PAAS se comunicarán mediante Circular Administrativa y las </w:t>
      </w:r>
      <w:r w:rsidR="00430170" w:rsidRPr="003D37C3">
        <w:rPr>
          <w:szCs w:val="24"/>
          <w:lang w:val="es-ES_tradnl"/>
        </w:rPr>
        <w:t>Cuestiones</w:t>
      </w:r>
      <w:r w:rsidRPr="003D37C3">
        <w:rPr>
          <w:szCs w:val="24"/>
          <w:lang w:val="es-ES_tradnl"/>
        </w:rPr>
        <w:t xml:space="preserve"> aprobadas se publicarán tan pronto como sea posible (véase </w:t>
      </w:r>
      <w:hyperlink r:id="rId8" w:history="1">
        <w:r w:rsidR="00430170" w:rsidRPr="003D37C3">
          <w:rPr>
            <w:rStyle w:val="Hyperlink"/>
            <w:lang w:val="es-ES_tradnl"/>
          </w:rPr>
          <w:t>http://www.itu.int/pub/R-QUE</w:t>
        </w:r>
      </w:hyperlink>
      <w:r w:rsidRPr="003D37C3">
        <w:rPr>
          <w:szCs w:val="24"/>
          <w:lang w:val="es-ES_tradnl"/>
        </w:rPr>
        <w:t>).</w:t>
      </w:r>
    </w:p>
    <w:p w:rsidR="007542D7" w:rsidRPr="003D37C3" w:rsidRDefault="007542D7" w:rsidP="00430170">
      <w:pPr>
        <w:tabs>
          <w:tab w:val="clear" w:pos="794"/>
          <w:tab w:val="clear" w:pos="1191"/>
          <w:tab w:val="clear" w:pos="1588"/>
          <w:tab w:val="clear" w:pos="1985"/>
        </w:tabs>
        <w:spacing w:before="1800"/>
        <w:jc w:val="left"/>
        <w:rPr>
          <w:szCs w:val="24"/>
          <w:lang w:val="es-ES_tradnl"/>
        </w:rPr>
      </w:pPr>
      <w:r w:rsidRPr="003D37C3">
        <w:rPr>
          <w:szCs w:val="24"/>
          <w:lang w:val="es-ES_tradnl"/>
        </w:rPr>
        <w:t>François Rancy</w:t>
      </w:r>
      <w:r w:rsidRPr="003D37C3">
        <w:rPr>
          <w:szCs w:val="24"/>
          <w:lang w:val="es-ES_tradnl"/>
        </w:rPr>
        <w:br/>
        <w:t>Director</w:t>
      </w:r>
    </w:p>
    <w:p w:rsidR="007542D7" w:rsidRPr="003D37C3" w:rsidRDefault="007542D7" w:rsidP="00430170">
      <w:pPr>
        <w:spacing w:before="1440"/>
        <w:jc w:val="left"/>
        <w:rPr>
          <w:b/>
          <w:bCs/>
          <w:szCs w:val="24"/>
          <w:lang w:val="es-ES_tradnl"/>
        </w:rPr>
      </w:pPr>
      <w:r w:rsidRPr="003D37C3">
        <w:rPr>
          <w:b/>
          <w:bCs/>
          <w:szCs w:val="24"/>
          <w:lang w:val="es-ES_tradnl"/>
        </w:rPr>
        <w:t>Anexo</w:t>
      </w:r>
      <w:r w:rsidR="00430170" w:rsidRPr="003D37C3">
        <w:rPr>
          <w:b/>
          <w:bCs/>
          <w:szCs w:val="24"/>
          <w:lang w:val="es-ES_tradnl"/>
        </w:rPr>
        <w:t>s</w:t>
      </w:r>
      <w:r w:rsidRPr="003D37C3">
        <w:rPr>
          <w:szCs w:val="24"/>
          <w:lang w:val="es-ES_tradnl"/>
        </w:rPr>
        <w:t>:</w:t>
      </w:r>
      <w:r w:rsidR="00430170" w:rsidRPr="003D37C3">
        <w:rPr>
          <w:szCs w:val="24"/>
          <w:lang w:val="es-ES_tradnl"/>
        </w:rPr>
        <w:tab/>
        <w:t>3</w:t>
      </w:r>
    </w:p>
    <w:p w:rsidR="007542D7" w:rsidRPr="003D37C3" w:rsidRDefault="007542D7" w:rsidP="00430170">
      <w:pPr>
        <w:tabs>
          <w:tab w:val="left" w:pos="284"/>
          <w:tab w:val="left" w:pos="568"/>
        </w:tabs>
        <w:spacing w:before="6000" w:after="60"/>
        <w:rPr>
          <w:b/>
          <w:bCs/>
          <w:sz w:val="18"/>
          <w:szCs w:val="18"/>
          <w:lang w:val="es-ES_tradnl"/>
        </w:rPr>
      </w:pPr>
      <w:r w:rsidRPr="003D37C3">
        <w:rPr>
          <w:b/>
          <w:bCs/>
          <w:sz w:val="18"/>
          <w:szCs w:val="18"/>
          <w:lang w:val="es-ES_tradnl"/>
        </w:rPr>
        <w:t>Distribución:</w:t>
      </w:r>
    </w:p>
    <w:p w:rsidR="007542D7" w:rsidRPr="003D37C3" w:rsidRDefault="007542D7" w:rsidP="00430170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</w:t>
      </w:r>
      <w:r w:rsidR="00430170" w:rsidRPr="003D37C3">
        <w:rPr>
          <w:sz w:val="18"/>
          <w:szCs w:val="18"/>
          <w:lang w:val="es-ES_tradnl"/>
        </w:rPr>
        <w:br/>
      </w:r>
      <w:r w:rsidRPr="003D37C3">
        <w:rPr>
          <w:sz w:val="18"/>
          <w:szCs w:val="18"/>
          <w:lang w:val="es-ES_tradnl"/>
        </w:rPr>
        <w:t xml:space="preserve">que participan en los trabajos de la Comisión de Estudio </w:t>
      </w:r>
      <w:r w:rsidR="00430170" w:rsidRPr="003D37C3">
        <w:rPr>
          <w:sz w:val="18"/>
          <w:szCs w:val="18"/>
          <w:lang w:val="es-ES_tradnl"/>
        </w:rPr>
        <w:t>6</w:t>
      </w:r>
      <w:r w:rsidRPr="003D37C3">
        <w:rPr>
          <w:sz w:val="18"/>
          <w:szCs w:val="18"/>
          <w:lang w:val="es-ES_tradnl"/>
        </w:rPr>
        <w:t xml:space="preserve"> de Radiocomunicaciones </w:t>
      </w:r>
    </w:p>
    <w:p w:rsidR="007542D7" w:rsidRPr="003D37C3" w:rsidRDefault="007542D7" w:rsidP="00430170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30170" w:rsidRPr="003D37C3">
        <w:rPr>
          <w:sz w:val="18"/>
          <w:szCs w:val="18"/>
          <w:lang w:val="es-ES_tradnl"/>
        </w:rPr>
        <w:t>6</w:t>
      </w:r>
      <w:r w:rsidRPr="003D37C3">
        <w:rPr>
          <w:sz w:val="18"/>
          <w:szCs w:val="18"/>
          <w:lang w:val="es-ES_tradnl"/>
        </w:rPr>
        <w:t xml:space="preserve"> de Radiocomunicaciones </w:t>
      </w:r>
    </w:p>
    <w:p w:rsidR="007542D7" w:rsidRPr="003D37C3" w:rsidRDefault="007542D7" w:rsidP="00CE6299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Presidentes y Vicepresidentes de las Comisiones de Estudio de Radiocomunicaciones y </w:t>
      </w:r>
      <w:r w:rsidR="00430170" w:rsidRPr="003D37C3">
        <w:rPr>
          <w:sz w:val="18"/>
          <w:szCs w:val="18"/>
          <w:lang w:val="es-ES_tradnl"/>
        </w:rPr>
        <w:br/>
      </w:r>
      <w:r w:rsidRPr="003D37C3">
        <w:rPr>
          <w:sz w:val="18"/>
          <w:szCs w:val="18"/>
          <w:lang w:val="es-ES_tradnl"/>
        </w:rPr>
        <w:t xml:space="preserve">Comisión Especial para Asuntos Reglamentarios y de Procedimiento </w:t>
      </w:r>
    </w:p>
    <w:p w:rsidR="007542D7" w:rsidRPr="003D37C3" w:rsidRDefault="007542D7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7542D7" w:rsidRPr="003D37C3" w:rsidRDefault="007542D7" w:rsidP="00CE6299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7542D7" w:rsidRPr="003D37C3" w:rsidRDefault="007542D7" w:rsidP="00CE6299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sz w:val="18"/>
          <w:szCs w:val="18"/>
          <w:lang w:val="es-ES_tradnl"/>
        </w:rPr>
      </w:pPr>
      <w:r w:rsidRPr="003D37C3">
        <w:rPr>
          <w:sz w:val="18"/>
          <w:szCs w:val="18"/>
          <w:lang w:val="es-ES_tradnl"/>
        </w:rPr>
        <w:t>–</w:t>
      </w:r>
      <w:r w:rsidRPr="003D37C3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</w:t>
      </w:r>
      <w:r w:rsidR="00430170" w:rsidRPr="003D37C3">
        <w:rPr>
          <w:sz w:val="18"/>
          <w:szCs w:val="18"/>
          <w:lang w:val="es-ES_tradnl"/>
        </w:rPr>
        <w:br/>
      </w:r>
      <w:r w:rsidRPr="003D37C3">
        <w:rPr>
          <w:sz w:val="18"/>
          <w:szCs w:val="18"/>
          <w:lang w:val="es-ES_tradnl"/>
        </w:rPr>
        <w:t xml:space="preserve">Director de la Oficina de Desarrollo de Telecomunicaciones </w:t>
      </w:r>
    </w:p>
    <w:p w:rsidR="007542D7" w:rsidRPr="003D37C3" w:rsidRDefault="007542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 w:rsidRPr="003D37C3">
        <w:rPr>
          <w:lang w:val="es-ES_tradnl"/>
        </w:rPr>
        <w:br w:type="page"/>
      </w:r>
    </w:p>
    <w:p w:rsidR="007542D7" w:rsidRPr="003D37C3" w:rsidRDefault="007542D7" w:rsidP="00A52244">
      <w:pPr>
        <w:pStyle w:val="AnnexNoTitle"/>
        <w:rPr>
          <w:rFonts w:asciiTheme="minorHAnsi" w:hAnsiTheme="minorHAnsi"/>
          <w:sz w:val="28"/>
          <w:szCs w:val="28"/>
          <w:lang w:val="es-ES_tradnl"/>
        </w:rPr>
      </w:pPr>
      <w:r w:rsidRPr="003D37C3">
        <w:rPr>
          <w:sz w:val="28"/>
          <w:szCs w:val="24"/>
          <w:lang w:val="es-ES_tradnl"/>
        </w:rPr>
        <w:lastRenderedPageBreak/>
        <w:t>Anexo 1</w:t>
      </w:r>
    </w:p>
    <w:p w:rsidR="003D37C3" w:rsidRPr="003D37C3" w:rsidRDefault="003D37C3" w:rsidP="003D37C3">
      <w:pPr>
        <w:jc w:val="center"/>
        <w:rPr>
          <w:szCs w:val="24"/>
          <w:lang w:val="es-ES_tradnl"/>
        </w:rPr>
      </w:pPr>
      <w:r w:rsidRPr="003D37C3">
        <w:rPr>
          <w:szCs w:val="24"/>
          <w:lang w:val="es-ES_tradnl"/>
        </w:rPr>
        <w:t xml:space="preserve">(Documento </w:t>
      </w:r>
      <w:hyperlink r:id="rId9" w:history="1">
        <w:r w:rsidRPr="003D37C3">
          <w:rPr>
            <w:rStyle w:val="Hyperlink"/>
            <w:szCs w:val="24"/>
            <w:lang w:val="es-ES_tradnl"/>
          </w:rPr>
          <w:t>6/416</w:t>
        </w:r>
      </w:hyperlink>
      <w:r w:rsidRPr="003D37C3">
        <w:rPr>
          <w:szCs w:val="24"/>
          <w:lang w:val="es-ES_tradnl"/>
        </w:rPr>
        <w:t>)</w:t>
      </w:r>
    </w:p>
    <w:p w:rsidR="003D37C3" w:rsidRPr="003D37C3" w:rsidRDefault="003D37C3" w:rsidP="004C1CE0">
      <w:pPr>
        <w:pStyle w:val="QuestionNoBR"/>
        <w:spacing w:before="360"/>
        <w:rPr>
          <w:rFonts w:asciiTheme="majorBidi" w:hAnsiTheme="majorBidi" w:cstheme="majorBidi"/>
        </w:rPr>
      </w:pPr>
      <w:r w:rsidRPr="003D37C3">
        <w:rPr>
          <w:rFonts w:asciiTheme="majorBidi" w:hAnsiTheme="majorBidi" w:cstheme="majorBidi"/>
        </w:rPr>
        <w:t xml:space="preserve">PROPUESTA DE NUEVA CUESTIÓN UIT-R </w:t>
      </w:r>
      <w:r w:rsidRPr="003D37C3">
        <w:rPr>
          <w:rFonts w:asciiTheme="majorBidi" w:hAnsiTheme="majorBidi" w:cstheme="majorBidi"/>
        </w:rPr>
        <w:br/>
        <w:t>[TELEVISION AND SOUND BROADCAST OVER IP]/6</w:t>
      </w:r>
      <w:r w:rsidRPr="005A4779">
        <w:rPr>
          <w:rStyle w:val="FootnoteReference"/>
          <w:rFonts w:asciiTheme="majorBidi" w:hAnsiTheme="majorBidi" w:cstheme="majorBidi"/>
          <w:szCs w:val="18"/>
        </w:rPr>
        <w:footnoteReference w:id="1"/>
      </w:r>
    </w:p>
    <w:p w:rsidR="003D37C3" w:rsidRPr="003D37C3" w:rsidRDefault="003D37C3" w:rsidP="00C10F1E">
      <w:pPr>
        <w:pStyle w:val="Questiontitle"/>
        <w:spacing w:before="24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Distribución por Internet de pistas sonoras procedentes </w:t>
      </w:r>
      <w:r w:rsidRPr="003D37C3">
        <w:rPr>
          <w:rFonts w:asciiTheme="majorBidi" w:hAnsiTheme="majorBidi" w:cstheme="majorBidi"/>
          <w:lang w:val="es-ES_tradnl"/>
        </w:rPr>
        <w:br/>
        <w:t>de la radiodifusión sonora y de televisión</w:t>
      </w:r>
    </w:p>
    <w:p w:rsidR="003D37C3" w:rsidRPr="003D37C3" w:rsidRDefault="003D37C3" w:rsidP="003D37C3">
      <w:pPr>
        <w:pStyle w:val="Normalafter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considerando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los oyentes desean que los programas de sonido sean compatibles entre sí en cuanto al nivel sonoro subjetivo;</w:t>
      </w:r>
    </w:p>
    <w:p w:rsidR="003D37C3" w:rsidRPr="003D37C3" w:rsidRDefault="003D37C3" w:rsidP="00571A91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b)</w:t>
      </w:r>
      <w:r w:rsidRPr="003D37C3">
        <w:rPr>
          <w:rFonts w:asciiTheme="majorBidi" w:hAnsiTheme="majorBidi" w:cstheme="majorBidi"/>
          <w:lang w:val="es-ES_tradnl"/>
        </w:rPr>
        <w:tab/>
        <w:t xml:space="preserve">que los oyentes también desean que los programas de sonido sean inteligibles en entornos de escucha condicionados, es decir, cuando el ruido de fondo es elevado y/o se requiere limitar los niveles máximos para </w:t>
      </w:r>
      <w:r w:rsidR="00571A91">
        <w:rPr>
          <w:rFonts w:asciiTheme="majorBidi" w:hAnsiTheme="majorBidi" w:cstheme="majorBidi"/>
          <w:lang w:val="es-ES_tradnl"/>
        </w:rPr>
        <w:t>la conservación de la audición o la reducción del ruido</w:t>
      </w:r>
      <w:r w:rsidRPr="003D37C3">
        <w:rPr>
          <w:rFonts w:asciiTheme="majorBidi" w:hAnsiTheme="majorBidi" w:cstheme="majorBidi"/>
          <w:lang w:val="es-ES_tradnl"/>
        </w:rPr>
        <w:t>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c)</w:t>
      </w:r>
      <w:r w:rsidRPr="003D37C3">
        <w:rPr>
          <w:rFonts w:asciiTheme="majorBidi" w:hAnsiTheme="majorBidi" w:cstheme="majorBidi"/>
          <w:lang w:val="es-ES_tradnl"/>
        </w:rPr>
        <w:tab/>
        <w:t>que las técnicas modernas de transmisión sonora digital ofrecen una amplia gama dinámica intrínseca, pero que los entornos de escucha condicionados hacen que la gama dinámica utilizable sea mucho menor;</w:t>
      </w:r>
    </w:p>
    <w:p w:rsidR="003D37C3" w:rsidRPr="003D37C3" w:rsidRDefault="003D37C3" w:rsidP="006038E5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d)</w:t>
      </w:r>
      <w:r w:rsidRPr="003D37C3">
        <w:rPr>
          <w:rFonts w:asciiTheme="majorBidi" w:hAnsiTheme="majorBidi" w:cstheme="majorBidi"/>
          <w:lang w:val="es-ES_tradnl"/>
        </w:rPr>
        <w:tab/>
        <w:t xml:space="preserve">que en los programas donde predomina el diálogo, el nivel de sonoridad de éste es un aspecto importante para la audiencia, nivel que debe ser coherente en los programas </w:t>
      </w:r>
      <w:r w:rsidR="006038E5">
        <w:rPr>
          <w:rFonts w:asciiTheme="majorBidi" w:hAnsiTheme="majorBidi" w:cstheme="majorBidi"/>
          <w:lang w:val="es-ES_tradnl"/>
        </w:rPr>
        <w:t>que</w:t>
      </w:r>
      <w:r w:rsidRPr="003D37C3">
        <w:rPr>
          <w:rFonts w:asciiTheme="majorBidi" w:hAnsiTheme="majorBidi" w:cstheme="majorBidi"/>
          <w:lang w:val="es-ES_tradnl"/>
        </w:rPr>
        <w:t xml:space="preserve"> se intercambian a escala internacional;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e)</w:t>
      </w:r>
      <w:r w:rsidRPr="003D37C3">
        <w:rPr>
          <w:rFonts w:asciiTheme="majorBidi" w:hAnsiTheme="majorBidi" w:cstheme="majorBidi"/>
          <w:lang w:val="es-ES_tradnl"/>
        </w:rPr>
        <w:tab/>
        <w:t>que los programas de radiodifusión se suministran a las audiencias en un número creciente de plataformas, en particular plataformas basadas en Internet;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f)</w:t>
      </w:r>
      <w:r w:rsidRPr="003D37C3">
        <w:rPr>
          <w:rFonts w:asciiTheme="majorBidi" w:hAnsiTheme="majorBidi" w:cstheme="majorBidi"/>
          <w:lang w:val="es-ES_tradnl"/>
        </w:rPr>
        <w:tab/>
        <w:t>que en las plataformas basadas en Internet,</w:t>
      </w:r>
      <w:r w:rsidRPr="003D37C3" w:rsidDel="00CE3616">
        <w:rPr>
          <w:rFonts w:asciiTheme="majorBidi" w:hAnsiTheme="majorBidi" w:cstheme="majorBidi"/>
          <w:lang w:val="es-ES_tradnl"/>
        </w:rPr>
        <w:t xml:space="preserve"> </w:t>
      </w:r>
      <w:r w:rsidRPr="003D37C3">
        <w:rPr>
          <w:rFonts w:asciiTheme="majorBidi" w:hAnsiTheme="majorBidi" w:cstheme="majorBidi"/>
          <w:lang w:val="es-ES_tradnl"/>
        </w:rPr>
        <w:t>el contenido puede provenir de fuentes de radiodifusión y de otra índole, y que las fuentes de programas distintas a las de radiodifusión pueden distribuir audio a niveles de sonoridad diferentes de los de las fuentes de programas por radiodifusión;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g)</w:t>
      </w:r>
      <w:r w:rsidRPr="003D37C3">
        <w:rPr>
          <w:rFonts w:asciiTheme="majorBidi" w:hAnsiTheme="majorBidi" w:cstheme="majorBidi"/>
          <w:lang w:val="es-ES_tradnl"/>
        </w:rPr>
        <w:tab/>
        <w:t>que convendría sobremanera lograr un grado de coherencia razonable en la calidad sonora entre los programas de radiodifusión, comprendidas las características de nivel de sonoridad, en estas plataformas de suministro a escala internacional;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h)</w:t>
      </w:r>
      <w:r w:rsidRPr="003D37C3">
        <w:rPr>
          <w:rFonts w:asciiTheme="majorBidi" w:hAnsiTheme="majorBidi" w:cstheme="majorBidi"/>
          <w:lang w:val="es-ES_tradnl"/>
        </w:rPr>
        <w:tab/>
        <w:t>que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 BS.1726 especifica la utilización de –18 dBFS o –20 dBFS para el «nivel de alineación», pero que este «nivel de alineación» no corresponde directamente a la sonoridad del programa de audio;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i)</w:t>
      </w:r>
      <w:r w:rsidRPr="003D37C3">
        <w:rPr>
          <w:rFonts w:asciiTheme="majorBidi" w:hAnsiTheme="majorBidi" w:cstheme="majorBidi"/>
          <w:lang w:val="es-ES_tradnl"/>
        </w:rPr>
        <w:tab/>
        <w:t>que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 BS.1770, «Algoritmos para medir la sonoridad de los programas radiofónicos y el nivel de cresta de audio real», especifica un método para medir la sonoridad de los programas de audio;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j)</w:t>
      </w:r>
      <w:r w:rsidRPr="003D37C3">
        <w:rPr>
          <w:rFonts w:asciiTheme="majorBidi" w:hAnsiTheme="majorBidi" w:cstheme="majorBidi"/>
          <w:lang w:val="es-ES_tradnl"/>
        </w:rPr>
        <w:tab/>
        <w:t>que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 BS.1771, «Requisitos de los medidores de sonoridad y de valores de cresta reales», especifica los requisitos de los medidores de sonoridad que utilizan los algoritmos indicados en la Recomendación UIT</w:t>
      </w:r>
      <w:r w:rsidRPr="003D37C3">
        <w:rPr>
          <w:rFonts w:asciiTheme="majorBidi" w:hAnsiTheme="majorBidi" w:cstheme="majorBidi"/>
          <w:lang w:val="es-ES_tradnl"/>
        </w:rPr>
        <w:noBreakHyphen/>
        <w:t>R BS.1770, permitiendo de esa manera el uso en todo el mundo de los medidores de sonoridad que se comportan de manera coherente y proporcionan una indicación fiable de la sonoridad en el mismo programa, independientemente de su contenido,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lastRenderedPageBreak/>
        <w:t>considerando además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la distribución de señales sonoras de radiodifusión por Internet ha evolucionado en la última década hacia la interoperatividad y la normalización;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b)</w:t>
      </w:r>
      <w:r w:rsidRPr="003D37C3">
        <w:rPr>
          <w:rFonts w:asciiTheme="majorBidi" w:hAnsiTheme="majorBidi" w:cstheme="majorBidi"/>
          <w:lang w:val="es-ES_tradnl"/>
        </w:rPr>
        <w:tab/>
        <w:t>que se ha logrado la interoperatividad de varios códecs audio ampliamente utilizados;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c)</w:t>
      </w:r>
      <w:r w:rsidRPr="003D37C3">
        <w:rPr>
          <w:rFonts w:asciiTheme="majorBidi" w:hAnsiTheme="majorBidi" w:cstheme="majorBidi"/>
          <w:lang w:val="es-ES_tradnl"/>
        </w:rPr>
        <w:tab/>
        <w:t>que los radiodifusores que recurren a la distribución por Internet tratan de lograr una transmisión de audio de alta calidad para la audiencia de sonido de radiodifusión;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d)</w:t>
      </w:r>
      <w:r w:rsidRPr="003D37C3">
        <w:rPr>
          <w:rFonts w:asciiTheme="majorBidi" w:hAnsiTheme="majorBidi" w:cstheme="majorBidi"/>
          <w:lang w:val="es-ES_tradnl"/>
        </w:rPr>
        <w:tab/>
        <w:t>que la coherencia en la calidad sonora, comprendidas las características de nivel de sonoridad, aún no se ha armonizado a escala mundial utilizando plataformas de distribución por Internet,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i w:val="0"/>
          <w:iCs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decide </w:t>
      </w:r>
      <w:r w:rsidRPr="003D37C3">
        <w:rPr>
          <w:rFonts w:asciiTheme="majorBidi" w:hAnsiTheme="majorBidi" w:cstheme="majorBidi"/>
          <w:i w:val="0"/>
          <w:iCs/>
          <w:lang w:val="es-ES_tradnl"/>
        </w:rPr>
        <w:t>que se estudien las siguientes Cuestiones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1</w:t>
      </w:r>
      <w:r w:rsidRPr="003D37C3">
        <w:rPr>
          <w:rFonts w:asciiTheme="majorBidi" w:hAnsiTheme="majorBidi" w:cstheme="majorBidi"/>
          <w:lang w:val="es-ES_tradnl"/>
        </w:rPr>
        <w:tab/>
        <w:t>¿Qué prácticas operativas pueden armonizarse a escala mundial para lograr una calidad sonora coherente, comprendidas las características de nivel de sonoridad, en plataformas de distribución por Internet a escala internacional?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2</w:t>
      </w:r>
      <w:r w:rsidRPr="003D37C3">
        <w:rPr>
          <w:rFonts w:asciiTheme="majorBidi" w:hAnsiTheme="majorBidi" w:cstheme="majorBidi"/>
          <w:lang w:val="es-ES_tradnl"/>
        </w:rPr>
        <w:tab/>
        <w:t>¿Qué parámetros de sonido, comprendidas las características de nivel de sonoridad, deben utilizase para garantizar con precisión y coherencia la calidad de sonido, comprendidas las características de nivel de sonoridad, de los diferentes dispositivos de usuario?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3</w:t>
      </w:r>
      <w:r w:rsidRPr="003D37C3">
        <w:rPr>
          <w:rFonts w:asciiTheme="majorBidi" w:hAnsiTheme="majorBidi" w:cstheme="majorBidi"/>
          <w:lang w:val="es-ES_tradnl"/>
        </w:rPr>
        <w:tab/>
        <w:t>¿Qué aspectos deben considerar los radiodifusores en relación con las condiciones de escucha del usuario final en diversos entornos?</w:t>
      </w:r>
    </w:p>
    <w:p w:rsidR="003D37C3" w:rsidRPr="003D37C3" w:rsidRDefault="003D37C3" w:rsidP="003D37C3">
      <w:pPr>
        <w:pStyle w:val="Call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decide además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1</w:t>
      </w:r>
      <w:r w:rsidRPr="003D37C3">
        <w:rPr>
          <w:rFonts w:asciiTheme="majorBidi" w:hAnsiTheme="majorBidi" w:cstheme="majorBidi"/>
          <w:lang w:val="es-ES_tradnl"/>
        </w:rPr>
        <w:tab/>
        <w:t>que los resultados de los mencionados estudios se incluyan en una o varias Recomendaciones;</w:t>
      </w:r>
    </w:p>
    <w:p w:rsidR="003D37C3" w:rsidRPr="003D37C3" w:rsidRDefault="003D37C3" w:rsidP="003D37C3">
      <w:pPr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2</w:t>
      </w:r>
      <w:r w:rsidRPr="003D37C3">
        <w:rPr>
          <w:rFonts w:asciiTheme="majorBidi" w:hAnsiTheme="majorBidi" w:cstheme="majorBidi"/>
          <w:lang w:val="es-ES_tradnl"/>
        </w:rPr>
        <w:tab/>
        <w:t>que los anteriores estudios se terminen antes de 2019.</w:t>
      </w:r>
    </w:p>
    <w:p w:rsidR="003D37C3" w:rsidRPr="003D37C3" w:rsidRDefault="003D37C3" w:rsidP="003D37C3">
      <w:pPr>
        <w:spacing w:before="84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Categoría: S2</w:t>
      </w:r>
    </w:p>
    <w:p w:rsidR="003D37C3" w:rsidRPr="003D37C3" w:rsidRDefault="003D37C3" w:rsidP="003D37C3">
      <w:pPr>
        <w:rPr>
          <w:lang w:val="es-ES_tradnl"/>
        </w:rPr>
      </w:pPr>
      <w:r w:rsidRPr="003D37C3">
        <w:rPr>
          <w:lang w:val="es-ES_tradnl"/>
        </w:rPr>
        <w:br w:type="page"/>
      </w:r>
    </w:p>
    <w:p w:rsidR="003D37C3" w:rsidRPr="003D37C3" w:rsidRDefault="003D37C3" w:rsidP="003D37C3">
      <w:pPr>
        <w:pStyle w:val="AnnexNotitle0"/>
        <w:rPr>
          <w:rFonts w:asciiTheme="minorHAnsi" w:hAnsiTheme="minorHAnsi" w:cstheme="minorHAnsi"/>
          <w:szCs w:val="28"/>
          <w:lang w:val="es-ES_tradnl"/>
        </w:rPr>
      </w:pPr>
      <w:r w:rsidRPr="003D37C3">
        <w:rPr>
          <w:rFonts w:asciiTheme="minorHAnsi" w:hAnsiTheme="minorHAnsi" w:cstheme="minorHAnsi"/>
          <w:szCs w:val="28"/>
          <w:lang w:val="es-ES_tradnl"/>
        </w:rPr>
        <w:lastRenderedPageBreak/>
        <w:t>Anexo 2</w:t>
      </w:r>
    </w:p>
    <w:p w:rsidR="003D37C3" w:rsidRPr="003D37C3" w:rsidRDefault="003D37C3" w:rsidP="003D37C3">
      <w:pPr>
        <w:jc w:val="center"/>
        <w:rPr>
          <w:rFonts w:asciiTheme="minorHAnsi" w:hAnsiTheme="minorHAnsi"/>
          <w:szCs w:val="24"/>
          <w:lang w:val="es-ES_tradnl"/>
        </w:rPr>
      </w:pPr>
      <w:r w:rsidRPr="003D37C3">
        <w:rPr>
          <w:rFonts w:asciiTheme="minorHAnsi" w:hAnsiTheme="minorHAnsi"/>
          <w:szCs w:val="24"/>
          <w:lang w:val="es-ES_tradnl"/>
        </w:rPr>
        <w:t xml:space="preserve">(Documento </w:t>
      </w:r>
      <w:hyperlink r:id="rId10" w:history="1">
        <w:r w:rsidRPr="003D37C3">
          <w:rPr>
            <w:rStyle w:val="Hyperlink"/>
            <w:szCs w:val="24"/>
            <w:lang w:val="es-ES_tradnl"/>
          </w:rPr>
          <w:t>6/419</w:t>
        </w:r>
      </w:hyperlink>
      <w:r w:rsidRPr="003D37C3">
        <w:rPr>
          <w:rFonts w:asciiTheme="minorHAnsi" w:hAnsiTheme="minorHAnsi"/>
          <w:szCs w:val="24"/>
          <w:lang w:val="es-ES_tradnl"/>
        </w:rPr>
        <w:t>)</w:t>
      </w:r>
    </w:p>
    <w:p w:rsidR="003D37C3" w:rsidRPr="003D37C3" w:rsidRDefault="003D37C3" w:rsidP="003D37C3">
      <w:pPr>
        <w:pStyle w:val="QuestionNoBR"/>
        <w:rPr>
          <w:rFonts w:asciiTheme="majorBidi" w:hAnsiTheme="majorBidi" w:cstheme="majorBidi"/>
        </w:rPr>
      </w:pPr>
      <w:r w:rsidRPr="003D37C3">
        <w:rPr>
          <w:rFonts w:asciiTheme="majorBidi" w:hAnsiTheme="majorBidi" w:cstheme="majorBidi"/>
        </w:rPr>
        <w:t>PROYECTO DE NUEVA CUESTIÓN UIT-R BT.[HDR-TV]</w:t>
      </w:r>
    </w:p>
    <w:p w:rsidR="003D37C3" w:rsidRPr="003D37C3" w:rsidRDefault="003D37C3" w:rsidP="003D37C3">
      <w:pPr>
        <w:pStyle w:val="Question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Sistemas de televisión de elevada gama dinámica para radiodifusión</w:t>
      </w:r>
    </w:p>
    <w:p w:rsidR="003D37C3" w:rsidRPr="003D37C3" w:rsidRDefault="003D37C3" w:rsidP="003D37C3">
      <w:pPr>
        <w:pStyle w:val="Normalaftertitle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La Asamblea de Radiocomunicaciones de la UIT,</w:t>
      </w:r>
    </w:p>
    <w:p w:rsidR="003D37C3" w:rsidRPr="003D37C3" w:rsidRDefault="003D37C3" w:rsidP="003D37C3">
      <w:pPr>
        <w:pStyle w:val="Call"/>
        <w:spacing w:before="12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considerando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/>
        </w:rPr>
        <w:t>a)</w:t>
      </w:r>
      <w:r w:rsidRPr="003D37C3">
        <w:rPr>
          <w:rFonts w:asciiTheme="majorBidi" w:hAnsiTheme="majorBidi" w:cstheme="majorBidi"/>
          <w:lang w:val="es-ES_tradnl"/>
        </w:rPr>
        <w:tab/>
        <w:t>que los sistemas de radiodifusión de televisión para la televisión de definición normal (</w:t>
      </w:r>
      <w:r w:rsidRPr="003D37C3">
        <w:rPr>
          <w:rFonts w:asciiTheme="majorBidi" w:hAnsiTheme="majorBidi" w:cstheme="majorBidi"/>
          <w:lang w:val="es-ES_tradnl" w:eastAsia="ko-KR"/>
        </w:rPr>
        <w:t>TVDN), televisión de alta definición (TVAD) y televisión de ultraalta definición (TVUAD) se especifican en las Recomendaciones UIT-R BT.601, BT.709 y BT.2020</w:t>
      </w:r>
      <w:r w:rsidRPr="003D37C3">
        <w:rPr>
          <w:rFonts w:asciiTheme="majorBidi" w:hAnsiTheme="majorBidi" w:cstheme="majorBidi"/>
          <w:lang w:val="es-ES_tradnl"/>
        </w:rPr>
        <w:t>;</w:t>
      </w:r>
    </w:p>
    <w:p w:rsidR="003D37C3" w:rsidRPr="003D37C3" w:rsidRDefault="003D37C3" w:rsidP="003D37C3">
      <w:pPr>
        <w:spacing w:before="120"/>
        <w:rPr>
          <w:rFonts w:asciiTheme="majorBidi" w:eastAsia="MS Mincho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iCs/>
          <w:lang w:val="es-ES_tradnl" w:eastAsia="zh-CN"/>
        </w:rPr>
        <w:t>b)</w:t>
      </w:r>
      <w:r w:rsidRPr="003D37C3">
        <w:rPr>
          <w:rFonts w:asciiTheme="majorBidi" w:hAnsiTheme="majorBidi" w:cstheme="majorBidi"/>
          <w:i/>
          <w:iCs/>
          <w:lang w:val="es-ES_tradnl" w:eastAsia="zh-CN"/>
        </w:rPr>
        <w:tab/>
      </w:r>
      <w:r w:rsidRPr="003D37C3">
        <w:rPr>
          <w:rFonts w:asciiTheme="majorBidi" w:eastAsia="MS Mincho" w:hAnsiTheme="majorBidi" w:cstheme="majorBidi"/>
          <w:lang w:val="es-ES_tradnl"/>
        </w:rPr>
        <w:t>que las pantallas de televisión modernas son capaces de reproducir imágenes a mayores luminancias y mayor relación de contraste y una gama de colores más amplia (WCG) que los utilizados en la producción de programas convencional;</w:t>
      </w:r>
    </w:p>
    <w:p w:rsidR="003D37C3" w:rsidRPr="003D37C3" w:rsidRDefault="003D37C3" w:rsidP="004A258E">
      <w:pPr>
        <w:spacing w:before="120"/>
        <w:rPr>
          <w:rFonts w:asciiTheme="majorBidi" w:eastAsia="MS Mincho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lang w:val="es-ES_tradnl"/>
        </w:rPr>
        <w:t>c)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 xml:space="preserve">que aunque la </w:t>
      </w:r>
      <w:r w:rsidR="004A258E" w:rsidRPr="003D37C3">
        <w:rPr>
          <w:rFonts w:asciiTheme="majorBidi" w:hAnsiTheme="majorBidi" w:cstheme="majorBidi"/>
          <w:lang w:val="es-ES_tradnl" w:eastAsia="ko-KR"/>
        </w:rPr>
        <w:t>TVUAD</w:t>
      </w:r>
      <w:r w:rsidR="004A258E" w:rsidRPr="003D37C3">
        <w:rPr>
          <w:rFonts w:asciiTheme="majorBidi" w:hAnsiTheme="majorBidi" w:cstheme="majorBidi"/>
          <w:lang w:val="es-ES_tradnl" w:eastAsia="zh-CN"/>
        </w:rPr>
        <w:t xml:space="preserve"> </w:t>
      </w:r>
      <w:r w:rsidRPr="003D37C3">
        <w:rPr>
          <w:rFonts w:asciiTheme="majorBidi" w:hAnsiTheme="majorBidi" w:cstheme="majorBidi"/>
          <w:lang w:val="es-ES_tradnl" w:eastAsia="zh-CN"/>
        </w:rPr>
        <w:t xml:space="preserve">ofrece una mayor resolución espacial, una gama de colores más amplia y la opción de mayor velocidad de cuadros, la gama dinámica de imagen sigue estando limitada de manera similar a la </w:t>
      </w:r>
      <w:r w:rsidR="004A258E" w:rsidRPr="003D37C3">
        <w:rPr>
          <w:rFonts w:asciiTheme="majorBidi" w:hAnsiTheme="majorBidi" w:cstheme="majorBidi"/>
          <w:lang w:val="es-ES_tradnl" w:eastAsia="ko-KR"/>
        </w:rPr>
        <w:t>TVAD</w:t>
      </w:r>
      <w:r w:rsidR="004A258E" w:rsidRPr="003D37C3">
        <w:rPr>
          <w:rFonts w:asciiTheme="majorBidi" w:eastAsia="MS Mincho" w:hAnsiTheme="majorBidi" w:cstheme="majorBidi"/>
          <w:lang w:val="es-ES_tradnl"/>
        </w:rPr>
        <w:t xml:space="preserve"> </w:t>
      </w:r>
      <w:r w:rsidRPr="003D37C3">
        <w:rPr>
          <w:rFonts w:asciiTheme="majorBidi" w:eastAsia="MS Mincho" w:hAnsiTheme="majorBidi" w:cstheme="majorBidi"/>
          <w:lang w:val="es-ES_tradnl"/>
        </w:rPr>
        <w:t xml:space="preserve">y </w:t>
      </w:r>
      <w:r w:rsidR="004A258E" w:rsidRPr="003D37C3">
        <w:rPr>
          <w:rFonts w:asciiTheme="majorBidi" w:hAnsiTheme="majorBidi" w:cstheme="majorBidi"/>
          <w:lang w:val="es-ES_tradnl" w:eastAsia="ko-KR"/>
        </w:rPr>
        <w:t>TVDN</w:t>
      </w:r>
      <w:r w:rsidRPr="003D37C3">
        <w:rPr>
          <w:rFonts w:asciiTheme="majorBidi" w:eastAsia="MS Mincho" w:hAnsiTheme="majorBidi" w:cstheme="majorBidi"/>
          <w:lang w:val="es-ES_tradnl"/>
        </w:rPr>
        <w:t>;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d)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>que los sistemas de televisión de elevada gama dinámica (HDR-TV) se han concebido para reproducir imágenes de luminancia considerablemente más grande y mayor relación de contraste;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iCs/>
          <w:lang w:val="es-ES_tradnl" w:eastAsia="zh-CN"/>
        </w:rPr>
        <w:t>e)</w:t>
      </w:r>
      <w:r w:rsidRPr="003D37C3">
        <w:rPr>
          <w:rFonts w:asciiTheme="majorBidi" w:hAnsiTheme="majorBidi" w:cstheme="majorBidi"/>
          <w:iCs/>
          <w:lang w:val="es-ES_tradnl" w:eastAsia="zh-CN"/>
        </w:rPr>
        <w:tab/>
        <w:t>que la HDR-TV mejora la experiencia visual del televidente de imágenes de televisión;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f)</w:t>
      </w:r>
      <w:r w:rsidRPr="003D37C3">
        <w:rPr>
          <w:rFonts w:asciiTheme="majorBidi" w:hAnsiTheme="majorBidi" w:cstheme="majorBidi"/>
          <w:i/>
          <w:lang w:val="es-ES_tradnl" w:eastAsia="zh-CN"/>
        </w:rPr>
        <w:tab/>
      </w:r>
      <w:r w:rsidRPr="003D37C3">
        <w:rPr>
          <w:rFonts w:asciiTheme="majorBidi" w:hAnsiTheme="majorBidi" w:cstheme="majorBidi"/>
          <w:lang w:val="es-ES_tradnl" w:eastAsia="zh-CN"/>
        </w:rPr>
        <w:t>que muchos programas de televisión se seguirán produciendo, intercambiando y viendo en la gama dinámica de imagen normal de TVDN, TVAD y TVUAD;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i/>
          <w:lang w:val="es-ES_tradnl" w:eastAsia="zh-CN"/>
        </w:rPr>
        <w:t>g)</w:t>
      </w:r>
      <w:r w:rsidRPr="003D37C3">
        <w:rPr>
          <w:rFonts w:asciiTheme="majorBidi" w:hAnsiTheme="majorBidi" w:cstheme="majorBidi"/>
          <w:lang w:val="es-ES_tradnl" w:eastAsia="zh-CN"/>
        </w:rPr>
        <w:tab/>
        <w:t>que conviene que los sistemas de HDR-TV tengan, según proceda, mayor compatibilidad con los actuales flujos de trabajo existentes y la infraestructura del radiodifusor,</w:t>
      </w:r>
    </w:p>
    <w:p w:rsidR="003D37C3" w:rsidRPr="003D37C3" w:rsidRDefault="003D37C3" w:rsidP="003D37C3">
      <w:pPr>
        <w:pStyle w:val="Call"/>
        <w:spacing w:before="12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 xml:space="preserve">decide </w:t>
      </w:r>
      <w:r w:rsidRPr="003D37C3">
        <w:rPr>
          <w:rFonts w:asciiTheme="majorBidi" w:hAnsiTheme="majorBidi" w:cstheme="majorBidi"/>
          <w:i w:val="0"/>
          <w:iCs/>
          <w:lang w:val="es-ES_tradnl"/>
        </w:rPr>
        <w:t>que se estudien las siguientes cuestiones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1</w:t>
      </w:r>
      <w:r w:rsidRPr="003D37C3">
        <w:rPr>
          <w:rFonts w:asciiTheme="majorBidi" w:hAnsiTheme="majorBidi" w:cstheme="majorBidi"/>
          <w:lang w:val="es-ES_tradnl" w:eastAsia="zh-CN"/>
        </w:rPr>
        <w:tab/>
        <w:t>¿Cuáles son los valores adecuados de los parámetros de los sistemas de HDR-TV para la producción e intercambio internacional de programas?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2</w:t>
      </w:r>
      <w:r w:rsidRPr="003D37C3">
        <w:rPr>
          <w:rFonts w:asciiTheme="majorBidi" w:hAnsiTheme="majorBidi" w:cstheme="majorBidi"/>
          <w:lang w:val="es-ES_tradnl" w:eastAsia="zh-CN"/>
        </w:rPr>
        <w:tab/>
        <w:t>¿Qué método de producción y formatos para la distribución al consumidor permitiría obtener mayor compatibilidad con la mayoría de los aparatos de televisión disponibles actualmente en los hogares de los televidentes?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3</w:t>
      </w:r>
      <w:r w:rsidRPr="003D37C3">
        <w:rPr>
          <w:rFonts w:asciiTheme="majorBidi" w:hAnsiTheme="majorBidi" w:cstheme="majorBidi"/>
          <w:lang w:val="es-ES_tradnl" w:eastAsia="zh-CN"/>
        </w:rPr>
        <w:tab/>
        <w:t>¿Qué conjunto de condiciones de visualización debe suponerse para el consumidor televidente de programas de HDR-TV?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4</w:t>
      </w:r>
      <w:r w:rsidRPr="003D37C3">
        <w:rPr>
          <w:rFonts w:asciiTheme="majorBidi" w:hAnsiTheme="majorBidi" w:cstheme="majorBidi"/>
          <w:lang w:val="es-ES_tradnl" w:eastAsia="zh-CN"/>
        </w:rPr>
        <w:tab/>
        <w:t>¿Qué relación científicamente probada existe en los entornos de visión doméstica entre el valor de la gama dinámica de la imagen y la experiencia visual del consumidor?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5</w:t>
      </w:r>
      <w:r w:rsidRPr="003D37C3">
        <w:rPr>
          <w:rFonts w:asciiTheme="majorBidi" w:hAnsiTheme="majorBidi" w:cstheme="majorBidi"/>
          <w:lang w:val="es-ES_tradnl" w:eastAsia="zh-CN"/>
        </w:rPr>
        <w:tab/>
        <w:t>¿Qué prácticas operativas deben recomendarse a fin de que los televidentes en el hogar no perciban molestas diferencias de calidad de la imagen de televisión en las transiciones entre programas HDR-TV y programas de televisión de gama dinámica convencional?</w:t>
      </w:r>
    </w:p>
    <w:p w:rsidR="00D95741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t>6</w:t>
      </w:r>
      <w:r w:rsidRPr="003D37C3">
        <w:rPr>
          <w:rFonts w:asciiTheme="majorBidi" w:hAnsiTheme="majorBidi" w:cstheme="majorBidi"/>
          <w:lang w:val="es-ES_tradnl" w:eastAsia="zh-CN"/>
        </w:rPr>
        <w:tab/>
        <w:t>¿Cómo se prevé llevar a cabo la futura migración de los servicios de televisión actuales a los futuros servicios HDR</w:t>
      </w:r>
      <w:r w:rsidRPr="003D37C3">
        <w:rPr>
          <w:rFonts w:asciiTheme="majorBidi" w:hAnsiTheme="majorBidi" w:cstheme="majorBidi"/>
          <w:lang w:val="es-ES_tradnl" w:eastAsia="zh-CN"/>
        </w:rPr>
        <w:noBreakHyphen/>
        <w:t>TV?</w:t>
      </w:r>
    </w:p>
    <w:p w:rsidR="00D95741" w:rsidRDefault="00D957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lang w:val="es-ES_tradnl" w:eastAsia="zh-CN"/>
        </w:rPr>
      </w:pPr>
      <w:r>
        <w:rPr>
          <w:rFonts w:asciiTheme="majorBidi" w:hAnsiTheme="majorBidi" w:cstheme="majorBidi"/>
          <w:lang w:val="es-ES_tradnl" w:eastAsia="zh-CN"/>
        </w:rPr>
        <w:br w:type="page"/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bCs/>
          <w:lang w:val="es-ES_tradnl" w:eastAsia="zh-CN"/>
        </w:rPr>
        <w:lastRenderedPageBreak/>
        <w:t>7</w:t>
      </w:r>
      <w:r w:rsidRPr="003D37C3">
        <w:rPr>
          <w:rFonts w:asciiTheme="majorBidi" w:hAnsiTheme="majorBidi" w:cstheme="majorBidi"/>
          <w:lang w:val="es-ES_tradnl" w:eastAsia="zh-CN"/>
        </w:rPr>
        <w:tab/>
        <w:t>¿Qué métodos se deberían utilizar para la evaluación subjetiva de la calidad de la imagen de HDR-TV?</w:t>
      </w:r>
    </w:p>
    <w:p w:rsidR="003D37C3" w:rsidRPr="003D37C3" w:rsidRDefault="003D37C3" w:rsidP="003D37C3">
      <w:pPr>
        <w:pStyle w:val="Call"/>
        <w:spacing w:before="120"/>
        <w:rPr>
          <w:rFonts w:asciiTheme="majorBidi" w:hAnsiTheme="majorBidi" w:cstheme="majorBidi"/>
          <w:lang w:val="es-ES_tradnl"/>
        </w:rPr>
      </w:pPr>
      <w:r w:rsidRPr="003D37C3">
        <w:rPr>
          <w:rFonts w:asciiTheme="majorBidi" w:hAnsiTheme="majorBidi" w:cstheme="majorBidi"/>
          <w:lang w:val="es-ES_tradnl"/>
        </w:rPr>
        <w:t>decide además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lang w:val="es-ES_tradnl" w:eastAsia="zh-CN"/>
        </w:rPr>
        <w:t>1</w:t>
      </w:r>
      <w:r w:rsidRPr="003D37C3">
        <w:rPr>
          <w:rFonts w:asciiTheme="majorBidi" w:hAnsiTheme="majorBidi" w:cstheme="majorBidi"/>
          <w:lang w:val="es-ES_tradnl" w:eastAsia="zh-CN"/>
        </w:rPr>
        <w:tab/>
        <w:t>que los resultados de los mencionados estudios se incluyan en una o varias Recomendaciones o Informes;</w:t>
      </w:r>
    </w:p>
    <w:p w:rsidR="003D37C3" w:rsidRPr="003D37C3" w:rsidRDefault="003D37C3" w:rsidP="003D37C3">
      <w:pPr>
        <w:spacing w:before="120"/>
        <w:rPr>
          <w:rFonts w:asciiTheme="majorBidi" w:hAnsiTheme="majorBidi" w:cstheme="majorBidi"/>
          <w:lang w:val="es-ES_tradnl" w:eastAsia="zh-CN"/>
        </w:rPr>
      </w:pPr>
      <w:r w:rsidRPr="003D37C3">
        <w:rPr>
          <w:rFonts w:asciiTheme="majorBidi" w:hAnsiTheme="majorBidi" w:cstheme="majorBidi"/>
          <w:lang w:val="es-ES_tradnl" w:eastAsia="zh-CN"/>
        </w:rPr>
        <w:t>2</w:t>
      </w:r>
      <w:r w:rsidRPr="003D37C3">
        <w:rPr>
          <w:rFonts w:asciiTheme="majorBidi" w:hAnsiTheme="majorBidi" w:cstheme="majorBidi"/>
          <w:lang w:val="es-ES_tradnl" w:eastAsia="zh-CN"/>
        </w:rPr>
        <w:tab/>
        <w:t xml:space="preserve">que los anteriores estudios se </w:t>
      </w:r>
      <w:r w:rsidRPr="003D37C3">
        <w:rPr>
          <w:rFonts w:asciiTheme="majorBidi" w:hAnsiTheme="majorBidi" w:cstheme="majorBidi"/>
          <w:lang w:val="es-ES_tradnl"/>
        </w:rPr>
        <w:t xml:space="preserve">terminen </w:t>
      </w:r>
      <w:r w:rsidRPr="003D37C3">
        <w:rPr>
          <w:rFonts w:asciiTheme="majorBidi" w:hAnsiTheme="majorBidi" w:cstheme="majorBidi"/>
          <w:lang w:val="es-ES_tradnl" w:eastAsia="zh-CN"/>
        </w:rPr>
        <w:t>antes de 2017.</w:t>
      </w:r>
    </w:p>
    <w:p w:rsidR="003D37C3" w:rsidRPr="00D95741" w:rsidRDefault="003D37C3" w:rsidP="00D95741">
      <w:pPr>
        <w:spacing w:before="480"/>
        <w:rPr>
          <w:rFonts w:asciiTheme="majorBidi" w:hAnsiTheme="majorBidi" w:cstheme="majorBidi"/>
          <w:lang w:val="es-ES_tradnl"/>
        </w:rPr>
      </w:pPr>
      <w:r w:rsidRPr="00D95741">
        <w:rPr>
          <w:rFonts w:asciiTheme="majorBidi" w:hAnsiTheme="majorBidi" w:cstheme="majorBidi"/>
          <w:lang w:val="es-ES_tradnl"/>
        </w:rPr>
        <w:t>Categoría: S1</w:t>
      </w:r>
    </w:p>
    <w:p w:rsidR="003D37C3" w:rsidRPr="003D37C3" w:rsidRDefault="003D37C3" w:rsidP="003D37C3">
      <w:pPr>
        <w:rPr>
          <w:lang w:val="es-ES_tradnl"/>
        </w:rPr>
      </w:pPr>
      <w:r w:rsidRPr="003D37C3">
        <w:rPr>
          <w:lang w:val="es-ES_tradnl"/>
        </w:rPr>
        <w:br w:type="page"/>
      </w:r>
    </w:p>
    <w:p w:rsidR="003D37C3" w:rsidRPr="00C0595B" w:rsidRDefault="003D37C3" w:rsidP="003D37C3">
      <w:pPr>
        <w:pStyle w:val="AnnexNotitle0"/>
        <w:spacing w:before="0" w:after="80"/>
        <w:rPr>
          <w:rFonts w:ascii="Calibri" w:hAnsi="Calibri" w:cstheme="minorHAnsi"/>
          <w:szCs w:val="28"/>
          <w:lang w:val="es-ES_tradnl"/>
        </w:rPr>
      </w:pPr>
      <w:r w:rsidRPr="00C0595B">
        <w:rPr>
          <w:rFonts w:ascii="Calibri" w:hAnsi="Calibri" w:cstheme="minorHAnsi"/>
          <w:szCs w:val="28"/>
          <w:lang w:val="es-ES_tradnl"/>
        </w:rPr>
        <w:lastRenderedPageBreak/>
        <w:t>Anexo 3</w:t>
      </w:r>
    </w:p>
    <w:p w:rsidR="003D37C3" w:rsidRPr="009908B6" w:rsidRDefault="003D37C3" w:rsidP="003D37C3">
      <w:pPr>
        <w:jc w:val="center"/>
        <w:rPr>
          <w:szCs w:val="24"/>
          <w:lang w:val="es-ES_tradnl"/>
        </w:rPr>
      </w:pPr>
      <w:r w:rsidRPr="009908B6">
        <w:rPr>
          <w:szCs w:val="24"/>
          <w:lang w:val="es-ES_tradnl"/>
        </w:rPr>
        <w:t xml:space="preserve">(Origen: Documentos </w:t>
      </w:r>
      <w:hyperlink r:id="rId11" w:history="1">
        <w:r w:rsidRPr="009908B6">
          <w:rPr>
            <w:rStyle w:val="Hyperlink"/>
            <w:szCs w:val="24"/>
            <w:lang w:val="es-ES_tradnl"/>
          </w:rPr>
          <w:t>6/414</w:t>
        </w:r>
      </w:hyperlink>
      <w:r w:rsidRPr="009908B6">
        <w:rPr>
          <w:szCs w:val="24"/>
          <w:lang w:val="es-ES_tradnl"/>
        </w:rPr>
        <w:t xml:space="preserve">, </w:t>
      </w:r>
      <w:hyperlink r:id="rId12" w:history="1">
        <w:r w:rsidRPr="009908B6">
          <w:rPr>
            <w:rStyle w:val="Hyperlink"/>
            <w:szCs w:val="24"/>
            <w:lang w:val="es-ES_tradnl"/>
          </w:rPr>
          <w:t>6/434</w:t>
        </w:r>
      </w:hyperlink>
      <w:r w:rsidRPr="009908B6">
        <w:rPr>
          <w:szCs w:val="24"/>
          <w:lang w:val="es-ES_tradnl"/>
        </w:rPr>
        <w:t xml:space="preserve"> y </w:t>
      </w:r>
      <w:hyperlink r:id="rId13" w:history="1">
        <w:r w:rsidRPr="009908B6">
          <w:rPr>
            <w:rStyle w:val="Hyperlink"/>
            <w:szCs w:val="24"/>
            <w:lang w:val="es-ES_tradnl"/>
          </w:rPr>
          <w:t>6/452</w:t>
        </w:r>
      </w:hyperlink>
      <w:r w:rsidRPr="009908B6">
        <w:rPr>
          <w:szCs w:val="24"/>
          <w:lang w:val="es-ES_tradnl"/>
        </w:rPr>
        <w:t>)</w:t>
      </w:r>
    </w:p>
    <w:p w:rsidR="003D37C3" w:rsidRPr="00C0595B" w:rsidRDefault="003D37C3" w:rsidP="003D37C3">
      <w:pPr>
        <w:pStyle w:val="Annextitle"/>
        <w:spacing w:before="120" w:after="120"/>
        <w:rPr>
          <w:rFonts w:ascii="Calibri" w:hAnsi="Calibri"/>
          <w:sz w:val="28"/>
          <w:szCs w:val="28"/>
          <w:lang w:val="es-ES_tradnl"/>
        </w:rPr>
      </w:pPr>
      <w:r w:rsidRPr="00C0595B">
        <w:rPr>
          <w:rFonts w:ascii="Calibri" w:hAnsi="Calibri"/>
          <w:sz w:val="28"/>
          <w:szCs w:val="28"/>
          <w:lang w:val="es-ES_tradnl"/>
        </w:rPr>
        <w:t>Cuestiones cuya supresión se propone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00"/>
      </w:tblGrid>
      <w:tr w:rsidR="003D37C3" w:rsidRPr="003D37C3" w:rsidTr="008952AB">
        <w:trPr>
          <w:jc w:val="center"/>
        </w:trPr>
        <w:tc>
          <w:tcPr>
            <w:tcW w:w="1129" w:type="dxa"/>
            <w:vAlign w:val="center"/>
          </w:tcPr>
          <w:p w:rsidR="003D37C3" w:rsidRPr="003D37C3" w:rsidRDefault="003D37C3" w:rsidP="008952AB">
            <w:pPr>
              <w:pStyle w:val="Tablehead"/>
              <w:rPr>
                <w:lang w:val="es-ES_tradnl"/>
              </w:rPr>
            </w:pPr>
            <w:r w:rsidRPr="003D37C3">
              <w:rPr>
                <w:lang w:val="es-ES_tradnl"/>
              </w:rPr>
              <w:t>Cuestión UIT-R</w:t>
            </w:r>
          </w:p>
        </w:tc>
        <w:tc>
          <w:tcPr>
            <w:tcW w:w="8500" w:type="dxa"/>
            <w:vAlign w:val="center"/>
          </w:tcPr>
          <w:p w:rsidR="003D37C3" w:rsidRPr="003D37C3" w:rsidRDefault="003D37C3" w:rsidP="008952AB">
            <w:pPr>
              <w:pStyle w:val="Tablehead"/>
              <w:rPr>
                <w:lang w:val="es-ES_tradnl"/>
              </w:rPr>
            </w:pPr>
            <w:r w:rsidRPr="003D37C3">
              <w:rPr>
                <w:lang w:val="es-ES_tradnl"/>
              </w:rPr>
              <w:t>Título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4" w:history="1">
              <w:r w:rsidR="009908B6" w:rsidRPr="00052905">
                <w:rPr>
                  <w:rStyle w:val="Hyperlink"/>
                  <w:b/>
                  <w:lang w:eastAsia="ja-JP"/>
                </w:rPr>
                <w:t>4-2/6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Parámetros de planificación para la radiodifusión de televisión digital utilizando canales terrenales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5" w:history="1">
              <w:r w:rsidR="009908B6" w:rsidRPr="00052905">
                <w:rPr>
                  <w:rStyle w:val="Hyperlink"/>
                  <w:b/>
                  <w:lang w:eastAsia="ja-JP"/>
                </w:rPr>
                <w:t>14/6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Características necesarias de los receptores de televisión digital y analógico digital y de las antenas receptoras para la planificación de frecuencias de la radiodifusión de televisión terrenal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6" w:history="1">
              <w:r w:rsidR="009908B6" w:rsidRPr="00052905">
                <w:rPr>
                  <w:rStyle w:val="Hyperlink"/>
                  <w:b/>
                </w:rPr>
                <w:t>15-2/6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Imágenes digitales en pantalla grande (LSDI)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17" w:history="1">
              <w:r w:rsidR="009908B6" w:rsidRPr="00052905">
                <w:rPr>
                  <w:rStyle w:val="Hyperlink"/>
                  <w:b/>
                </w:rPr>
                <w:t>16-2/6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szCs w:val="20"/>
                <w:lang w:val="es-ES_tradnl" w:eastAsia="zh-CN"/>
              </w:rPr>
              <w:t>Sistemas de radiodifusión interactivos digitales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8" w:history="1">
              <w:r w:rsidR="009908B6" w:rsidRPr="00052905">
                <w:rPr>
                  <w:rStyle w:val="Hyperlink"/>
                  <w:b/>
                  <w:lang w:eastAsia="ja-JP"/>
                </w:rPr>
                <w:t>27/6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Receptores para radiodifusión sonora por debajo de 30 MHz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19" w:history="1">
              <w:r w:rsidR="009908B6" w:rsidRPr="00052905">
                <w:rPr>
                  <w:rStyle w:val="Hyperlink"/>
                  <w:b/>
                  <w:lang w:eastAsia="ja-JP"/>
                </w:rPr>
                <w:t>29/6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Transmisión de información suplementaria con un solo transmisor en radiodifusión sonora con modulación de frecuencia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0" w:history="1">
              <w:r w:rsidR="009908B6" w:rsidRPr="00052905">
                <w:rPr>
                  <w:rStyle w:val="Hyperlink"/>
                  <w:b/>
                  <w:lang w:eastAsia="ja-JP"/>
                </w:rPr>
                <w:t>46-1/6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Requisitos de usuario para los metadatos relacionados con la producción, postproducción, grabación y archivo de programas de radiodifusión sonora y televisión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1" w:history="1">
              <w:r w:rsidR="009908B6" w:rsidRPr="00052905">
                <w:rPr>
                  <w:rStyle w:val="Hyperlink"/>
                  <w:b/>
                  <w:lang w:eastAsia="ja-JP"/>
                </w:rPr>
                <w:t>48/6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Comprobación técnica en servicio de la calidad de audio percibida en las redes de distribución y radiodifusión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2" w:history="1">
              <w:r w:rsidR="009908B6" w:rsidRPr="00052905">
                <w:rPr>
                  <w:rStyle w:val="Hyperlink"/>
                  <w:b/>
                  <w:lang w:eastAsia="ja-JP"/>
                </w:rPr>
                <w:t>51/6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Recepción por onda ionosférica en radiodifusión (ondas kilométricas, hectométricas y decamétricas)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3" w:history="1">
              <w:r w:rsidR="009908B6" w:rsidRPr="00052905">
                <w:rPr>
                  <w:rStyle w:val="Hyperlink"/>
                  <w:b/>
                </w:rPr>
                <w:t>53/6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Normas para la transmisión de varios canales de sonido en un canal de televisión en radiodifusión terrenal o por satélite incluyendo la televisión de alta definición y los sistemas de televisión de definición perfeccionada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24" w:history="1">
              <w:r w:rsidR="009908B6" w:rsidRPr="00052905">
                <w:rPr>
                  <w:rStyle w:val="Hyperlink"/>
                  <w:b/>
                </w:rPr>
                <w:t>55/6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Evaluación subjetiva de la calidad del sonido en la radiodifusión que utiliza técnicas digitales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25" w:history="1">
              <w:r w:rsidR="009908B6" w:rsidRPr="00052905">
                <w:rPr>
                  <w:rStyle w:val="Hyperlink"/>
                  <w:b/>
                </w:rPr>
                <w:t>59-1/6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color w:val="000000"/>
                <w:lang w:val="es-ES_tradnl" w:eastAsia="zh-CN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Archivado de programas radiofónicos en radiodifusión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6" w:history="1">
              <w:r w:rsidR="009908B6" w:rsidRPr="00052905">
                <w:rPr>
                  <w:rStyle w:val="Hyperlink"/>
                  <w:b/>
                </w:rPr>
                <w:t>60/6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Radiodifusión digital a frecuencias inferiores a 30 MHz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27" w:history="1">
              <w:r w:rsidR="009908B6" w:rsidRPr="00052905">
                <w:rPr>
                  <w:rStyle w:val="Hyperlink"/>
                  <w:b/>
                </w:rPr>
                <w:t>64-1/6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Parámetros de planificación para la radiodifusión digital en frecuencias inferiores a 30 MHz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28" w:history="1">
              <w:r w:rsidR="009908B6" w:rsidRPr="00052905">
                <w:rPr>
                  <w:rStyle w:val="Hyperlink"/>
                  <w:b/>
                </w:rPr>
                <w:t>88/6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lang w:val="es-ES_tradnl" w:eastAsia="zh-CN"/>
              </w:rPr>
              <w:t>Evaluación subjetiva de las imágenes de televisión estereoscópica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29" w:history="1">
              <w:r w:rsidR="009908B6" w:rsidRPr="00052905">
                <w:rPr>
                  <w:rStyle w:val="Hyperlink"/>
                  <w:b/>
                </w:rPr>
                <w:t>89-1/6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Requisitos de usuario para el periodismo electrónico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30" w:history="1">
              <w:r w:rsidR="009908B6" w:rsidRPr="00052905">
                <w:rPr>
                  <w:rStyle w:val="Hyperlink"/>
                  <w:b/>
                </w:rPr>
                <w:t>93/6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Necesidades de frecuencias para periodismo electrónico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31" w:history="1">
              <w:r w:rsidR="009908B6" w:rsidRPr="00052905">
                <w:rPr>
                  <w:rStyle w:val="Hyperlink"/>
                  <w:b/>
                </w:rPr>
                <w:t>95/6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Utilización de la tecnología informática en las aplicaciones de radiodifusión de televisión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32" w:history="1">
              <w:r w:rsidR="009908B6" w:rsidRPr="00052905">
                <w:rPr>
                  <w:rStyle w:val="Hyperlink"/>
                  <w:b/>
                </w:rPr>
                <w:t>96-1/6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Requisitos de usuario en materia de gestión de medios de comunicación y protocolos de transferencia para la producción, grabación y archivo de programas de televisión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33" w:history="1">
              <w:r w:rsidR="009908B6" w:rsidRPr="00052905">
                <w:rPr>
                  <w:rStyle w:val="Hyperlink"/>
                  <w:b/>
                </w:rPr>
                <w:t>99/6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Relación entre la calidad, la metodología de evaluación de la calidad y el tipo de aplicación en un entorno multimedios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</w:rPr>
            </w:pPr>
            <w:hyperlink r:id="rId34" w:history="1">
              <w:r w:rsidR="009908B6" w:rsidRPr="00052905">
                <w:rPr>
                  <w:rStyle w:val="Hyperlink"/>
                  <w:b/>
                </w:rPr>
                <w:t>100/6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Niveles de calidad de las imágenes de televisión y multimedio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5" w:history="1">
              <w:r w:rsidR="009908B6" w:rsidRPr="00052905">
                <w:rPr>
                  <w:rStyle w:val="Hyperlink"/>
                  <w:b/>
                  <w:lang w:eastAsia="ja-JP"/>
                </w:rPr>
                <w:t>108/6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 w:eastAsia="ja-JP"/>
              </w:rPr>
            </w:pPr>
            <w:r w:rsidRPr="003D37C3">
              <w:rPr>
                <w:lang w:val="es-ES_tradnl"/>
              </w:rPr>
              <w:t>Radiodifusión sonora digital en la banda 7 (ondas decamétricas) en la Zona Tropical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6" w:history="1">
              <w:r w:rsidR="009908B6" w:rsidRPr="00052905">
                <w:rPr>
                  <w:rStyle w:val="Hyperlink"/>
                  <w:b/>
                  <w:lang w:eastAsia="ja-JP"/>
                </w:rPr>
                <w:t>112-1/6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lang w:val="es-ES_tradnl" w:eastAsia="zh-CN"/>
              </w:rPr>
              <w:t>Directrices sobre las funcionalidades de las instalaciones basadas en la utilización de servidores digitales para la grabación, archivo y reproducción de programas de radiodifusión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7" w:history="1">
              <w:r w:rsidR="009908B6" w:rsidRPr="00052905">
                <w:rPr>
                  <w:rStyle w:val="Hyperlink"/>
                  <w:b/>
                  <w:lang w:eastAsia="ja-JP"/>
                </w:rPr>
                <w:t>113/6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lang w:val="es-ES_tradnl" w:eastAsia="zh-CN"/>
              </w:rPr>
            </w:pPr>
            <w:r w:rsidRPr="003D37C3">
              <w:rPr>
                <w:rFonts w:eastAsia="SimSun"/>
                <w:lang w:val="es-ES_tradnl" w:eastAsia="zh-CN"/>
              </w:rPr>
              <w:t>Distribución de información interactiva dirigida a lugares de proyección de imágenes digitales en pantalla gigante, y procedente de los mismos, a través de sistemas de radiodifusión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8" w:history="1">
              <w:r w:rsidR="009908B6" w:rsidRPr="00052905">
                <w:rPr>
                  <w:rStyle w:val="Hyperlink"/>
                  <w:b/>
                  <w:lang w:eastAsia="ja-JP"/>
                </w:rPr>
                <w:t>121/6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color w:val="000000"/>
                <w:lang w:val="es-ES_tradnl" w:eastAsia="zh-CN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Utilización del espectro y requisitos de usuario para micrófonos inalámbricos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39" w:history="1">
              <w:r w:rsidR="009908B6" w:rsidRPr="00052905">
                <w:rPr>
                  <w:rStyle w:val="Hyperlink"/>
                  <w:b/>
                  <w:lang w:eastAsia="ja-JP"/>
                </w:rPr>
                <w:t>122/6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lang w:val="es-ES_tradnl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Métodos objetivos perceptivos para la medición de la calidad de audio</w:t>
            </w:r>
          </w:p>
        </w:tc>
      </w:tr>
      <w:tr w:rsidR="009908B6" w:rsidRPr="003D37C3" w:rsidTr="008952AB">
        <w:trPr>
          <w:jc w:val="center"/>
        </w:trPr>
        <w:tc>
          <w:tcPr>
            <w:tcW w:w="1129" w:type="dxa"/>
          </w:tcPr>
          <w:p w:rsidR="009908B6" w:rsidRPr="00202397" w:rsidRDefault="006C4C59" w:rsidP="009908B6">
            <w:pPr>
              <w:pStyle w:val="Tabletext"/>
              <w:jc w:val="center"/>
              <w:rPr>
                <w:b/>
                <w:lang w:eastAsia="ja-JP"/>
              </w:rPr>
            </w:pPr>
            <w:hyperlink r:id="rId40" w:history="1">
              <w:r w:rsidR="009908B6" w:rsidRPr="00052905">
                <w:rPr>
                  <w:rStyle w:val="Hyperlink"/>
                  <w:b/>
                  <w:lang w:eastAsia="ja-JP"/>
                </w:rPr>
                <w:t>123/6</w:t>
              </w:r>
            </w:hyperlink>
          </w:p>
        </w:tc>
        <w:tc>
          <w:tcPr>
            <w:tcW w:w="8500" w:type="dxa"/>
          </w:tcPr>
          <w:p w:rsidR="009908B6" w:rsidRPr="003D37C3" w:rsidRDefault="009908B6" w:rsidP="009908B6">
            <w:pPr>
              <w:pStyle w:val="Tabletext"/>
              <w:rPr>
                <w:rFonts w:eastAsia="SimSun"/>
                <w:color w:val="000000"/>
                <w:lang w:val="es-ES_tradnl" w:eastAsia="zh-CN"/>
              </w:rPr>
            </w:pPr>
            <w:r w:rsidRPr="003D37C3">
              <w:rPr>
                <w:rFonts w:eastAsia="SimSun"/>
                <w:color w:val="000000"/>
                <w:lang w:val="es-ES_tradnl" w:eastAsia="zh-CN"/>
              </w:rPr>
              <w:t>Planteamientos en la producción de programas a fin de mejorar la calidad de la imagen percibida de los programas de radiodifusión digital de TV de definición convencional y TVAD</w:t>
            </w:r>
          </w:p>
        </w:tc>
      </w:tr>
    </w:tbl>
    <w:p w:rsidR="009908B6" w:rsidRDefault="009908B6" w:rsidP="0032202E">
      <w:pPr>
        <w:pStyle w:val="Reasons"/>
      </w:pPr>
    </w:p>
    <w:p w:rsidR="009908B6" w:rsidRDefault="009908B6">
      <w:pPr>
        <w:jc w:val="center"/>
      </w:pPr>
      <w:r>
        <w:t>______________</w:t>
      </w:r>
    </w:p>
    <w:sectPr w:rsidR="009908B6" w:rsidSect="00031E64">
      <w:headerReference w:type="even" r:id="rId41"/>
      <w:headerReference w:type="default" r:id="rId42"/>
      <w:headerReference w:type="first" r:id="rId43"/>
      <w:footerReference w:type="first" r:id="rId4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2D7" w:rsidRDefault="007542D7">
      <w:r>
        <w:separator/>
      </w:r>
    </w:p>
  </w:endnote>
  <w:endnote w:type="continuationSeparator" w:id="0">
    <w:p w:rsidR="007542D7" w:rsidRDefault="007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430170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2D7" w:rsidRDefault="007542D7">
      <w:r>
        <w:t>____________________</w:t>
      </w:r>
    </w:p>
  </w:footnote>
  <w:footnote w:type="continuationSeparator" w:id="0">
    <w:p w:rsidR="007542D7" w:rsidRDefault="007542D7">
      <w:r>
        <w:continuationSeparator/>
      </w:r>
    </w:p>
  </w:footnote>
  <w:footnote w:id="1">
    <w:p w:rsidR="003D37C3" w:rsidRPr="006038E5" w:rsidRDefault="003D37C3" w:rsidP="003D37C3">
      <w:pPr>
        <w:pStyle w:val="FootnoteText"/>
        <w:rPr>
          <w:rFonts w:asciiTheme="majorBidi" w:hAnsiTheme="majorBidi" w:cstheme="majorBidi"/>
          <w:sz w:val="24"/>
          <w:szCs w:val="24"/>
          <w:lang w:val="es-ES_tradnl"/>
        </w:rPr>
      </w:pPr>
      <w:r w:rsidRPr="005A4779">
        <w:rPr>
          <w:rStyle w:val="FootnoteReference"/>
          <w:rFonts w:asciiTheme="majorBidi" w:hAnsiTheme="majorBidi" w:cstheme="majorBidi"/>
          <w:szCs w:val="18"/>
        </w:rPr>
        <w:footnoteRef/>
      </w:r>
      <w:r w:rsidRPr="00671959">
        <w:rPr>
          <w:lang w:val="es-ES_tradnl"/>
        </w:rPr>
        <w:tab/>
      </w:r>
      <w:r w:rsidRPr="005A4779">
        <w:rPr>
          <w:rFonts w:asciiTheme="majorBidi" w:hAnsiTheme="majorBidi" w:cstheme="majorBidi"/>
          <w:sz w:val="24"/>
          <w:szCs w:val="24"/>
          <w:lang w:val="es-ES_tradnl"/>
        </w:rPr>
        <w:t>Esta Cuestión debería señalarse a la atención de las Comisiones de Estudio 9 y 16 del UIT</w:t>
      </w:r>
      <w:r w:rsidRPr="005A4779">
        <w:rPr>
          <w:rFonts w:asciiTheme="majorBidi" w:hAnsiTheme="majorBidi" w:cstheme="majorBidi"/>
          <w:sz w:val="24"/>
          <w:szCs w:val="24"/>
          <w:lang w:val="es-ES_tradnl"/>
        </w:rPr>
        <w:noBreakHyphen/>
        <w:t>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7542D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C4C5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7542D7" w:rsidRDefault="007542D7" w:rsidP="007542D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C4C59">
      <w:rPr>
        <w:rStyle w:val="PageNumber"/>
        <w:noProof/>
        <w:sz w:val="18"/>
        <w:szCs w:val="16"/>
      </w:rPr>
      <w:t>7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542D7"/>
    <w:rsid w:val="00006A31"/>
    <w:rsid w:val="00006C82"/>
    <w:rsid w:val="00010E30"/>
    <w:rsid w:val="00015C76"/>
    <w:rsid w:val="00026CF8"/>
    <w:rsid w:val="00030BD7"/>
    <w:rsid w:val="00031E64"/>
    <w:rsid w:val="00033ADD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74EA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9D2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7C3"/>
    <w:rsid w:val="003D4A69"/>
    <w:rsid w:val="003E504F"/>
    <w:rsid w:val="003E78D6"/>
    <w:rsid w:val="00400573"/>
    <w:rsid w:val="004007A3"/>
    <w:rsid w:val="00406D71"/>
    <w:rsid w:val="00430170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58E"/>
    <w:rsid w:val="004A4496"/>
    <w:rsid w:val="004A5F47"/>
    <w:rsid w:val="004B11AB"/>
    <w:rsid w:val="004B7C9A"/>
    <w:rsid w:val="004C1CE0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A91"/>
    <w:rsid w:val="0057325A"/>
    <w:rsid w:val="0057469A"/>
    <w:rsid w:val="00580814"/>
    <w:rsid w:val="00583A0B"/>
    <w:rsid w:val="005A03A3"/>
    <w:rsid w:val="005A2B92"/>
    <w:rsid w:val="005A3F66"/>
    <w:rsid w:val="005A4779"/>
    <w:rsid w:val="005A79E9"/>
    <w:rsid w:val="005B214C"/>
    <w:rsid w:val="005B4CDA"/>
    <w:rsid w:val="005D3669"/>
    <w:rsid w:val="005E5EB3"/>
    <w:rsid w:val="005F3CB6"/>
    <w:rsid w:val="005F657C"/>
    <w:rsid w:val="00602D53"/>
    <w:rsid w:val="006038E5"/>
    <w:rsid w:val="006047E5"/>
    <w:rsid w:val="0064371D"/>
    <w:rsid w:val="00650543"/>
    <w:rsid w:val="00650B2A"/>
    <w:rsid w:val="00651777"/>
    <w:rsid w:val="006550F8"/>
    <w:rsid w:val="006829F3"/>
    <w:rsid w:val="00687327"/>
    <w:rsid w:val="006A518B"/>
    <w:rsid w:val="006B0590"/>
    <w:rsid w:val="006B49DA"/>
    <w:rsid w:val="006C4C59"/>
    <w:rsid w:val="006C53F8"/>
    <w:rsid w:val="006C7CDE"/>
    <w:rsid w:val="007234B1"/>
    <w:rsid w:val="00723D08"/>
    <w:rsid w:val="00725FDA"/>
    <w:rsid w:val="00727816"/>
    <w:rsid w:val="00730B9A"/>
    <w:rsid w:val="00750CFA"/>
    <w:rsid w:val="007542D7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5A12"/>
    <w:rsid w:val="00963D9D"/>
    <w:rsid w:val="0098013E"/>
    <w:rsid w:val="00981B54"/>
    <w:rsid w:val="009842C3"/>
    <w:rsid w:val="009908B6"/>
    <w:rsid w:val="009A009A"/>
    <w:rsid w:val="009A6BB6"/>
    <w:rsid w:val="009B3F43"/>
    <w:rsid w:val="009B5CFA"/>
    <w:rsid w:val="009C161F"/>
    <w:rsid w:val="009C56B4"/>
    <w:rsid w:val="009C7BFE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2244"/>
    <w:rsid w:val="00A63355"/>
    <w:rsid w:val="00A7596D"/>
    <w:rsid w:val="00A80EFE"/>
    <w:rsid w:val="00A93F12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595B"/>
    <w:rsid w:val="00C07319"/>
    <w:rsid w:val="00C10F1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2F57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5741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5A17CC1-41D6-4E2A-8994-57C854A3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3D37C3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3D37C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D37C3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rsid w:val="003D37C3"/>
    <w:rPr>
      <w:i/>
      <w:sz w:val="24"/>
      <w:szCs w:val="22"/>
      <w:lang w:val="en-US" w:eastAsia="en-US"/>
    </w:rPr>
  </w:style>
  <w:style w:type="character" w:customStyle="1" w:styleId="NormalaftertitleChar">
    <w:name w:val="Normal_after_title Char"/>
    <w:link w:val="Normalaftertitle"/>
    <w:locked/>
    <w:rsid w:val="003D37C3"/>
    <w:rPr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3D37C3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Normal"/>
    <w:rsid w:val="003D37C3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customStyle="1" w:styleId="Annextitle">
    <w:name w:val="Annex_title"/>
    <w:basedOn w:val="Normal"/>
    <w:next w:val="Normal"/>
    <w:link w:val="AnnextitleChar1"/>
    <w:rsid w:val="003D37C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3D37C3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" TargetMode="External"/><Relationship Id="rId13" Type="http://schemas.openxmlformats.org/officeDocument/2006/relationships/hyperlink" Target="http://www.itu.int/md/R12-SG06-C-0452/en" TargetMode="External"/><Relationship Id="rId18" Type="http://schemas.openxmlformats.org/officeDocument/2006/relationships/hyperlink" Target="http://www.itu.int/pub/R-QUE-SG06.27" TargetMode="External"/><Relationship Id="rId26" Type="http://schemas.openxmlformats.org/officeDocument/2006/relationships/hyperlink" Target="http://www.itu.int/pub/R-QUE-SG06.60" TargetMode="External"/><Relationship Id="rId39" Type="http://schemas.openxmlformats.org/officeDocument/2006/relationships/hyperlink" Target="http://www.itu.int/pub/R-QUE-SG06.12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6.48" TargetMode="External"/><Relationship Id="rId34" Type="http://schemas.openxmlformats.org/officeDocument/2006/relationships/hyperlink" Target="http://www.itu.int/pub/R-QUE-SG06.100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-C-0434/en" TargetMode="External"/><Relationship Id="rId17" Type="http://schemas.openxmlformats.org/officeDocument/2006/relationships/hyperlink" Target="http://www.itu.int/pub/R-QUE-SG06.16" TargetMode="External"/><Relationship Id="rId25" Type="http://schemas.openxmlformats.org/officeDocument/2006/relationships/hyperlink" Target="http://www.itu.int/pub/R-QUE-SG06.59" TargetMode="External"/><Relationship Id="rId33" Type="http://schemas.openxmlformats.org/officeDocument/2006/relationships/hyperlink" Target="http://www.itu.int/pub/R-QUE-SG06.99" TargetMode="External"/><Relationship Id="rId38" Type="http://schemas.openxmlformats.org/officeDocument/2006/relationships/hyperlink" Target="http://www.itu.int/pub/R-QUE-SG06.121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6.15" TargetMode="External"/><Relationship Id="rId20" Type="http://schemas.openxmlformats.org/officeDocument/2006/relationships/hyperlink" Target="http://www.itu.int/pub/R-QUE-SG06.46" TargetMode="External"/><Relationship Id="rId29" Type="http://schemas.openxmlformats.org/officeDocument/2006/relationships/hyperlink" Target="http://www.itu.int/pub/R-QUE-SG06.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6-C-0414/en" TargetMode="External"/><Relationship Id="rId24" Type="http://schemas.openxmlformats.org/officeDocument/2006/relationships/hyperlink" Target="http://www.itu.int/pub/R-QUE-SG06.55" TargetMode="External"/><Relationship Id="rId32" Type="http://schemas.openxmlformats.org/officeDocument/2006/relationships/hyperlink" Target="http://www.itu.int/pub/R-QUE-SG06.96" TargetMode="External"/><Relationship Id="rId37" Type="http://schemas.openxmlformats.org/officeDocument/2006/relationships/hyperlink" Target="http://www.itu.int/pub/R-QUE-SG06.113" TargetMode="External"/><Relationship Id="rId40" Type="http://schemas.openxmlformats.org/officeDocument/2006/relationships/hyperlink" Target="http://www.itu.int/pub/R-QUE-SG06.1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6.14" TargetMode="External"/><Relationship Id="rId23" Type="http://schemas.openxmlformats.org/officeDocument/2006/relationships/hyperlink" Target="http://www.itu.int/pub/R-QUE-SG06.53" TargetMode="External"/><Relationship Id="rId28" Type="http://schemas.openxmlformats.org/officeDocument/2006/relationships/hyperlink" Target="http://www.itu.int/pub/R-QUE-SG06.88" TargetMode="External"/><Relationship Id="rId36" Type="http://schemas.openxmlformats.org/officeDocument/2006/relationships/hyperlink" Target="http://www.itu.int/pub/R-QUE-SG06.112" TargetMode="External"/><Relationship Id="rId10" Type="http://schemas.openxmlformats.org/officeDocument/2006/relationships/hyperlink" Target="http://www.itu.int/md/R12-SG06-C-0419/en" TargetMode="External"/><Relationship Id="rId19" Type="http://schemas.openxmlformats.org/officeDocument/2006/relationships/hyperlink" Target="http://www.itu.int/pub/R-QUE-SG06.29" TargetMode="External"/><Relationship Id="rId31" Type="http://schemas.openxmlformats.org/officeDocument/2006/relationships/hyperlink" Target="http://www.itu.int/pub/R-QUE-SG06.95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416/en" TargetMode="External"/><Relationship Id="rId14" Type="http://schemas.openxmlformats.org/officeDocument/2006/relationships/hyperlink" Target="http://www.itu.int/pub/R-QUE-SG06.4" TargetMode="External"/><Relationship Id="rId22" Type="http://schemas.openxmlformats.org/officeDocument/2006/relationships/hyperlink" Target="http://www.itu.int/pub/R-QUE-SG06.51" TargetMode="External"/><Relationship Id="rId27" Type="http://schemas.openxmlformats.org/officeDocument/2006/relationships/hyperlink" Target="http://www.itu.int/pub/R-QUE-SG06.64" TargetMode="External"/><Relationship Id="rId30" Type="http://schemas.openxmlformats.org/officeDocument/2006/relationships/hyperlink" Target="http://www.itu.int/pub/R-QUE-SG06.93" TargetMode="External"/><Relationship Id="rId35" Type="http://schemas.openxmlformats.org/officeDocument/2006/relationships/hyperlink" Target="http://www.itu.int/pub/R-QUE-SG06.108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1216-F092-4DBE-9B99-D8FF775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144</TotalTime>
  <Pages>7</Pages>
  <Words>1971</Words>
  <Characters>12940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14882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LRT</cp:lastModifiedBy>
  <cp:revision>20</cp:revision>
  <cp:lastPrinted>2015-08-10T12:52:00Z</cp:lastPrinted>
  <dcterms:created xsi:type="dcterms:W3CDTF">2015-08-06T06:24:00Z</dcterms:created>
  <dcterms:modified xsi:type="dcterms:W3CDTF">2015-08-13T14:21:00Z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