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F524CF">
              <w:rPr>
                <w:b/>
                <w:bCs/>
                <w:szCs w:val="24"/>
                <w:lang w:val="fr-CH"/>
              </w:rPr>
              <w:t>742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F524CF" w:rsidP="004A0B55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Le 28 </w:t>
            </w:r>
            <w:proofErr w:type="spellStart"/>
            <w:r>
              <w:rPr>
                <w:szCs w:val="24"/>
              </w:rPr>
              <w:t>juillet</w:t>
            </w:r>
            <w:proofErr w:type="spellEnd"/>
            <w:r>
              <w:rPr>
                <w:szCs w:val="24"/>
              </w:rPr>
              <w:t xml:space="preserve"> 2015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36E6C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4A0B55" w:rsidP="00F524C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 xml:space="preserve">Aux Administrations des </w:t>
            </w:r>
            <w:proofErr w:type="spellStart"/>
            <w:r w:rsidRPr="000D290C">
              <w:rPr>
                <w:b/>
                <w:lang w:val="fr-CH"/>
              </w:rPr>
              <w:t>Etats</w:t>
            </w:r>
            <w:proofErr w:type="spellEnd"/>
            <w:r w:rsidRPr="000D290C">
              <w:rPr>
                <w:b/>
                <w:lang w:val="fr-CH"/>
              </w:rPr>
              <w:t xml:space="preserve">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>
              <w:rPr>
                <w:b/>
                <w:lang w:val="fr-CH"/>
              </w:rPr>
              <w:t>vaux</w:t>
            </w:r>
            <w:r>
              <w:rPr>
                <w:b/>
                <w:lang w:val="fr-CH"/>
              </w:rPr>
              <w:br/>
              <w:t>de la Commission d'études </w:t>
            </w:r>
            <w:r w:rsidR="00F524CF">
              <w:rPr>
                <w:b/>
                <w:lang w:val="fr-CH"/>
              </w:rPr>
              <w:t>5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36E6C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36E6C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36E6C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 w:rsidRPr="00773F7E">
              <w:rPr>
                <w:szCs w:val="24"/>
              </w:rPr>
              <w:t>Sujet</w:t>
            </w:r>
            <w:proofErr w:type="spellEnd"/>
            <w:r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Default="004A0B55" w:rsidP="00F524C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F524CF">
              <w:rPr>
                <w:b/>
                <w:bCs/>
                <w:szCs w:val="24"/>
                <w:lang w:val="fr-CH"/>
              </w:rPr>
              <w:t>5</w:t>
            </w:r>
            <w:r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F524CF">
              <w:rPr>
                <w:b/>
                <w:bCs/>
                <w:szCs w:val="24"/>
                <w:lang w:val="fr-CH"/>
              </w:rPr>
              <w:t>Services de Terre</w:t>
            </w:r>
            <w:r w:rsidRPr="004A0B55">
              <w:rPr>
                <w:b/>
                <w:bCs/>
                <w:szCs w:val="24"/>
                <w:lang w:val="fr-CH"/>
              </w:rPr>
              <w:t>)</w:t>
            </w:r>
          </w:p>
          <w:p w:rsidR="004A0B55" w:rsidRPr="004A0B55" w:rsidRDefault="004A0B55" w:rsidP="00F524CF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  <w:t>Proposition d</w:t>
            </w:r>
            <w:r w:rsidR="00F524CF">
              <w:rPr>
                <w:b/>
                <w:bCs/>
                <w:szCs w:val="24"/>
                <w:lang w:val="fr-CH"/>
              </w:rPr>
              <w:t>'adoption par correspondance d'un projet</w:t>
            </w:r>
            <w:r w:rsidRPr="004A0B55">
              <w:rPr>
                <w:b/>
                <w:bCs/>
                <w:szCs w:val="24"/>
                <w:lang w:val="fr-CH"/>
              </w:rPr>
              <w:t xml:space="preserve"> de Recommandation UIT-R révisée</w:t>
            </w:r>
          </w:p>
        </w:tc>
      </w:tr>
      <w:tr w:rsidR="00E53DCE" w:rsidRPr="00136E6C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36E6C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36E6C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36E6C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A0B55" w:rsidRPr="00A12B99" w:rsidRDefault="004A0B55" w:rsidP="00F524CF">
      <w:pPr>
        <w:spacing w:before="720" w:line="240" w:lineRule="auto"/>
        <w:rPr>
          <w:lang w:val="fr-CH"/>
        </w:rPr>
      </w:pPr>
      <w:proofErr w:type="spellStart"/>
      <w:r w:rsidRPr="00A12B99">
        <w:rPr>
          <w:lang w:val="fr-CH"/>
        </w:rPr>
        <w:t>A</w:t>
      </w:r>
      <w:proofErr w:type="spellEnd"/>
      <w:r w:rsidRPr="00A12B99">
        <w:rPr>
          <w:lang w:val="fr-CH"/>
        </w:rPr>
        <w:t xml:space="preserve"> sa réunion tenue </w:t>
      </w:r>
      <w:r w:rsidR="00F524CF">
        <w:rPr>
          <w:lang w:val="fr-CH"/>
        </w:rPr>
        <w:t>les</w:t>
      </w:r>
      <w:r w:rsidRPr="00A12B99">
        <w:rPr>
          <w:lang w:val="fr-CH"/>
        </w:rPr>
        <w:t xml:space="preserve"> </w:t>
      </w:r>
      <w:r w:rsidR="00F524CF">
        <w:rPr>
          <w:lang w:val="fr-CH"/>
        </w:rPr>
        <w:t>20 et</w:t>
      </w:r>
      <w:r w:rsidRPr="00A12B99">
        <w:rPr>
          <w:lang w:val="fr-CH"/>
        </w:rPr>
        <w:t xml:space="preserve"> </w:t>
      </w:r>
      <w:r w:rsidR="00F524CF">
        <w:rPr>
          <w:lang w:val="fr-CH"/>
        </w:rPr>
        <w:t>21</w:t>
      </w:r>
      <w:r w:rsidRPr="00A12B99">
        <w:rPr>
          <w:lang w:val="fr-CH"/>
        </w:rPr>
        <w:t xml:space="preserve"> </w:t>
      </w:r>
      <w:r w:rsidR="00F524CF">
        <w:rPr>
          <w:lang w:val="fr-CH"/>
        </w:rPr>
        <w:t>juillet</w:t>
      </w:r>
      <w:r w:rsidRPr="00A12B99">
        <w:rPr>
          <w:lang w:val="fr-CH"/>
        </w:rPr>
        <w:t xml:space="preserve"> 201</w:t>
      </w:r>
      <w:r w:rsidR="00F524CF">
        <w:rPr>
          <w:lang w:val="fr-CH"/>
        </w:rPr>
        <w:t>5</w:t>
      </w:r>
      <w:r w:rsidRPr="00A12B99">
        <w:rPr>
          <w:lang w:val="fr-CH"/>
        </w:rPr>
        <w:t xml:space="preserve">, la Commission d'études </w:t>
      </w:r>
      <w:r w:rsidR="00F524CF">
        <w:rPr>
          <w:lang w:val="fr-CH"/>
        </w:rPr>
        <w:t>5</w:t>
      </w:r>
      <w:r w:rsidRPr="00A12B99">
        <w:rPr>
          <w:lang w:val="fr-CH"/>
        </w:rPr>
        <w:t xml:space="preserve"> des radiocommunications a décidé de demander l'</w:t>
      </w:r>
      <w:r w:rsidR="003977F1">
        <w:rPr>
          <w:lang w:val="fr-CH"/>
        </w:rPr>
        <w:t>adoption par correspondance d'un</w:t>
      </w:r>
      <w:r w:rsidRPr="00A12B99">
        <w:rPr>
          <w:lang w:val="fr-CH"/>
        </w:rPr>
        <w:t xml:space="preserve"> proje</w:t>
      </w:r>
      <w:r w:rsidR="003977F1">
        <w:rPr>
          <w:lang w:val="fr-CH"/>
        </w:rPr>
        <w:t>t</w:t>
      </w:r>
      <w:r>
        <w:rPr>
          <w:lang w:val="fr-CH"/>
        </w:rPr>
        <w:t xml:space="preserve"> de </w:t>
      </w:r>
      <w:r w:rsidRPr="00BC2C60">
        <w:rPr>
          <w:lang w:val="fr-CH"/>
        </w:rPr>
        <w:t>Recommandation UIT-R</w:t>
      </w:r>
      <w:r>
        <w:rPr>
          <w:lang w:val="fr-CH"/>
        </w:rPr>
        <w:t xml:space="preserve"> révisée conformément au </w:t>
      </w:r>
      <w:r w:rsidRPr="00A12B99">
        <w:rPr>
          <w:lang w:val="fr-CH"/>
        </w:rPr>
        <w:t xml:space="preserve">§ 10.2.3 de la Résolution UIT-R 1-6 </w:t>
      </w:r>
      <w:r>
        <w:rPr>
          <w:lang w:val="fr-CH"/>
        </w:rPr>
        <w:t>(Procédure d'adoption par une Commission d'études par correspondance).</w:t>
      </w:r>
      <w:r w:rsidR="0095554C">
        <w:rPr>
          <w:lang w:val="fr-CH"/>
        </w:rPr>
        <w:t xml:space="preserve"> Le titre et résumé du projet</w:t>
      </w:r>
      <w:r w:rsidRPr="00A12B99">
        <w:rPr>
          <w:lang w:val="fr-CH"/>
        </w:rPr>
        <w:t xml:space="preserve"> de Recomma</w:t>
      </w:r>
      <w:r w:rsidR="003977F1">
        <w:rPr>
          <w:lang w:val="fr-CH"/>
        </w:rPr>
        <w:t>ndation figurent dans l'Annexe</w:t>
      </w:r>
      <w:r w:rsidRPr="00A12B99">
        <w:rPr>
          <w:lang w:val="fr-CH"/>
        </w:rPr>
        <w:t xml:space="preserve">. </w:t>
      </w:r>
    </w:p>
    <w:p w:rsidR="004A0B55" w:rsidRPr="00A12B99" w:rsidRDefault="004A0B55" w:rsidP="003977F1">
      <w:pPr>
        <w:rPr>
          <w:lang w:val="fr-CH"/>
        </w:rPr>
      </w:pPr>
      <w:r w:rsidRPr="00A12B99">
        <w:rPr>
          <w:lang w:val="fr-CH"/>
        </w:rPr>
        <w:t xml:space="preserve">La période d'examen, de </w:t>
      </w:r>
      <w:r>
        <w:rPr>
          <w:lang w:val="fr-CH"/>
        </w:rPr>
        <w:t>deux</w:t>
      </w:r>
      <w:r w:rsidRPr="00A12B99">
        <w:rPr>
          <w:lang w:val="fr-CH"/>
        </w:rPr>
        <w:t xml:space="preserve"> mois, se terminera le </w:t>
      </w:r>
      <w:r w:rsidR="003977F1">
        <w:rPr>
          <w:u w:val="single"/>
          <w:lang w:val="fr-CH"/>
        </w:rPr>
        <w:t>28 septembre</w:t>
      </w:r>
      <w:r w:rsidRPr="008C61E2">
        <w:rPr>
          <w:u w:val="single"/>
          <w:lang w:val="fr-CH"/>
        </w:rPr>
        <w:t xml:space="preserve"> 201</w:t>
      </w:r>
      <w:r w:rsidR="003977F1">
        <w:rPr>
          <w:u w:val="single"/>
          <w:lang w:val="fr-CH"/>
        </w:rPr>
        <w:t>5</w:t>
      </w:r>
      <w:r w:rsidRPr="00A12B99">
        <w:rPr>
          <w:lang w:val="fr-CH"/>
        </w:rPr>
        <w:t xml:space="preserve">. Si, au cours de cette période, aucun </w:t>
      </w:r>
      <w:proofErr w:type="spellStart"/>
      <w:r w:rsidRPr="00A12B99">
        <w:rPr>
          <w:lang w:val="fr-CH"/>
        </w:rPr>
        <w:t>Etat</w:t>
      </w:r>
      <w:proofErr w:type="spellEnd"/>
      <w:r w:rsidRPr="00A12B99">
        <w:rPr>
          <w:lang w:val="fr-CH"/>
        </w:rPr>
        <w:t xml:space="preserve"> Membre ne soulève d'objection, </w:t>
      </w:r>
      <w:r>
        <w:rPr>
          <w:lang w:val="fr-CH"/>
        </w:rPr>
        <w:t>la procédure d'approbation, prévue au § 10.4.</w:t>
      </w:r>
      <w:r w:rsidR="003977F1">
        <w:rPr>
          <w:lang w:val="fr-CH"/>
        </w:rPr>
        <w:t>2</w:t>
      </w:r>
      <w:r>
        <w:rPr>
          <w:lang w:val="fr-CH"/>
        </w:rPr>
        <w:t xml:space="preserve"> de la Résolution UIT-R 1-6, sera engagée.</w:t>
      </w:r>
    </w:p>
    <w:p w:rsidR="004A0B55" w:rsidRPr="008C61E2" w:rsidRDefault="004A0B55" w:rsidP="00F524CF">
      <w:pPr>
        <w:rPr>
          <w:lang w:val="fr-CH"/>
        </w:rPr>
      </w:pPr>
      <w:r w:rsidRPr="008C61E2">
        <w:rPr>
          <w:lang w:val="fr-CH"/>
        </w:rPr>
        <w:t xml:space="preserve">Un </w:t>
      </w:r>
      <w:proofErr w:type="spellStart"/>
      <w:r w:rsidRPr="008C61E2">
        <w:rPr>
          <w:lang w:val="fr-CH"/>
        </w:rPr>
        <w:t>Etat</w:t>
      </w:r>
      <w:proofErr w:type="spellEnd"/>
      <w:r w:rsidRPr="008C61E2">
        <w:rPr>
          <w:lang w:val="fr-CH"/>
        </w:rPr>
        <w:t xml:space="preserve"> Membre qui soulève une obj</w:t>
      </w:r>
      <w:r>
        <w:rPr>
          <w:lang w:val="fr-CH"/>
        </w:rPr>
        <w:t>ection au sujet de l'adoption d</w:t>
      </w:r>
      <w:r w:rsidRPr="008C61E2">
        <w:rPr>
          <w:lang w:val="fr-CH"/>
        </w:rPr>
        <w:t>u projet de Recommandation est prié d'informer le Directeur et le Président de la Commission d'études des raisons de cette objection.</w:t>
      </w:r>
    </w:p>
    <w:p w:rsidR="00257A5F" w:rsidRDefault="00257A5F" w:rsidP="004A0B55">
      <w:pPr>
        <w:rPr>
          <w:lang w:val="fr-CH"/>
        </w:rPr>
      </w:pPr>
      <w:r>
        <w:rPr>
          <w:lang w:val="fr-CH"/>
        </w:rPr>
        <w:br w:type="page"/>
      </w:r>
    </w:p>
    <w:p w:rsidR="004A0B55" w:rsidRPr="00381F68" w:rsidRDefault="004A0B55" w:rsidP="004A0B55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 transmettre lesdites informations au Secrétariat dans les meilleurs délais. La politique commune en 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>
        <w:rPr>
          <w:lang w:val="fr-CH"/>
        </w:rPr>
        <w:br/>
      </w:r>
      <w:hyperlink r:id="rId8" w:history="1">
        <w:r w:rsidRPr="0049662D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4A0B55">
        <w:rPr>
          <w:lang w:val="fr-CH"/>
        </w:rPr>
        <w:t>.</w:t>
      </w:r>
    </w:p>
    <w:p w:rsidR="00136E6C" w:rsidRDefault="00136E6C" w:rsidP="00EE1A57">
      <w:pPr>
        <w:spacing w:before="0" w:line="240" w:lineRule="auto"/>
        <w:jc w:val="left"/>
        <w:rPr>
          <w:szCs w:val="24"/>
          <w:lang w:val="fr-FR"/>
        </w:rPr>
      </w:pPr>
    </w:p>
    <w:p w:rsidR="00136E6C" w:rsidRDefault="00136E6C" w:rsidP="00EE1A57">
      <w:pPr>
        <w:spacing w:before="0" w:line="240" w:lineRule="auto"/>
        <w:jc w:val="left"/>
        <w:rPr>
          <w:szCs w:val="24"/>
          <w:lang w:val="fr-FR"/>
        </w:rPr>
      </w:pPr>
    </w:p>
    <w:p w:rsidR="00136E6C" w:rsidRDefault="00136E6C" w:rsidP="00EE1A57">
      <w:pPr>
        <w:spacing w:before="0" w:line="240" w:lineRule="auto"/>
        <w:jc w:val="left"/>
        <w:rPr>
          <w:szCs w:val="24"/>
          <w:lang w:val="fr-FR"/>
        </w:rPr>
      </w:pPr>
    </w:p>
    <w:p w:rsidR="00136E6C" w:rsidRDefault="00136E6C" w:rsidP="00EE1A57">
      <w:pPr>
        <w:spacing w:before="0" w:line="240" w:lineRule="auto"/>
        <w:jc w:val="left"/>
        <w:rPr>
          <w:szCs w:val="24"/>
          <w:lang w:val="fr-FR"/>
        </w:rPr>
      </w:pPr>
    </w:p>
    <w:p w:rsidR="00136E6C" w:rsidRDefault="00136E6C" w:rsidP="00EE1A57">
      <w:pPr>
        <w:spacing w:before="0" w:line="240" w:lineRule="auto"/>
        <w:jc w:val="left"/>
        <w:rPr>
          <w:szCs w:val="24"/>
          <w:lang w:val="fr-FR"/>
        </w:rPr>
      </w:pPr>
    </w:p>
    <w:p w:rsidR="00136E6C" w:rsidRDefault="00136E6C" w:rsidP="00EE1A57">
      <w:pPr>
        <w:spacing w:before="0" w:line="240" w:lineRule="auto"/>
        <w:jc w:val="left"/>
        <w:rPr>
          <w:szCs w:val="24"/>
          <w:lang w:val="fr-FR"/>
        </w:rPr>
      </w:pPr>
    </w:p>
    <w:p w:rsidR="00031E64" w:rsidRDefault="00E53DCE" w:rsidP="00EE1A57">
      <w:pPr>
        <w:spacing w:before="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4A0B55" w:rsidRPr="004A0B55" w:rsidRDefault="004A0B55" w:rsidP="00257A5F">
      <w:pPr>
        <w:spacing w:before="1320" w:line="240" w:lineRule="auto"/>
        <w:rPr>
          <w:bCs/>
          <w:lang w:val="fr-CH"/>
        </w:rPr>
      </w:pPr>
      <w:r w:rsidRPr="004A0B55">
        <w:rPr>
          <w:b/>
          <w:bCs/>
          <w:lang w:val="fr-CH"/>
        </w:rPr>
        <w:t>Annexe</w:t>
      </w:r>
      <w:r w:rsidRPr="004A0B55">
        <w:rPr>
          <w:lang w:val="fr-CH"/>
        </w:rPr>
        <w:t>:</w:t>
      </w:r>
      <w:r w:rsidRPr="004A0B55">
        <w:rPr>
          <w:b/>
          <w:bCs/>
          <w:lang w:val="fr-CH"/>
        </w:rPr>
        <w:tab/>
      </w:r>
      <w:r w:rsidRPr="004A0B55">
        <w:rPr>
          <w:b/>
          <w:bCs/>
          <w:lang w:val="fr-CH"/>
        </w:rPr>
        <w:tab/>
      </w:r>
      <w:r w:rsidR="003977F1">
        <w:rPr>
          <w:bCs/>
          <w:lang w:val="fr-CH"/>
        </w:rPr>
        <w:t xml:space="preserve">Titre et résumé du projet </w:t>
      </w:r>
      <w:r w:rsidRPr="004A0B55">
        <w:rPr>
          <w:bCs/>
          <w:lang w:val="fr-CH"/>
        </w:rPr>
        <w:t>de Recommandation</w:t>
      </w:r>
    </w:p>
    <w:p w:rsidR="004A0B55" w:rsidRPr="004A0B55" w:rsidRDefault="004A0B55" w:rsidP="003977F1">
      <w:pPr>
        <w:spacing w:before="120" w:line="240" w:lineRule="auto"/>
        <w:rPr>
          <w:bCs/>
          <w:lang w:val="fr-CH"/>
        </w:rPr>
      </w:pPr>
    </w:p>
    <w:p w:rsidR="004A0B55" w:rsidRDefault="004A0B55" w:rsidP="003977F1">
      <w:pPr>
        <w:spacing w:line="480" w:lineRule="auto"/>
        <w:rPr>
          <w:lang w:val="fr-CH"/>
        </w:rPr>
      </w:pPr>
      <w:r w:rsidRPr="00005977">
        <w:rPr>
          <w:b/>
          <w:bCs/>
          <w:lang w:val="fr-CH"/>
        </w:rPr>
        <w:t>Documen</w:t>
      </w:r>
      <w:r w:rsidR="005D23AC">
        <w:rPr>
          <w:b/>
          <w:bCs/>
          <w:lang w:val="fr-CH"/>
        </w:rPr>
        <w:t>t</w:t>
      </w:r>
      <w:r w:rsidRPr="005F55D4">
        <w:rPr>
          <w:lang w:val="fr-CH"/>
        </w:rPr>
        <w:t>:</w:t>
      </w:r>
      <w:r>
        <w:rPr>
          <w:b/>
          <w:bCs/>
          <w:lang w:val="fr-CH"/>
        </w:rPr>
        <w:tab/>
      </w:r>
      <w:r w:rsidRPr="00005977">
        <w:rPr>
          <w:lang w:val="fr-CH"/>
        </w:rPr>
        <w:t xml:space="preserve">Document </w:t>
      </w:r>
      <w:hyperlink r:id="rId9" w:history="1">
        <w:r w:rsidR="003977F1" w:rsidRPr="003977F1">
          <w:rPr>
            <w:rStyle w:val="Hyperlink"/>
            <w:lang w:val="fr-CH"/>
          </w:rPr>
          <w:t>5/267</w:t>
        </w:r>
      </w:hyperlink>
      <w:r>
        <w:rPr>
          <w:lang w:val="fr-CH"/>
        </w:rPr>
        <w:t>(Rév.1)</w:t>
      </w:r>
    </w:p>
    <w:p w:rsidR="003977F1" w:rsidRPr="003977F1" w:rsidRDefault="005D23AC" w:rsidP="005D23AC">
      <w:pPr>
        <w:jc w:val="left"/>
        <w:rPr>
          <w:rStyle w:val="Hyperlink"/>
          <w:lang w:val="fr-CH"/>
        </w:rPr>
      </w:pPr>
      <w:r>
        <w:rPr>
          <w:lang w:val="fr-CH"/>
        </w:rPr>
        <w:t>Ce</w:t>
      </w:r>
      <w:r w:rsidR="003977F1">
        <w:rPr>
          <w:lang w:val="fr-CH"/>
        </w:rPr>
        <w:t xml:space="preserve"> document</w:t>
      </w:r>
      <w:r w:rsidR="004A0B55">
        <w:rPr>
          <w:lang w:val="fr-CH"/>
        </w:rPr>
        <w:t xml:space="preserve"> </w:t>
      </w:r>
      <w:r w:rsidR="003977F1">
        <w:rPr>
          <w:lang w:val="fr-CH"/>
        </w:rPr>
        <w:t>est disponible</w:t>
      </w:r>
      <w:r w:rsidR="004A0B55">
        <w:rPr>
          <w:lang w:val="fr-CH"/>
        </w:rPr>
        <w:t xml:space="preserve"> en format électronique à l'adresse:</w:t>
      </w:r>
      <w:bookmarkStart w:id="0" w:name="ddistribution"/>
      <w:bookmarkEnd w:id="0"/>
      <w:r w:rsidR="003977F1">
        <w:rPr>
          <w:lang w:val="fr-CH"/>
        </w:rPr>
        <w:br/>
      </w:r>
      <w:hyperlink r:id="rId10" w:history="1">
        <w:r w:rsidR="003977F1" w:rsidRPr="003977F1">
          <w:rPr>
            <w:rStyle w:val="Hyperlink"/>
            <w:lang w:val="fr-CH"/>
          </w:rPr>
          <w:t>http://www.itu.int/md/R12-SG05-C/en</w:t>
        </w:r>
      </w:hyperlink>
    </w:p>
    <w:p w:rsidR="003977F1" w:rsidRDefault="00876121" w:rsidP="00876121">
      <w:pPr>
        <w:tabs>
          <w:tab w:val="clear" w:pos="794"/>
          <w:tab w:val="clear" w:pos="1191"/>
          <w:tab w:val="clear" w:pos="1588"/>
          <w:tab w:val="clear" w:pos="1985"/>
          <w:tab w:val="left" w:pos="3200"/>
        </w:tabs>
        <w:spacing w:before="120" w:line="240" w:lineRule="auto"/>
        <w:rPr>
          <w:bCs/>
          <w:lang w:val="fr-CH"/>
        </w:rPr>
      </w:pPr>
      <w:r>
        <w:rPr>
          <w:bCs/>
          <w:lang w:val="fr-CH"/>
        </w:rPr>
        <w:tab/>
      </w:r>
    </w:p>
    <w:p w:rsidR="003977F1" w:rsidRPr="004A0B55" w:rsidRDefault="003977F1" w:rsidP="003977F1">
      <w:pPr>
        <w:spacing w:before="120" w:line="240" w:lineRule="auto"/>
        <w:rPr>
          <w:bCs/>
          <w:lang w:val="fr-CH"/>
        </w:rPr>
      </w:pPr>
    </w:p>
    <w:p w:rsidR="004A0B55" w:rsidRPr="004A0B55" w:rsidRDefault="004A0B55" w:rsidP="003977F1">
      <w:pPr>
        <w:rPr>
          <w:b/>
          <w:bCs/>
          <w:sz w:val="18"/>
          <w:szCs w:val="18"/>
          <w:lang w:val="fr-CH"/>
        </w:rPr>
      </w:pPr>
      <w:r w:rsidRPr="004A0B55">
        <w:rPr>
          <w:b/>
          <w:bCs/>
          <w:sz w:val="18"/>
          <w:szCs w:val="18"/>
          <w:lang w:val="fr-CH"/>
        </w:rPr>
        <w:t>Distribution:</w:t>
      </w:r>
    </w:p>
    <w:p w:rsidR="00F52871" w:rsidRDefault="004A0B55" w:rsidP="00F524CF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4A0B55">
        <w:rPr>
          <w:sz w:val="18"/>
          <w:szCs w:val="18"/>
          <w:lang w:val="fr-CH"/>
        </w:rPr>
        <w:t>Etats</w:t>
      </w:r>
      <w:proofErr w:type="spellEnd"/>
      <w:r w:rsidRPr="004A0B55">
        <w:rPr>
          <w:sz w:val="18"/>
          <w:szCs w:val="18"/>
          <w:lang w:val="fr-CH"/>
        </w:rPr>
        <w:t xml:space="preserve"> Membres de l'UIT et Membres du Secteur des radiocommunications</w:t>
      </w:r>
      <w:r w:rsidR="00F52871">
        <w:rPr>
          <w:sz w:val="18"/>
          <w:szCs w:val="18"/>
          <w:lang w:val="fr-CH"/>
        </w:rPr>
        <w:t xml:space="preserve"> participant aux travaux de la </w:t>
      </w:r>
      <w:r w:rsidRPr="004A0B55">
        <w:rPr>
          <w:sz w:val="18"/>
          <w:szCs w:val="18"/>
          <w:lang w:val="fr-CH"/>
        </w:rPr>
        <w:t xml:space="preserve">Commission d'études </w:t>
      </w:r>
      <w:r w:rsidR="00F524CF">
        <w:rPr>
          <w:sz w:val="18"/>
          <w:szCs w:val="18"/>
          <w:lang w:val="fr-CH"/>
        </w:rPr>
        <w:t>5</w:t>
      </w:r>
      <w:r w:rsidRPr="004A0B55">
        <w:rPr>
          <w:sz w:val="18"/>
          <w:szCs w:val="18"/>
          <w:lang w:val="fr-CH"/>
        </w:rPr>
        <w:t xml:space="preserve"> des radiocommunications</w:t>
      </w:r>
    </w:p>
    <w:p w:rsidR="004A0B55" w:rsidRPr="004A0B55" w:rsidRDefault="004A0B55" w:rsidP="00F524CF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F524CF">
        <w:rPr>
          <w:sz w:val="18"/>
          <w:szCs w:val="18"/>
          <w:lang w:val="fr-CH"/>
        </w:rPr>
        <w:t>5</w:t>
      </w:r>
      <w:r w:rsidRPr="004A0B55">
        <w:rPr>
          <w:sz w:val="18"/>
          <w:szCs w:val="18"/>
          <w:lang w:val="fr-CH"/>
        </w:rPr>
        <w:t xml:space="preserve"> des radiocommunications</w:t>
      </w:r>
    </w:p>
    <w:p w:rsidR="004A0B55" w:rsidRPr="004A0B55" w:rsidRDefault="004A0B55" w:rsidP="00F524CF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Président et Vice</w:t>
      </w:r>
      <w:r w:rsidRPr="004A0B55">
        <w:rPr>
          <w:sz w:val="18"/>
          <w:szCs w:val="18"/>
          <w:lang w:val="fr-CH"/>
        </w:rPr>
        <w:noBreakHyphen/>
        <w:t xml:space="preserve">Présidents de la Commission d'études </w:t>
      </w:r>
      <w:r w:rsidR="00F524CF">
        <w:rPr>
          <w:sz w:val="18"/>
          <w:szCs w:val="18"/>
          <w:lang w:val="fr-CH"/>
        </w:rPr>
        <w:t>5</w:t>
      </w:r>
      <w:r w:rsidRPr="004A0B55">
        <w:rPr>
          <w:sz w:val="18"/>
          <w:szCs w:val="18"/>
          <w:lang w:val="fr-CH"/>
        </w:rPr>
        <w:t xml:space="preserve"> des radiocommunications </w:t>
      </w:r>
      <w:r w:rsidRPr="004A0B55">
        <w:rPr>
          <w:sz w:val="18"/>
          <w:szCs w:val="18"/>
          <w:lang w:val="fr-CH"/>
        </w:rPr>
        <w:br/>
        <w:t>–</w:t>
      </w:r>
      <w:r w:rsidRPr="004A0B55">
        <w:rPr>
          <w:sz w:val="18"/>
          <w:szCs w:val="18"/>
          <w:lang w:val="fr-CH"/>
        </w:rPr>
        <w:tab/>
        <w:t xml:space="preserve">Président et Vice-Présidents de la Réunion de préparation à la </w:t>
      </w:r>
      <w:r w:rsidR="00CA0D2B">
        <w:rPr>
          <w:sz w:val="18"/>
          <w:szCs w:val="18"/>
          <w:lang w:val="fr-CH"/>
        </w:rPr>
        <w:t>C</w:t>
      </w:r>
      <w:r w:rsidRPr="004A0B55">
        <w:rPr>
          <w:sz w:val="18"/>
          <w:szCs w:val="18"/>
          <w:lang w:val="fr-CH"/>
        </w:rPr>
        <w:t>onférence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Membres du comité du Règlement des radiocommunications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D30938" w:rsidRPr="00136E6C" w:rsidRDefault="004A0B55" w:rsidP="00D30938">
      <w:pPr>
        <w:pStyle w:val="AnnexNotitle0"/>
        <w:rPr>
          <w:rFonts w:asciiTheme="minorHAnsi" w:hAnsiTheme="minorHAnsi"/>
          <w:lang w:val="fr-CH"/>
        </w:rPr>
      </w:pPr>
      <w:r w:rsidRPr="004A0B55">
        <w:rPr>
          <w:lang w:val="fr-CH"/>
        </w:rPr>
        <w:br w:type="page"/>
      </w:r>
      <w:r w:rsidR="00D30938" w:rsidRPr="00136E6C">
        <w:rPr>
          <w:rFonts w:asciiTheme="minorHAnsi" w:hAnsiTheme="minorHAnsi"/>
          <w:lang w:val="fr-CH"/>
        </w:rPr>
        <w:lastRenderedPageBreak/>
        <w:t>Annexe</w:t>
      </w:r>
      <w:r w:rsidR="00D30938" w:rsidRPr="00136E6C">
        <w:rPr>
          <w:rFonts w:asciiTheme="minorHAnsi" w:hAnsiTheme="minorHAnsi"/>
          <w:lang w:val="fr-CH"/>
        </w:rPr>
        <w:br/>
      </w:r>
      <w:r w:rsidR="00D30938" w:rsidRPr="00136E6C">
        <w:rPr>
          <w:rFonts w:asciiTheme="minorHAnsi" w:hAnsiTheme="minorHAnsi"/>
          <w:lang w:val="fr-CH"/>
        </w:rPr>
        <w:br/>
        <w:t>Titre et résumé du projet de Recomma</w:t>
      </w:r>
      <w:bookmarkStart w:id="1" w:name="_GoBack"/>
      <w:bookmarkEnd w:id="1"/>
      <w:r w:rsidR="00D30938" w:rsidRPr="00136E6C">
        <w:rPr>
          <w:rFonts w:asciiTheme="minorHAnsi" w:hAnsiTheme="minorHAnsi"/>
          <w:lang w:val="fr-CH"/>
        </w:rPr>
        <w:t>ndation</w:t>
      </w:r>
    </w:p>
    <w:p w:rsidR="00D30938" w:rsidRPr="00995E69" w:rsidRDefault="00D30938" w:rsidP="00D30938">
      <w:pPr>
        <w:rPr>
          <w:lang w:val="fr-CH"/>
        </w:rPr>
      </w:pPr>
    </w:p>
    <w:p w:rsidR="00D30938" w:rsidRPr="00136E6C" w:rsidRDefault="00D30938" w:rsidP="00D30938">
      <w:pPr>
        <w:tabs>
          <w:tab w:val="right" w:pos="9639"/>
        </w:tabs>
        <w:rPr>
          <w:rFonts w:asciiTheme="minorHAnsi" w:hAnsiTheme="minorHAnsi"/>
          <w:lang w:val="fr-CH"/>
        </w:rPr>
      </w:pPr>
      <w:r w:rsidRPr="00136E6C">
        <w:rPr>
          <w:rFonts w:asciiTheme="minorHAnsi" w:hAnsiTheme="minorHAnsi"/>
          <w:u w:val="single"/>
          <w:lang w:val="fr-CH"/>
        </w:rPr>
        <w:t>Projet de révision de la Recommandation UIT-R M.541-9</w:t>
      </w:r>
      <w:r w:rsidRPr="00136E6C">
        <w:rPr>
          <w:rFonts w:asciiTheme="minorHAnsi" w:hAnsiTheme="minorHAnsi"/>
          <w:lang w:val="fr-CH"/>
        </w:rPr>
        <w:tab/>
        <w:t>Doc. 5/267(Rév.1)</w:t>
      </w:r>
    </w:p>
    <w:p w:rsidR="00D30938" w:rsidRPr="00136E6C" w:rsidRDefault="00D30938" w:rsidP="00D30938">
      <w:pPr>
        <w:pStyle w:val="Rectitle"/>
        <w:rPr>
          <w:rFonts w:asciiTheme="minorHAnsi" w:hAnsiTheme="minorHAnsi"/>
          <w:lang w:val="fr-CH"/>
        </w:rPr>
      </w:pPr>
      <w:r w:rsidRPr="00136E6C">
        <w:rPr>
          <w:rFonts w:asciiTheme="minorHAnsi" w:hAnsiTheme="minorHAnsi"/>
          <w:lang w:val="fr-CH"/>
        </w:rPr>
        <w:t xml:space="preserve">Procédures d'exploitation des systèmes d'appel sélectif numérique </w:t>
      </w:r>
      <w:r w:rsidRPr="00136E6C">
        <w:rPr>
          <w:rFonts w:asciiTheme="minorHAnsi" w:hAnsiTheme="minorHAnsi"/>
          <w:lang w:val="fr-CH"/>
        </w:rPr>
        <w:br/>
        <w:t>à l'usage du service mobile maritime</w:t>
      </w:r>
    </w:p>
    <w:p w:rsidR="00D30938" w:rsidRPr="00136E6C" w:rsidRDefault="00D30938" w:rsidP="00D30938">
      <w:pPr>
        <w:pStyle w:val="Normalaftertitle0"/>
        <w:jc w:val="both"/>
        <w:rPr>
          <w:rFonts w:asciiTheme="minorHAnsi" w:hAnsiTheme="minorHAnsi"/>
          <w:lang w:val="fr-CH"/>
        </w:rPr>
      </w:pPr>
      <w:r w:rsidRPr="00136E6C">
        <w:rPr>
          <w:rFonts w:asciiTheme="minorHAnsi" w:hAnsiTheme="minorHAnsi"/>
          <w:lang w:val="fr-CH"/>
        </w:rPr>
        <w:t>Les procédures sont mises à jour conformément à la version en vigueur du Règlement des radiocommunications et l'Annexe 5 définit les procédures d'exploitation pour les dispositifs signalant la présence de personnes à la mer. Des modifications de forme ont été apportées au document, avec l'ajout d'un domaine d'application, de mots clés et d'un glossaire.</w:t>
      </w:r>
    </w:p>
    <w:p w:rsidR="00D30938" w:rsidRPr="00136E6C" w:rsidRDefault="00D30938" w:rsidP="00D30938">
      <w:pPr>
        <w:rPr>
          <w:rFonts w:asciiTheme="minorHAnsi" w:hAnsiTheme="minorHAnsi"/>
          <w:lang w:val="fr-CH"/>
        </w:rPr>
      </w:pPr>
    </w:p>
    <w:p w:rsidR="00D30938" w:rsidRPr="00995E69" w:rsidRDefault="00D30938" w:rsidP="00D30938">
      <w:pPr>
        <w:rPr>
          <w:lang w:val="fr-CH"/>
        </w:rPr>
      </w:pPr>
    </w:p>
    <w:p w:rsidR="00D30938" w:rsidRPr="00995E69" w:rsidRDefault="00D30938" w:rsidP="00D30938">
      <w:pPr>
        <w:jc w:val="center"/>
        <w:rPr>
          <w:lang w:val="fr-CH"/>
        </w:rPr>
      </w:pPr>
      <w:r w:rsidRPr="00995E69">
        <w:rPr>
          <w:lang w:val="fr-CH"/>
        </w:rPr>
        <w:t>________________</w:t>
      </w:r>
    </w:p>
    <w:p w:rsidR="004A0B55" w:rsidRPr="004A0B55" w:rsidRDefault="004A0B55" w:rsidP="004A0B55">
      <w:pPr>
        <w:jc w:val="left"/>
        <w:rPr>
          <w:lang w:val="fr-CH"/>
        </w:rPr>
      </w:pPr>
    </w:p>
    <w:sectPr w:rsidR="004A0B55" w:rsidRPr="004A0B55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75" w:rsidRDefault="00963775" w:rsidP="00963775">
    <w:pPr>
      <w:pStyle w:val="Footer"/>
      <w:spacing w:before="0" w:line="220" w:lineRule="exact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</w:p>
  <w:p w:rsidR="00963775" w:rsidRDefault="00963775" w:rsidP="00963775">
    <w:pPr>
      <w:pStyle w:val="Footer"/>
      <w:spacing w:before="0" w:line="220" w:lineRule="exact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Tél: +41 22 730 5111 • Fax: +41 22 733 7256 •</w:t>
    </w:r>
  </w:p>
  <w:p w:rsidR="00963775" w:rsidRPr="00963775" w:rsidRDefault="00963775" w:rsidP="00963775">
    <w:pPr>
      <w:pStyle w:val="Footer"/>
      <w:spacing w:before="0" w:line="220" w:lineRule="exact"/>
      <w:jc w:val="center"/>
      <w:rPr>
        <w:lang w:val="fr-CH"/>
      </w:rPr>
    </w:pP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A0D2B" w:rsidRDefault="006018D1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963775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2B" w:rsidRPr="00CA0D2B" w:rsidRDefault="006018D1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CA0D2B" w:rsidRPr="00CA0D2B">
      <w:rPr>
        <w:rStyle w:val="PageNumber"/>
        <w:sz w:val="18"/>
        <w:szCs w:val="18"/>
      </w:rPr>
      <w:fldChar w:fldCharType="begin"/>
    </w:r>
    <w:r w:rsidR="00CA0D2B" w:rsidRPr="00CA0D2B">
      <w:rPr>
        <w:rStyle w:val="PageNumber"/>
        <w:sz w:val="18"/>
        <w:szCs w:val="18"/>
      </w:rPr>
      <w:instrText xml:space="preserve"> PAGE </w:instrText>
    </w:r>
    <w:r w:rsidR="00CA0D2B" w:rsidRPr="00CA0D2B">
      <w:rPr>
        <w:rStyle w:val="PageNumber"/>
        <w:sz w:val="18"/>
        <w:szCs w:val="18"/>
      </w:rPr>
      <w:fldChar w:fldCharType="separate"/>
    </w:r>
    <w:r w:rsidR="00963775">
      <w:rPr>
        <w:rStyle w:val="PageNumber"/>
        <w:noProof/>
        <w:sz w:val="18"/>
        <w:szCs w:val="18"/>
      </w:rPr>
      <w:t>3</w:t>
    </w:r>
    <w:r w:rsidR="00CA0D2B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524CF" w:rsidTr="00C33587">
      <w:trPr>
        <w:jc w:val="center"/>
      </w:trPr>
      <w:tc>
        <w:tcPr>
          <w:tcW w:w="4889" w:type="dxa"/>
        </w:tcPr>
        <w:p w:rsidR="00F524CF" w:rsidRDefault="00F524CF" w:rsidP="00F524C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B95E24" wp14:editId="585D8F2D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524CF" w:rsidRDefault="00F524CF" w:rsidP="00F524C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84A942E" wp14:editId="00237298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F524CF" w:rsidRDefault="00E915AF" w:rsidP="00F52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6E6C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A5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77F1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23AC"/>
    <w:rsid w:val="005D3669"/>
    <w:rsid w:val="005E5EB3"/>
    <w:rsid w:val="005F3CB6"/>
    <w:rsid w:val="005F657C"/>
    <w:rsid w:val="006018D1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6121"/>
    <w:rsid w:val="0087694B"/>
    <w:rsid w:val="00880F4D"/>
    <w:rsid w:val="008B35A3"/>
    <w:rsid w:val="008B37E1"/>
    <w:rsid w:val="008B45F8"/>
    <w:rsid w:val="008C2E74"/>
    <w:rsid w:val="008D0C7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554C"/>
    <w:rsid w:val="00963775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0938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4CF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A76023C-DE67-4AF1-8A89-A499F907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524C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F5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link w:val="Rectitle"/>
    <w:rsid w:val="00D30938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D3093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-0267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356B-42BA-4FD8-B32F-7BD0947B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33</TotalTime>
  <Pages>3</Pages>
  <Words>444</Words>
  <Characters>2995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Detraz, Laurence</cp:lastModifiedBy>
  <cp:revision>8</cp:revision>
  <cp:lastPrinted>2015-07-28T08:36:00Z</cp:lastPrinted>
  <dcterms:created xsi:type="dcterms:W3CDTF">2015-07-23T06:57:00Z</dcterms:created>
  <dcterms:modified xsi:type="dcterms:W3CDTF">2015-07-28T08:37:00Z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