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proofErr w:type="spellStart"/>
            <w:r w:rsidR="008B35A3" w:rsidRPr="00CD4E44">
              <w:rPr>
                <w:szCs w:val="24"/>
                <w:lang w:val="fr-CH"/>
              </w:rPr>
              <w:t>C</w:t>
            </w:r>
            <w:r w:rsidR="00C76D7F" w:rsidRPr="00CD4E44">
              <w:rPr>
                <w:szCs w:val="24"/>
                <w:lang w:val="fr-CH"/>
              </w:rPr>
              <w:t>ircular</w:t>
            </w:r>
            <w:proofErr w:type="spellEnd"/>
          </w:p>
          <w:p w:rsidR="00651777" w:rsidRPr="00CD4E44" w:rsidRDefault="000766A1" w:rsidP="00E17344">
            <w:pPr>
              <w:spacing w:before="0"/>
              <w:jc w:val="left"/>
              <w:rPr>
                <w:b/>
                <w:bCs/>
                <w:szCs w:val="24"/>
                <w:lang w:val="fr-CH"/>
              </w:rPr>
            </w:pPr>
            <w:proofErr w:type="spellStart"/>
            <w:r w:rsidRPr="00CD4E44">
              <w:rPr>
                <w:b/>
                <w:bCs/>
                <w:szCs w:val="24"/>
                <w:lang w:val="fr-CH"/>
              </w:rPr>
              <w:t>CA</w:t>
            </w:r>
            <w:r>
              <w:rPr>
                <w:b/>
                <w:bCs/>
                <w:szCs w:val="24"/>
                <w:lang w:val="fr-CH"/>
              </w:rPr>
              <w:t>CE</w:t>
            </w:r>
            <w:proofErr w:type="spellEnd"/>
            <w:r w:rsidRPr="00CD4E44">
              <w:rPr>
                <w:b/>
                <w:bCs/>
                <w:szCs w:val="24"/>
                <w:lang w:val="fr-CH"/>
              </w:rPr>
              <w:t>/</w:t>
            </w:r>
            <w:r>
              <w:rPr>
                <w:b/>
                <w:bCs/>
                <w:szCs w:val="24"/>
                <w:lang w:val="fr-CH"/>
              </w:rPr>
              <w:t>738</w:t>
            </w:r>
          </w:p>
        </w:tc>
        <w:tc>
          <w:tcPr>
            <w:tcW w:w="2835" w:type="dxa"/>
            <w:shd w:val="clear" w:color="auto" w:fill="auto"/>
          </w:tcPr>
          <w:p w:rsidR="00651777" w:rsidRPr="00CD4E44" w:rsidRDefault="000766A1" w:rsidP="00034340">
            <w:pPr>
              <w:spacing w:before="0"/>
              <w:jc w:val="right"/>
              <w:rPr>
                <w:szCs w:val="24"/>
                <w:lang w:val="en-GB"/>
              </w:rPr>
            </w:pPr>
            <w:r>
              <w:rPr>
                <w:szCs w:val="24"/>
                <w:lang w:val="en-GB"/>
              </w:rPr>
              <w:t>10 July 2015</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0766A1" w:rsidP="006047E5">
            <w:pPr>
              <w:spacing w:before="0"/>
              <w:jc w:val="left"/>
              <w:rPr>
                <w:b/>
                <w:bCs/>
                <w:szCs w:val="24"/>
              </w:rPr>
            </w:pPr>
            <w:r w:rsidRPr="006240B5">
              <w:rPr>
                <w:b/>
              </w:rPr>
              <w:t xml:space="preserve">To Administrations of Member States of the ITU, </w:t>
            </w:r>
            <w:proofErr w:type="spellStart"/>
            <w:r w:rsidRPr="006240B5">
              <w:rPr>
                <w:b/>
              </w:rPr>
              <w:t>Radiocommunication</w:t>
            </w:r>
            <w:proofErr w:type="spellEnd"/>
            <w:r w:rsidRPr="006240B5">
              <w:rPr>
                <w:b/>
              </w:rPr>
              <w:t xml:space="preserve"> Sector Members and</w:t>
            </w:r>
            <w:r w:rsidRPr="006240B5">
              <w:rPr>
                <w:b/>
              </w:rPr>
              <w:br/>
              <w:t xml:space="preserve">ITU-R Associates participating in the work of </w:t>
            </w:r>
            <w:proofErr w:type="spellStart"/>
            <w:r w:rsidRPr="006240B5">
              <w:rPr>
                <w:b/>
              </w:rPr>
              <w:t>Radiocommunication</w:t>
            </w:r>
            <w:proofErr w:type="spellEnd"/>
            <w:r w:rsidRPr="006240B5">
              <w:rPr>
                <w:b/>
              </w:rPr>
              <w:t xml:space="preserve"> Study Group 4</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0766A1" w:rsidRPr="006240B5" w:rsidRDefault="000766A1" w:rsidP="000766A1">
            <w:pPr>
              <w:tabs>
                <w:tab w:val="clear" w:pos="794"/>
                <w:tab w:val="clear" w:pos="1191"/>
                <w:tab w:val="clear" w:pos="1588"/>
                <w:tab w:val="clear" w:pos="1985"/>
                <w:tab w:val="left" w:pos="709"/>
              </w:tabs>
              <w:spacing w:before="0"/>
              <w:ind w:left="1418" w:hanging="1418"/>
              <w:rPr>
                <w:b/>
                <w:bCs/>
              </w:rPr>
            </w:pPr>
            <w:proofErr w:type="spellStart"/>
            <w:r w:rsidRPr="006240B5">
              <w:rPr>
                <w:b/>
                <w:bCs/>
              </w:rPr>
              <w:t>Radiocommunication</w:t>
            </w:r>
            <w:proofErr w:type="spellEnd"/>
            <w:r w:rsidRPr="006240B5">
              <w:rPr>
                <w:b/>
                <w:bCs/>
              </w:rPr>
              <w:t xml:space="preserve"> Study Group 4 (Satellite services)</w:t>
            </w:r>
          </w:p>
          <w:p w:rsidR="000766A1" w:rsidRPr="006240B5" w:rsidRDefault="000766A1" w:rsidP="000766A1">
            <w:pPr>
              <w:tabs>
                <w:tab w:val="clear" w:pos="794"/>
                <w:tab w:val="clear" w:pos="1191"/>
                <w:tab w:val="clear" w:pos="1588"/>
                <w:tab w:val="clear" w:pos="1985"/>
                <w:tab w:val="left" w:pos="1843"/>
              </w:tabs>
              <w:spacing w:before="120"/>
              <w:ind w:left="459" w:hanging="459"/>
              <w:rPr>
                <w:b/>
                <w:bCs/>
              </w:rPr>
            </w:pPr>
            <w:r w:rsidRPr="006240B5">
              <w:rPr>
                <w:b/>
                <w:bCs/>
              </w:rPr>
              <w:t>–</w:t>
            </w:r>
            <w:r w:rsidRPr="006240B5">
              <w:rPr>
                <w:b/>
                <w:bCs/>
              </w:rPr>
              <w:tab/>
              <w:t>Proposed adoption by correspondence of 1 draft new ITU</w:t>
            </w:r>
            <w:r w:rsidRPr="006240B5">
              <w:rPr>
                <w:b/>
                <w:bCs/>
              </w:rPr>
              <w:noBreakHyphen/>
              <w:t>R Recommendation</w:t>
            </w:r>
          </w:p>
          <w:p w:rsidR="00B4054B" w:rsidRPr="00CD4E44" w:rsidRDefault="00B4054B" w:rsidP="00B4054B">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0766A1" w:rsidRPr="006240B5" w:rsidRDefault="000766A1" w:rsidP="00D901CD">
      <w:pPr>
        <w:pStyle w:val="Normalaftertitle0"/>
        <w:jc w:val="both"/>
        <w:rPr>
          <w:rFonts w:asciiTheme="minorHAnsi" w:hAnsiTheme="minorHAnsi" w:cstheme="minorHAnsi"/>
        </w:rPr>
      </w:pPr>
      <w:r w:rsidRPr="006240B5">
        <w:rPr>
          <w:rFonts w:asciiTheme="minorHAnsi" w:hAnsiTheme="minorHAnsi" w:cstheme="minorHAnsi"/>
        </w:rPr>
        <w:t xml:space="preserve">At the meeting of </w:t>
      </w:r>
      <w:proofErr w:type="spellStart"/>
      <w:r w:rsidRPr="006240B5">
        <w:rPr>
          <w:rFonts w:asciiTheme="minorHAnsi" w:hAnsiTheme="minorHAnsi" w:cstheme="minorHAnsi"/>
        </w:rPr>
        <w:t>Radiocommunication</w:t>
      </w:r>
      <w:proofErr w:type="spellEnd"/>
      <w:r w:rsidRPr="006240B5">
        <w:rPr>
          <w:rFonts w:asciiTheme="minorHAnsi" w:hAnsiTheme="minorHAnsi" w:cstheme="minorHAnsi"/>
        </w:rPr>
        <w:t xml:space="preserve"> Study Group 4, held on</w:t>
      </w:r>
      <w:r>
        <w:rPr>
          <w:rFonts w:asciiTheme="minorHAnsi" w:hAnsiTheme="minorHAnsi" w:cstheme="minorHAnsi"/>
        </w:rPr>
        <w:t xml:space="preserve"> </w:t>
      </w:r>
      <w:r w:rsidRPr="006240B5">
        <w:rPr>
          <w:rFonts w:asciiTheme="minorHAnsi" w:hAnsiTheme="minorHAnsi" w:cstheme="minorHAnsi"/>
        </w:rPr>
        <w:t>26 June 2015, the Study Group decided to seek adoption of 1 draft new ITU-R Recommendation in accordance with § 10.2.3 of Resolution ITU</w:t>
      </w:r>
      <w:r w:rsidRPr="006240B5">
        <w:rPr>
          <w:rFonts w:asciiTheme="minorHAnsi" w:hAnsiTheme="minorHAnsi" w:cstheme="minorHAnsi"/>
        </w:rPr>
        <w:noBreakHyphen/>
        <w:t>R 1-6 (Adoption by a Study Group by correspondence). The title and summar</w:t>
      </w:r>
      <w:r w:rsidRPr="00D82DE6">
        <w:rPr>
          <w:rFonts w:asciiTheme="minorHAnsi" w:hAnsiTheme="minorHAnsi" w:cstheme="minorHAnsi"/>
        </w:rPr>
        <w:t>y</w:t>
      </w:r>
      <w:r w:rsidRPr="006240B5">
        <w:rPr>
          <w:rFonts w:asciiTheme="minorHAnsi" w:hAnsiTheme="minorHAnsi" w:cstheme="minorHAnsi"/>
        </w:rPr>
        <w:t xml:space="preserve"> of the draft Recommendation are given in the Annex</w:t>
      </w:r>
      <w:r>
        <w:rPr>
          <w:rFonts w:asciiTheme="minorHAnsi" w:hAnsiTheme="minorHAnsi" w:cstheme="minorHAnsi"/>
        </w:rPr>
        <w:t>.</w:t>
      </w:r>
    </w:p>
    <w:p w:rsidR="000766A1" w:rsidRPr="006240B5" w:rsidRDefault="000766A1" w:rsidP="000766A1">
      <w:pPr>
        <w:tabs>
          <w:tab w:val="left" w:pos="0"/>
          <w:tab w:val="left" w:pos="1134"/>
          <w:tab w:val="left" w:pos="3119"/>
        </w:tabs>
        <w:spacing w:before="240" w:after="240"/>
        <w:rPr>
          <w:rFonts w:asciiTheme="minorHAnsi" w:hAnsiTheme="minorHAnsi" w:cstheme="minorHAnsi"/>
        </w:rPr>
      </w:pPr>
      <w:r w:rsidRPr="006240B5">
        <w:rPr>
          <w:rFonts w:asciiTheme="minorHAnsi" w:hAnsiTheme="minorHAnsi" w:cstheme="minorHAnsi"/>
        </w:rPr>
        <w:t>The consideration period shall extend for two months ending on</w:t>
      </w:r>
      <w:r>
        <w:rPr>
          <w:rFonts w:asciiTheme="minorHAnsi" w:hAnsiTheme="minorHAnsi" w:cstheme="minorHAnsi"/>
        </w:rPr>
        <w:t xml:space="preserve"> </w:t>
      </w:r>
      <w:r w:rsidRPr="006240B5">
        <w:rPr>
          <w:rFonts w:asciiTheme="minorHAnsi" w:hAnsiTheme="minorHAnsi" w:cstheme="minorHAnsi"/>
          <w:u w:val="single"/>
        </w:rPr>
        <w:t>10 September 2015</w:t>
      </w:r>
      <w:r w:rsidRPr="006240B5">
        <w:rPr>
          <w:rFonts w:asciiTheme="minorHAnsi" w:hAnsiTheme="minorHAnsi" w:cstheme="minorHAnsi"/>
        </w:rPr>
        <w:t>. If within this period no objections are received from Member States, the approval by consultation procedure of § 10.4.5 of Resolution ITU</w:t>
      </w:r>
      <w:r w:rsidRPr="006240B5">
        <w:rPr>
          <w:rFonts w:asciiTheme="minorHAnsi" w:hAnsiTheme="minorHAnsi" w:cstheme="minorHAnsi"/>
        </w:rPr>
        <w:noBreakHyphen/>
        <w:t>R 1</w:t>
      </w:r>
      <w:r w:rsidRPr="006240B5">
        <w:rPr>
          <w:rFonts w:asciiTheme="minorHAnsi" w:hAnsiTheme="minorHAnsi" w:cstheme="minorHAnsi"/>
        </w:rPr>
        <w:noBreakHyphen/>
        <w:t xml:space="preserve">6 will be initiated. </w:t>
      </w:r>
    </w:p>
    <w:p w:rsidR="000766A1" w:rsidRPr="00E97923" w:rsidRDefault="000766A1" w:rsidP="000766A1">
      <w:pPr>
        <w:tabs>
          <w:tab w:val="left" w:pos="0"/>
          <w:tab w:val="left" w:pos="1134"/>
          <w:tab w:val="left" w:pos="3119"/>
        </w:tabs>
        <w:spacing w:before="240" w:after="240"/>
        <w:rPr>
          <w:rFonts w:asciiTheme="minorHAnsi" w:hAnsiTheme="minorHAnsi" w:cstheme="minorHAnsi"/>
        </w:rPr>
      </w:pPr>
      <w:r w:rsidRPr="006240B5">
        <w:rPr>
          <w:rFonts w:asciiTheme="minorHAnsi" w:hAnsiTheme="minorHAnsi" w:cstheme="minorHAnsi"/>
        </w:rPr>
        <w:t xml:space="preserve">Any Member State who objects to </w:t>
      </w:r>
      <w:r w:rsidRPr="00D82DE6">
        <w:rPr>
          <w:rFonts w:asciiTheme="minorHAnsi" w:hAnsiTheme="minorHAnsi" w:cstheme="minorHAnsi"/>
        </w:rPr>
        <w:t>the adoption of the</w:t>
      </w:r>
      <w:r w:rsidRPr="006240B5">
        <w:rPr>
          <w:rFonts w:asciiTheme="minorHAnsi" w:hAnsiTheme="minorHAnsi" w:cstheme="minorHAnsi"/>
        </w:rPr>
        <w:t xml:space="preserve"> draft Recommendation is requested to inform the Director and the Chairman of the Study Group of the reasons for the objection.</w:t>
      </w:r>
    </w:p>
    <w:p w:rsidR="000766A1" w:rsidRDefault="000766A1" w:rsidP="000766A1">
      <w:pPr>
        <w:tabs>
          <w:tab w:val="clear" w:pos="794"/>
          <w:tab w:val="clear" w:pos="1191"/>
          <w:tab w:val="clear" w:pos="1588"/>
          <w:tab w:val="clear" w:pos="1985"/>
        </w:tabs>
        <w:overflowPunct/>
        <w:autoSpaceDE/>
        <w:autoSpaceDN/>
        <w:adjustRightInd/>
        <w:spacing w:before="0"/>
        <w:textAlignment w:val="auto"/>
      </w:pPr>
      <w:r>
        <w:br w:type="page"/>
      </w:r>
    </w:p>
    <w:p w:rsidR="000766A1" w:rsidRDefault="000766A1" w:rsidP="000766A1">
      <w:pPr>
        <w:spacing w:before="136"/>
        <w:jc w:val="left"/>
      </w:pPr>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ITU-T/ITU-R/ISO/</w:t>
      </w:r>
      <w:proofErr w:type="spellStart"/>
      <w:r>
        <w:t>IEC</w:t>
      </w:r>
      <w:proofErr w:type="spellEnd"/>
      <w:r>
        <w:t xml:space="preserve"> is available at </w:t>
      </w:r>
      <w:hyperlink r:id="rId8" w:history="1">
        <w:r w:rsidRPr="005706D9">
          <w:rPr>
            <w:rStyle w:val="Hyperlink"/>
            <w:szCs w:val="24"/>
          </w:rPr>
          <w:t>http://</w:t>
        </w:r>
        <w:proofErr w:type="spellStart"/>
        <w:r w:rsidRPr="005706D9">
          <w:rPr>
            <w:rStyle w:val="Hyperlink"/>
            <w:szCs w:val="24"/>
          </w:rPr>
          <w:t>www.itu.int</w:t>
        </w:r>
        <w:proofErr w:type="spellEnd"/>
        <w:r w:rsidRPr="005706D9">
          <w:rPr>
            <w:rStyle w:val="Hyperlink"/>
            <w:szCs w:val="24"/>
          </w:rPr>
          <w:t>/</w:t>
        </w:r>
        <w:proofErr w:type="spellStart"/>
        <w:r w:rsidRPr="005706D9">
          <w:rPr>
            <w:rStyle w:val="Hyperlink"/>
            <w:szCs w:val="24"/>
          </w:rPr>
          <w:t>en</w:t>
        </w:r>
        <w:proofErr w:type="spellEnd"/>
        <w:r w:rsidRPr="005706D9">
          <w:rPr>
            <w:rStyle w:val="Hyperlink"/>
            <w:szCs w:val="24"/>
          </w:rPr>
          <w:t>/ITU-T/</w:t>
        </w:r>
        <w:proofErr w:type="spellStart"/>
        <w:r w:rsidRPr="005706D9">
          <w:rPr>
            <w:rStyle w:val="Hyperlink"/>
            <w:szCs w:val="24"/>
          </w:rPr>
          <w:t>ipr</w:t>
        </w:r>
        <w:proofErr w:type="spellEnd"/>
        <w:r w:rsidRPr="005706D9">
          <w:rPr>
            <w:rStyle w:val="Hyperlink"/>
            <w:szCs w:val="24"/>
          </w:rPr>
          <w:t>/Pages/</w:t>
        </w:r>
        <w:proofErr w:type="spellStart"/>
        <w:r w:rsidRPr="005706D9">
          <w:rPr>
            <w:rStyle w:val="Hyperlink"/>
            <w:szCs w:val="24"/>
          </w:rPr>
          <w:t>policy.aspx</w:t>
        </w:r>
        <w:proofErr w:type="spellEnd"/>
      </w:hyperlink>
      <w:r>
        <w:t>.</w:t>
      </w:r>
    </w:p>
    <w:p w:rsidR="000766A1" w:rsidRPr="001D2B65" w:rsidRDefault="000766A1" w:rsidP="000766A1">
      <w:pPr>
        <w:spacing w:before="1800" w:line="240" w:lineRule="auto"/>
        <w:jc w:val="left"/>
        <w:rPr>
          <w:rFonts w:asciiTheme="minorHAnsi" w:hAnsiTheme="minorHAnsi" w:cstheme="minorHAnsi"/>
          <w:szCs w:val="24"/>
        </w:rPr>
      </w:pPr>
      <w:r w:rsidRPr="001D2B65">
        <w:rPr>
          <w:rFonts w:asciiTheme="minorHAnsi" w:hAnsiTheme="minorHAnsi" w:cstheme="minorHAnsi"/>
          <w:szCs w:val="24"/>
        </w:rPr>
        <w:t xml:space="preserve">François </w:t>
      </w:r>
      <w:proofErr w:type="spellStart"/>
      <w:r w:rsidRPr="001D2B65">
        <w:rPr>
          <w:rFonts w:asciiTheme="minorHAnsi" w:hAnsiTheme="minorHAnsi" w:cstheme="minorHAnsi"/>
          <w:szCs w:val="24"/>
        </w:rPr>
        <w:t>Rancy</w:t>
      </w:r>
      <w:proofErr w:type="spellEnd"/>
    </w:p>
    <w:p w:rsidR="000766A1" w:rsidRPr="005706D9" w:rsidRDefault="000766A1" w:rsidP="000766A1">
      <w:pPr>
        <w:spacing w:before="0" w:line="240" w:lineRule="auto"/>
        <w:jc w:val="left"/>
        <w:rPr>
          <w:rFonts w:asciiTheme="minorHAnsi" w:hAnsiTheme="minorHAnsi" w:cstheme="minorHAnsi"/>
          <w:szCs w:val="24"/>
        </w:rPr>
      </w:pPr>
      <w:r w:rsidRPr="005706D9">
        <w:rPr>
          <w:rFonts w:asciiTheme="minorHAnsi" w:hAnsiTheme="minorHAnsi" w:cstheme="minorHAnsi"/>
          <w:szCs w:val="24"/>
        </w:rPr>
        <w:t>Director</w:t>
      </w:r>
    </w:p>
    <w:p w:rsidR="000766A1" w:rsidRPr="00741568" w:rsidRDefault="000766A1" w:rsidP="000766A1">
      <w:pPr>
        <w:tabs>
          <w:tab w:val="center" w:pos="7371"/>
        </w:tabs>
        <w:ind w:left="1191" w:hanging="1191"/>
        <w:rPr>
          <w:szCs w:val="24"/>
          <w:u w:val="single"/>
        </w:rPr>
      </w:pPr>
    </w:p>
    <w:p w:rsidR="000766A1" w:rsidRPr="00782DE8" w:rsidRDefault="000766A1" w:rsidP="000766A1">
      <w:pPr>
        <w:ind w:left="1191" w:hanging="1191"/>
        <w:rPr>
          <w:sz w:val="22"/>
          <w:u w:val="single"/>
        </w:rPr>
      </w:pPr>
    </w:p>
    <w:p w:rsidR="000766A1" w:rsidRPr="00315B74" w:rsidRDefault="000766A1" w:rsidP="000766A1">
      <w:pPr>
        <w:rPr>
          <w:u w:val="single"/>
        </w:rPr>
      </w:pPr>
      <w:r w:rsidRPr="00315B74">
        <w:rPr>
          <w:b/>
          <w:bCs/>
        </w:rPr>
        <w:t>Annex:</w:t>
      </w:r>
      <w:r w:rsidRPr="00315B74">
        <w:t xml:space="preserve"> </w:t>
      </w:r>
      <w:r w:rsidRPr="00315B74">
        <w:tab/>
      </w:r>
      <w:r w:rsidRPr="00315B74">
        <w:tab/>
        <w:t>Title and summary of the draft Recommendation</w:t>
      </w:r>
    </w:p>
    <w:p w:rsidR="000766A1" w:rsidRPr="00315B74" w:rsidRDefault="000766A1" w:rsidP="000766A1">
      <w:pPr>
        <w:ind w:left="1191" w:hanging="1191"/>
        <w:rPr>
          <w:u w:val="single"/>
        </w:rPr>
      </w:pPr>
    </w:p>
    <w:p w:rsidR="000766A1" w:rsidRPr="00D82DE6" w:rsidRDefault="000766A1" w:rsidP="000766A1">
      <w:r w:rsidRPr="00D82DE6">
        <w:rPr>
          <w:b/>
          <w:bCs/>
        </w:rPr>
        <w:t xml:space="preserve">Document: </w:t>
      </w:r>
      <w:r w:rsidRPr="00D82DE6">
        <w:rPr>
          <w:b/>
          <w:bCs/>
        </w:rPr>
        <w:tab/>
      </w:r>
      <w:r w:rsidRPr="00D82DE6">
        <w:t xml:space="preserve">Document </w:t>
      </w:r>
      <w:hyperlink r:id="rId9" w:history="1">
        <w:r w:rsidRPr="00E8104F">
          <w:rPr>
            <w:rStyle w:val="Hyperlink"/>
          </w:rPr>
          <w:t>4/101(</w:t>
        </w:r>
        <w:proofErr w:type="spellStart"/>
        <w:r w:rsidRPr="00E8104F">
          <w:rPr>
            <w:rStyle w:val="Hyperlink"/>
          </w:rPr>
          <w:t>Rev.1</w:t>
        </w:r>
        <w:proofErr w:type="spellEnd"/>
        <w:r w:rsidRPr="00E8104F">
          <w:rPr>
            <w:rStyle w:val="Hyperlink"/>
          </w:rPr>
          <w:t>)</w:t>
        </w:r>
      </w:hyperlink>
      <w:r w:rsidRPr="00D82DE6">
        <w:t xml:space="preserve"> </w:t>
      </w:r>
    </w:p>
    <w:p w:rsidR="000766A1" w:rsidRPr="00D82DE6" w:rsidRDefault="000766A1" w:rsidP="000766A1">
      <w:pPr>
        <w:tabs>
          <w:tab w:val="left" w:pos="284"/>
          <w:tab w:val="left" w:pos="568"/>
        </w:tabs>
        <w:spacing w:before="60" w:after="60"/>
        <w:rPr>
          <w:sz w:val="22"/>
          <w:u w:val="single"/>
        </w:rPr>
      </w:pPr>
    </w:p>
    <w:p w:rsidR="000766A1" w:rsidRPr="00315B74" w:rsidRDefault="000766A1" w:rsidP="000766A1">
      <w:pPr>
        <w:tabs>
          <w:tab w:val="clear" w:pos="1588"/>
          <w:tab w:val="left" w:pos="2552"/>
        </w:tabs>
      </w:pPr>
      <w:r w:rsidRPr="00315B74">
        <w:t xml:space="preserve">This document is available in electronic format at: </w:t>
      </w:r>
      <w:hyperlink r:id="rId10" w:history="1">
        <w:r w:rsidRPr="00315B74">
          <w:rPr>
            <w:rStyle w:val="Hyperlink"/>
          </w:rPr>
          <w:t>http://</w:t>
        </w:r>
        <w:proofErr w:type="spellStart"/>
        <w:r w:rsidRPr="00315B74">
          <w:rPr>
            <w:rStyle w:val="Hyperlink"/>
          </w:rPr>
          <w:t>www.itu.int</w:t>
        </w:r>
        <w:proofErr w:type="spellEnd"/>
        <w:r w:rsidRPr="00315B74">
          <w:rPr>
            <w:rStyle w:val="Hyperlink"/>
          </w:rPr>
          <w:t>/md/</w:t>
        </w:r>
        <w:proofErr w:type="spellStart"/>
        <w:r w:rsidRPr="00315B74">
          <w:rPr>
            <w:rStyle w:val="Hyperlink"/>
          </w:rPr>
          <w:t>R12</w:t>
        </w:r>
        <w:proofErr w:type="spellEnd"/>
        <w:r w:rsidRPr="00315B74">
          <w:rPr>
            <w:rStyle w:val="Hyperlink"/>
          </w:rPr>
          <w:t>-</w:t>
        </w:r>
        <w:proofErr w:type="spellStart"/>
        <w:r w:rsidRPr="00315B74">
          <w:rPr>
            <w:rStyle w:val="Hyperlink"/>
          </w:rPr>
          <w:t>sg04</w:t>
        </w:r>
        <w:proofErr w:type="spellEnd"/>
        <w:r w:rsidRPr="00315B74">
          <w:rPr>
            <w:rStyle w:val="Hyperlink"/>
          </w:rPr>
          <w:t>-C/</w:t>
        </w:r>
        <w:proofErr w:type="spellStart"/>
        <w:r w:rsidRPr="00315B74">
          <w:rPr>
            <w:rStyle w:val="Hyperlink"/>
          </w:rPr>
          <w:t>en</w:t>
        </w:r>
        <w:proofErr w:type="spellEnd"/>
      </w:hyperlink>
      <w:r w:rsidRPr="00315B74">
        <w:t xml:space="preserve"> </w:t>
      </w:r>
    </w:p>
    <w:p w:rsidR="000766A1" w:rsidRDefault="000766A1" w:rsidP="000766A1">
      <w:pPr>
        <w:tabs>
          <w:tab w:val="left" w:pos="284"/>
          <w:tab w:val="left" w:pos="568"/>
        </w:tabs>
        <w:spacing w:before="2040" w:after="60"/>
        <w:rPr>
          <w:b/>
          <w:bCs/>
          <w:sz w:val="18"/>
          <w:szCs w:val="18"/>
        </w:rPr>
      </w:pPr>
    </w:p>
    <w:p w:rsidR="000766A1" w:rsidRPr="00B66C6E" w:rsidRDefault="000766A1" w:rsidP="000766A1">
      <w:pPr>
        <w:tabs>
          <w:tab w:val="left" w:pos="284"/>
          <w:tab w:val="left" w:pos="568"/>
        </w:tabs>
        <w:spacing w:before="3000" w:after="60"/>
        <w:rPr>
          <w:b/>
          <w:bCs/>
          <w:sz w:val="18"/>
          <w:szCs w:val="18"/>
        </w:rPr>
      </w:pPr>
      <w:r w:rsidRPr="00315B74">
        <w:rPr>
          <w:b/>
          <w:bCs/>
          <w:sz w:val="18"/>
          <w:szCs w:val="18"/>
        </w:rPr>
        <w:t>Distribution:</w:t>
      </w:r>
    </w:p>
    <w:p w:rsidR="000766A1" w:rsidRPr="00315B74" w:rsidRDefault="000766A1" w:rsidP="000766A1">
      <w:pPr>
        <w:pStyle w:val="FirstFooter"/>
        <w:tabs>
          <w:tab w:val="left" w:pos="284"/>
          <w:tab w:val="left" w:pos="568"/>
          <w:tab w:val="left" w:pos="794"/>
          <w:tab w:val="left" w:pos="1191"/>
          <w:tab w:val="left" w:pos="1588"/>
          <w:tab w:val="left" w:pos="1985"/>
        </w:tabs>
        <w:spacing w:before="0" w:line="240" w:lineRule="auto"/>
        <w:ind w:left="284" w:hanging="284"/>
        <w:rPr>
          <w:sz w:val="18"/>
          <w:szCs w:val="18"/>
        </w:rPr>
      </w:pPr>
      <w:r w:rsidRPr="00B66C6E">
        <w:rPr>
          <w:sz w:val="18"/>
          <w:szCs w:val="18"/>
        </w:rPr>
        <w:t>–</w:t>
      </w:r>
      <w:r w:rsidRPr="00B66C6E">
        <w:rPr>
          <w:sz w:val="18"/>
          <w:szCs w:val="18"/>
        </w:rPr>
        <w:tab/>
        <w:t xml:space="preserve">Administrations of Member States of the ITU and </w:t>
      </w:r>
      <w:proofErr w:type="spellStart"/>
      <w:r w:rsidRPr="00B66C6E">
        <w:rPr>
          <w:sz w:val="18"/>
          <w:szCs w:val="18"/>
        </w:rPr>
        <w:t>Radiocommunication</w:t>
      </w:r>
      <w:proofErr w:type="spellEnd"/>
      <w:r w:rsidRPr="00B66C6E">
        <w:rPr>
          <w:sz w:val="18"/>
          <w:szCs w:val="18"/>
        </w:rPr>
        <w:t xml:space="preserve"> Sector Members participating in the work of</w:t>
      </w:r>
      <w:r w:rsidRPr="00B66C6E">
        <w:rPr>
          <w:sz w:val="18"/>
          <w:szCs w:val="18"/>
        </w:rPr>
        <w:br/>
      </w:r>
      <w:proofErr w:type="spellStart"/>
      <w:r w:rsidRPr="00B66C6E">
        <w:rPr>
          <w:sz w:val="18"/>
          <w:szCs w:val="18"/>
        </w:rPr>
        <w:t>Radiocommunication</w:t>
      </w:r>
      <w:proofErr w:type="spellEnd"/>
      <w:r w:rsidRPr="00B66C6E">
        <w:rPr>
          <w:sz w:val="18"/>
          <w:szCs w:val="18"/>
        </w:rPr>
        <w:t xml:space="preserve"> </w:t>
      </w:r>
      <w:r w:rsidRPr="00315B74">
        <w:rPr>
          <w:sz w:val="18"/>
          <w:szCs w:val="18"/>
        </w:rPr>
        <w:t>Study Group 4</w:t>
      </w:r>
    </w:p>
    <w:p w:rsidR="000766A1" w:rsidRPr="00315B74" w:rsidRDefault="000766A1" w:rsidP="000766A1">
      <w:pPr>
        <w:pStyle w:val="FirstFooter"/>
        <w:tabs>
          <w:tab w:val="left" w:pos="284"/>
          <w:tab w:val="left" w:pos="568"/>
          <w:tab w:val="left" w:pos="794"/>
          <w:tab w:val="left" w:pos="1191"/>
          <w:tab w:val="left" w:pos="1588"/>
          <w:tab w:val="left" w:pos="1985"/>
        </w:tabs>
        <w:spacing w:before="0" w:line="240" w:lineRule="auto"/>
        <w:rPr>
          <w:sz w:val="18"/>
          <w:szCs w:val="18"/>
        </w:rPr>
      </w:pPr>
      <w:r w:rsidRPr="00315B74">
        <w:rPr>
          <w:sz w:val="18"/>
          <w:szCs w:val="18"/>
        </w:rPr>
        <w:t>–</w:t>
      </w:r>
      <w:r w:rsidRPr="00315B74">
        <w:rPr>
          <w:sz w:val="18"/>
          <w:szCs w:val="18"/>
        </w:rPr>
        <w:tab/>
        <w:t xml:space="preserve">ITU-R Associates participating in the work of </w:t>
      </w:r>
      <w:proofErr w:type="spellStart"/>
      <w:r w:rsidRPr="00315B74">
        <w:rPr>
          <w:sz w:val="18"/>
          <w:szCs w:val="18"/>
        </w:rPr>
        <w:t>Radiocommunication</w:t>
      </w:r>
      <w:proofErr w:type="spellEnd"/>
      <w:r w:rsidRPr="00315B74">
        <w:rPr>
          <w:sz w:val="18"/>
          <w:szCs w:val="18"/>
        </w:rPr>
        <w:t xml:space="preserve"> Study Group 4</w:t>
      </w:r>
    </w:p>
    <w:p w:rsidR="000766A1" w:rsidRPr="00315B74" w:rsidRDefault="000766A1" w:rsidP="000766A1">
      <w:pPr>
        <w:tabs>
          <w:tab w:val="left" w:pos="284"/>
          <w:tab w:val="left" w:pos="568"/>
        </w:tabs>
        <w:spacing w:before="0" w:line="240" w:lineRule="auto"/>
        <w:rPr>
          <w:sz w:val="18"/>
          <w:szCs w:val="18"/>
        </w:rPr>
      </w:pPr>
      <w:r w:rsidRPr="00315B74">
        <w:rPr>
          <w:sz w:val="18"/>
          <w:szCs w:val="18"/>
        </w:rPr>
        <w:t>–</w:t>
      </w:r>
      <w:r w:rsidRPr="00315B74">
        <w:rPr>
          <w:sz w:val="18"/>
          <w:szCs w:val="18"/>
        </w:rPr>
        <w:tab/>
        <w:t xml:space="preserve">Chairman and Vice-Chairmen of </w:t>
      </w:r>
      <w:proofErr w:type="spellStart"/>
      <w:r w:rsidRPr="00315B74">
        <w:rPr>
          <w:sz w:val="18"/>
          <w:szCs w:val="18"/>
        </w:rPr>
        <w:t>Radiocommunication</w:t>
      </w:r>
      <w:proofErr w:type="spellEnd"/>
      <w:r w:rsidRPr="00315B74">
        <w:rPr>
          <w:sz w:val="18"/>
          <w:szCs w:val="18"/>
        </w:rPr>
        <w:t xml:space="preserve"> Study Group 4</w:t>
      </w:r>
    </w:p>
    <w:p w:rsidR="000766A1" w:rsidRPr="00F0013E" w:rsidRDefault="000766A1" w:rsidP="000766A1">
      <w:pPr>
        <w:tabs>
          <w:tab w:val="left" w:pos="284"/>
          <w:tab w:val="left" w:pos="567"/>
          <w:tab w:val="left" w:pos="6237"/>
        </w:tabs>
        <w:spacing w:before="0" w:line="240" w:lineRule="auto"/>
        <w:rPr>
          <w:sz w:val="18"/>
          <w:szCs w:val="18"/>
        </w:rPr>
      </w:pPr>
      <w:r w:rsidRPr="00315B74">
        <w:rPr>
          <w:sz w:val="18"/>
          <w:szCs w:val="18"/>
        </w:rPr>
        <w:t>–</w:t>
      </w:r>
      <w:r w:rsidRPr="00315B74">
        <w:rPr>
          <w:sz w:val="18"/>
          <w:szCs w:val="18"/>
        </w:rPr>
        <w:tab/>
        <w:t>Chairman and Vice-Chairmen of the Conference Preparatory Meeting</w:t>
      </w:r>
    </w:p>
    <w:p w:rsidR="000766A1" w:rsidRPr="00F0013E" w:rsidRDefault="000766A1" w:rsidP="000766A1">
      <w:pPr>
        <w:tabs>
          <w:tab w:val="left" w:pos="284"/>
          <w:tab w:val="left" w:pos="567"/>
          <w:tab w:val="left" w:pos="6237"/>
        </w:tabs>
        <w:spacing w:before="0" w:line="240" w:lineRule="auto"/>
        <w:rPr>
          <w:sz w:val="18"/>
          <w:szCs w:val="18"/>
        </w:rPr>
      </w:pPr>
      <w:r w:rsidRPr="00F0013E">
        <w:rPr>
          <w:sz w:val="18"/>
          <w:szCs w:val="18"/>
        </w:rPr>
        <w:t>–</w:t>
      </w:r>
      <w:r w:rsidRPr="00F0013E">
        <w:rPr>
          <w:sz w:val="18"/>
          <w:szCs w:val="18"/>
        </w:rPr>
        <w:tab/>
        <w:t>Members of the Radio Regulations Board</w:t>
      </w:r>
    </w:p>
    <w:p w:rsidR="000766A1" w:rsidRPr="00B66C6E" w:rsidRDefault="000766A1" w:rsidP="000766A1">
      <w:pPr>
        <w:tabs>
          <w:tab w:val="left" w:pos="284"/>
          <w:tab w:val="left" w:pos="568"/>
        </w:tabs>
        <w:spacing w:before="0" w:line="240" w:lineRule="auto"/>
        <w:rPr>
          <w:sz w:val="18"/>
          <w:szCs w:val="18"/>
        </w:rPr>
      </w:pPr>
      <w:r w:rsidRPr="00B66C6E">
        <w:rPr>
          <w:sz w:val="18"/>
          <w:szCs w:val="18"/>
        </w:rPr>
        <w:t>–</w:t>
      </w:r>
      <w:r w:rsidRPr="00B66C6E">
        <w:rPr>
          <w:sz w:val="18"/>
          <w:szCs w:val="18"/>
        </w:rPr>
        <w:tab/>
        <w:t xml:space="preserve">Secretary-General of the ITU, Director of the Telecommunication Standardization Bureau, Director of the Telecommunication </w:t>
      </w:r>
      <w:r w:rsidRPr="00B66C6E">
        <w:rPr>
          <w:sz w:val="18"/>
          <w:szCs w:val="18"/>
        </w:rPr>
        <w:tab/>
        <w:t>Development Bureau</w:t>
      </w:r>
    </w:p>
    <w:p w:rsidR="000766A1" w:rsidRPr="00D82DE6" w:rsidRDefault="000766A1" w:rsidP="000766A1">
      <w:pPr>
        <w:pStyle w:val="AnnexNotitle0"/>
        <w:rPr>
          <w:rFonts w:ascii="Calibri" w:hAnsi="Calibri" w:cs="Calibri"/>
          <w:szCs w:val="28"/>
        </w:rPr>
      </w:pPr>
      <w:r>
        <w:rPr>
          <w:sz w:val="16"/>
          <w:u w:val="single"/>
        </w:rPr>
        <w:br w:type="page"/>
      </w:r>
      <w:r w:rsidRPr="00D82DE6">
        <w:rPr>
          <w:rFonts w:ascii="Calibri" w:hAnsi="Calibri" w:cs="Calibri"/>
          <w:szCs w:val="28"/>
        </w:rPr>
        <w:lastRenderedPageBreak/>
        <w:t>Annex</w:t>
      </w:r>
      <w:r w:rsidRPr="00D82DE6">
        <w:rPr>
          <w:rFonts w:ascii="Calibri" w:hAnsi="Calibri" w:cs="Calibri"/>
          <w:szCs w:val="28"/>
        </w:rPr>
        <w:br/>
      </w:r>
      <w:r w:rsidRPr="00D82DE6">
        <w:rPr>
          <w:rFonts w:ascii="Calibri" w:hAnsi="Calibri" w:cs="Calibri"/>
          <w:szCs w:val="28"/>
        </w:rPr>
        <w:br/>
        <w:t>Title and summary of the draft Recommendation</w:t>
      </w:r>
    </w:p>
    <w:p w:rsidR="000766A1" w:rsidRPr="007B4F4F" w:rsidRDefault="000766A1" w:rsidP="000766A1"/>
    <w:p w:rsidR="000766A1" w:rsidRPr="007B4F4F" w:rsidRDefault="000766A1" w:rsidP="000766A1"/>
    <w:p w:rsidR="000766A1" w:rsidRPr="007B4F4F" w:rsidRDefault="000766A1" w:rsidP="000766A1">
      <w:pPr>
        <w:tabs>
          <w:tab w:val="right" w:pos="9639"/>
        </w:tabs>
      </w:pPr>
      <w:r w:rsidRPr="007B4F4F">
        <w:rPr>
          <w:u w:val="single"/>
        </w:rPr>
        <w:t>Draft new Recommendation ITU-R M</w:t>
      </w:r>
      <w:proofErr w:type="gramStart"/>
      <w:r w:rsidRPr="007B4F4F">
        <w:rPr>
          <w:u w:val="single"/>
        </w:rPr>
        <w:t>.[</w:t>
      </w:r>
      <w:proofErr w:type="spellStart"/>
      <w:proofErr w:type="gramEnd"/>
      <w:r w:rsidRPr="007B4F4F">
        <w:rPr>
          <w:u w:val="single"/>
        </w:rPr>
        <w:t>MSS</w:t>
      </w:r>
      <w:proofErr w:type="spellEnd"/>
      <w:r w:rsidRPr="007B4F4F">
        <w:rPr>
          <w:u w:val="single"/>
        </w:rPr>
        <w:t>-</w:t>
      </w:r>
      <w:proofErr w:type="spellStart"/>
      <w:r w:rsidRPr="007B4F4F">
        <w:rPr>
          <w:u w:val="single"/>
        </w:rPr>
        <w:t>RDSS</w:t>
      </w:r>
      <w:proofErr w:type="spellEnd"/>
      <w:r w:rsidRPr="007B4F4F">
        <w:rPr>
          <w:u w:val="single"/>
        </w:rPr>
        <w:t>-SHARE]</w:t>
      </w:r>
      <w:r w:rsidRPr="007B4F4F">
        <w:tab/>
        <w:t xml:space="preserve">Doc. </w:t>
      </w:r>
      <w:r>
        <w:t>4</w:t>
      </w:r>
      <w:r w:rsidRPr="007B4F4F">
        <w:t>/</w:t>
      </w:r>
      <w:r>
        <w:t>101</w:t>
      </w:r>
      <w:r w:rsidRPr="007B4F4F">
        <w:t>(</w:t>
      </w:r>
      <w:proofErr w:type="spellStart"/>
      <w:r w:rsidRPr="007B4F4F">
        <w:t>Rev.1</w:t>
      </w:r>
      <w:proofErr w:type="spellEnd"/>
      <w:r w:rsidRPr="007B4F4F">
        <w:t>)</w:t>
      </w:r>
    </w:p>
    <w:p w:rsidR="000766A1" w:rsidRDefault="000766A1" w:rsidP="000766A1">
      <w:pPr>
        <w:pStyle w:val="Rectitle"/>
        <w:rPr>
          <w:lang w:val="en-GB"/>
        </w:rPr>
      </w:pPr>
      <w:r w:rsidRPr="007B4F4F">
        <w:rPr>
          <w:lang w:val="en-GB"/>
        </w:rPr>
        <w:t xml:space="preserve">Coordination of the mobile-satellite service and the </w:t>
      </w:r>
      <w:proofErr w:type="spellStart"/>
      <w:r w:rsidRPr="007B4F4F">
        <w:rPr>
          <w:lang w:val="en-GB"/>
        </w:rPr>
        <w:t>radiodetermination</w:t>
      </w:r>
      <w:proofErr w:type="spellEnd"/>
      <w:r w:rsidRPr="007B4F4F">
        <w:rPr>
          <w:lang w:val="en-GB"/>
        </w:rPr>
        <w:t>-satellite</w:t>
      </w:r>
      <w:r w:rsidRPr="006240B5">
        <w:rPr>
          <w:lang w:val="en-GB"/>
        </w:rPr>
        <w:t xml:space="preserve"> service with the fixed service based on the power flux-density coordination</w:t>
      </w:r>
      <w:r w:rsidRPr="006240B5">
        <w:rPr>
          <w:lang w:val="en-GB"/>
        </w:rPr>
        <w:br/>
        <w:t>trigger levels in the 2 483.5-2 500 MHz band</w:t>
      </w:r>
    </w:p>
    <w:p w:rsidR="000766A1" w:rsidRPr="00F76CB2" w:rsidRDefault="000766A1" w:rsidP="000766A1">
      <w:r w:rsidRPr="00435E02">
        <w:rPr>
          <w:szCs w:val="24"/>
        </w:rPr>
        <w:t xml:space="preserve">Under its </w:t>
      </w:r>
      <w:r>
        <w:rPr>
          <w:szCs w:val="24"/>
        </w:rPr>
        <w:t>a</w:t>
      </w:r>
      <w:r w:rsidRPr="00435E02">
        <w:rPr>
          <w:szCs w:val="24"/>
        </w:rPr>
        <w:t xml:space="preserve">genda </w:t>
      </w:r>
      <w:r>
        <w:rPr>
          <w:szCs w:val="24"/>
        </w:rPr>
        <w:t>i</w:t>
      </w:r>
      <w:r w:rsidRPr="00435E02">
        <w:rPr>
          <w:szCs w:val="24"/>
        </w:rPr>
        <w:t xml:space="preserve">tem 1.18, </w:t>
      </w:r>
      <w:proofErr w:type="spellStart"/>
      <w:r w:rsidRPr="00435E02">
        <w:rPr>
          <w:szCs w:val="24"/>
        </w:rPr>
        <w:t>WRC</w:t>
      </w:r>
      <w:proofErr w:type="spellEnd"/>
      <w:r w:rsidRPr="00435E02">
        <w:rPr>
          <w:szCs w:val="24"/>
        </w:rPr>
        <w:t xml:space="preserve">-12 decided to allocate the band 2 483.5-2 500 MHz to the </w:t>
      </w:r>
      <w:proofErr w:type="spellStart"/>
      <w:r w:rsidRPr="00435E02">
        <w:rPr>
          <w:szCs w:val="24"/>
        </w:rPr>
        <w:t>radiodetermination</w:t>
      </w:r>
      <w:proofErr w:type="spellEnd"/>
      <w:r>
        <w:rPr>
          <w:szCs w:val="24"/>
        </w:rPr>
        <w:t>-</w:t>
      </w:r>
      <w:r w:rsidRPr="00435E02">
        <w:rPr>
          <w:szCs w:val="24"/>
        </w:rPr>
        <w:t xml:space="preserve">satellite service on a primary basis, subject to threshold </w:t>
      </w:r>
      <w:proofErr w:type="spellStart"/>
      <w:r w:rsidRPr="00435E02">
        <w:rPr>
          <w:szCs w:val="24"/>
        </w:rPr>
        <w:t>pfd</w:t>
      </w:r>
      <w:proofErr w:type="spellEnd"/>
      <w:r w:rsidRPr="00435E02">
        <w:rPr>
          <w:szCs w:val="24"/>
        </w:rPr>
        <w:t xml:space="preserve"> levels defined in </w:t>
      </w:r>
      <w:r>
        <w:rPr>
          <w:szCs w:val="24"/>
        </w:rPr>
        <w:t xml:space="preserve">RR </w:t>
      </w:r>
      <w:r w:rsidRPr="00435E02">
        <w:rPr>
          <w:szCs w:val="24"/>
        </w:rPr>
        <w:t xml:space="preserve">Appendix </w:t>
      </w:r>
      <w:r w:rsidRPr="00740E65">
        <w:rPr>
          <w:b/>
          <w:bCs/>
          <w:szCs w:val="24"/>
        </w:rPr>
        <w:t>5</w:t>
      </w:r>
      <w:r w:rsidRPr="00435E02">
        <w:rPr>
          <w:szCs w:val="24"/>
        </w:rPr>
        <w:t xml:space="preserve"> that trigger coordination with in-band terrestrial services.  As </w:t>
      </w:r>
      <w:proofErr w:type="spellStart"/>
      <w:r w:rsidRPr="00435E02">
        <w:rPr>
          <w:szCs w:val="24"/>
        </w:rPr>
        <w:t>MSS</w:t>
      </w:r>
      <w:proofErr w:type="spellEnd"/>
      <w:r w:rsidRPr="00435E02">
        <w:rPr>
          <w:szCs w:val="24"/>
        </w:rPr>
        <w:t xml:space="preserve"> also operates in that band, some administrations operating co-frequency fixed services had expressed a desire for a Recommendation to be developed to assist potential </w:t>
      </w:r>
      <w:proofErr w:type="spellStart"/>
      <w:r w:rsidRPr="00435E02">
        <w:rPr>
          <w:szCs w:val="24"/>
        </w:rPr>
        <w:t>coordinations</w:t>
      </w:r>
      <w:proofErr w:type="spellEnd"/>
      <w:r w:rsidRPr="00435E02">
        <w:rPr>
          <w:szCs w:val="24"/>
        </w:rPr>
        <w:t xml:space="preserve"> that would occur between the </w:t>
      </w:r>
      <w:proofErr w:type="spellStart"/>
      <w:r w:rsidRPr="00435E02">
        <w:rPr>
          <w:szCs w:val="24"/>
        </w:rPr>
        <w:t>RDSS</w:t>
      </w:r>
      <w:proofErr w:type="spellEnd"/>
      <w:r w:rsidRPr="00435E02">
        <w:rPr>
          <w:szCs w:val="24"/>
        </w:rPr>
        <w:t>/</w:t>
      </w:r>
      <w:proofErr w:type="spellStart"/>
      <w:r w:rsidRPr="00435E02">
        <w:rPr>
          <w:szCs w:val="24"/>
        </w:rPr>
        <w:t>MSS</w:t>
      </w:r>
      <w:proofErr w:type="spellEnd"/>
      <w:r w:rsidRPr="00435E02">
        <w:rPr>
          <w:szCs w:val="24"/>
        </w:rPr>
        <w:t xml:space="preserve"> and the FS if an </w:t>
      </w:r>
      <w:proofErr w:type="spellStart"/>
      <w:r w:rsidRPr="00435E02">
        <w:rPr>
          <w:szCs w:val="24"/>
        </w:rPr>
        <w:t>MSS</w:t>
      </w:r>
      <w:proofErr w:type="spellEnd"/>
      <w:r w:rsidRPr="00435E02">
        <w:rPr>
          <w:szCs w:val="24"/>
        </w:rPr>
        <w:t xml:space="preserve"> or </w:t>
      </w:r>
      <w:proofErr w:type="spellStart"/>
      <w:r w:rsidRPr="00435E02">
        <w:rPr>
          <w:szCs w:val="24"/>
        </w:rPr>
        <w:t>RDSS</w:t>
      </w:r>
      <w:proofErr w:type="spellEnd"/>
      <w:r w:rsidRPr="00435E02">
        <w:rPr>
          <w:szCs w:val="24"/>
        </w:rPr>
        <w:t xml:space="preserve"> system </w:t>
      </w:r>
      <w:r>
        <w:rPr>
          <w:szCs w:val="24"/>
        </w:rPr>
        <w:t xml:space="preserve">is </w:t>
      </w:r>
      <w:r w:rsidRPr="00435E02">
        <w:rPr>
          <w:szCs w:val="24"/>
        </w:rPr>
        <w:t>propose</w:t>
      </w:r>
      <w:r>
        <w:rPr>
          <w:szCs w:val="24"/>
        </w:rPr>
        <w:t>d</w:t>
      </w:r>
      <w:r w:rsidRPr="00435E02">
        <w:rPr>
          <w:szCs w:val="24"/>
        </w:rPr>
        <w:t xml:space="preserve"> t</w:t>
      </w:r>
      <w:r>
        <w:rPr>
          <w:szCs w:val="24"/>
        </w:rPr>
        <w:t>hat would</w:t>
      </w:r>
      <w:r w:rsidRPr="00435E02">
        <w:rPr>
          <w:szCs w:val="24"/>
        </w:rPr>
        <w:t xml:space="preserve"> exceed the </w:t>
      </w:r>
      <w:r>
        <w:rPr>
          <w:szCs w:val="24"/>
        </w:rPr>
        <w:t xml:space="preserve">coordination </w:t>
      </w:r>
      <w:r w:rsidRPr="00435E02">
        <w:rPr>
          <w:szCs w:val="24"/>
        </w:rPr>
        <w:t>trigger levels.</w:t>
      </w:r>
    </w:p>
    <w:p w:rsidR="000766A1" w:rsidRPr="00F76CB2" w:rsidRDefault="000766A1" w:rsidP="000766A1">
      <w:r w:rsidRPr="00435E02">
        <w:rPr>
          <w:szCs w:val="24"/>
        </w:rPr>
        <w:t xml:space="preserve">WP </w:t>
      </w:r>
      <w:proofErr w:type="spellStart"/>
      <w:r w:rsidRPr="00435E02">
        <w:rPr>
          <w:szCs w:val="24"/>
        </w:rPr>
        <w:t>4C</w:t>
      </w:r>
      <w:proofErr w:type="spellEnd"/>
      <w:r w:rsidRPr="00435E02">
        <w:rPr>
          <w:szCs w:val="24"/>
        </w:rPr>
        <w:t xml:space="preserve"> thus developed this </w:t>
      </w:r>
      <w:r>
        <w:rPr>
          <w:szCs w:val="24"/>
        </w:rPr>
        <w:t xml:space="preserve">Recommendation, </w:t>
      </w:r>
      <w:r w:rsidRPr="00435E02">
        <w:rPr>
          <w:szCs w:val="24"/>
        </w:rPr>
        <w:t xml:space="preserve">based on new material and studies contributed as part of </w:t>
      </w:r>
      <w:proofErr w:type="spellStart"/>
      <w:r>
        <w:rPr>
          <w:szCs w:val="24"/>
        </w:rPr>
        <w:t>WRC</w:t>
      </w:r>
      <w:proofErr w:type="spellEnd"/>
      <w:r>
        <w:rPr>
          <w:szCs w:val="24"/>
        </w:rPr>
        <w:t>-12 a</w:t>
      </w:r>
      <w:r w:rsidRPr="00435E02">
        <w:rPr>
          <w:szCs w:val="24"/>
        </w:rPr>
        <w:t xml:space="preserve">genda </w:t>
      </w:r>
      <w:r>
        <w:rPr>
          <w:szCs w:val="24"/>
        </w:rPr>
        <w:t>i</w:t>
      </w:r>
      <w:r w:rsidRPr="00435E02">
        <w:rPr>
          <w:szCs w:val="24"/>
        </w:rPr>
        <w:t>tem 1.18; the intention is that this will provide the required material to help administrations determine the i</w:t>
      </w:r>
      <w:r>
        <w:rPr>
          <w:szCs w:val="24"/>
        </w:rPr>
        <w:t xml:space="preserve">mpacts of the </w:t>
      </w:r>
      <w:proofErr w:type="spellStart"/>
      <w:r>
        <w:rPr>
          <w:szCs w:val="24"/>
        </w:rPr>
        <w:t>RDSS</w:t>
      </w:r>
      <w:proofErr w:type="spellEnd"/>
      <w:r>
        <w:rPr>
          <w:szCs w:val="24"/>
        </w:rPr>
        <w:t>/</w:t>
      </w:r>
      <w:proofErr w:type="spellStart"/>
      <w:r>
        <w:rPr>
          <w:szCs w:val="24"/>
        </w:rPr>
        <w:t>MSS</w:t>
      </w:r>
      <w:proofErr w:type="spellEnd"/>
      <w:r>
        <w:rPr>
          <w:szCs w:val="24"/>
        </w:rPr>
        <w:t xml:space="preserve"> systems o</w:t>
      </w:r>
      <w:r w:rsidRPr="00435E02">
        <w:rPr>
          <w:szCs w:val="24"/>
        </w:rPr>
        <w:t>n their fixed services.</w:t>
      </w:r>
    </w:p>
    <w:p w:rsidR="000766A1" w:rsidRPr="00F76CB2" w:rsidRDefault="000766A1" w:rsidP="000766A1">
      <w:r w:rsidRPr="00435E02">
        <w:rPr>
          <w:szCs w:val="24"/>
        </w:rPr>
        <w:t>Specifically</w:t>
      </w:r>
      <w:r>
        <w:rPr>
          <w:szCs w:val="24"/>
        </w:rPr>
        <w:t>,</w:t>
      </w:r>
      <w:r w:rsidRPr="00435E02">
        <w:rPr>
          <w:szCs w:val="24"/>
        </w:rPr>
        <w:t xml:space="preserve"> this </w:t>
      </w:r>
      <w:r>
        <w:rPr>
          <w:szCs w:val="24"/>
        </w:rPr>
        <w:t>Recommendation</w:t>
      </w:r>
      <w:r w:rsidRPr="00435E02">
        <w:rPr>
          <w:szCs w:val="24"/>
        </w:rPr>
        <w:t xml:space="preserve"> may assist when performing coordination under RR No. </w:t>
      </w:r>
      <w:r w:rsidRPr="00740E65">
        <w:rPr>
          <w:b/>
          <w:bCs/>
          <w:szCs w:val="24"/>
        </w:rPr>
        <w:t>9.14</w:t>
      </w:r>
      <w:r w:rsidRPr="00435E02">
        <w:rPr>
          <w:szCs w:val="24"/>
        </w:rPr>
        <w:t xml:space="preserve"> with administrations requesting to operate their </w:t>
      </w:r>
      <w:proofErr w:type="spellStart"/>
      <w:r w:rsidRPr="00435E02">
        <w:rPr>
          <w:szCs w:val="24"/>
        </w:rPr>
        <w:t>RDSS</w:t>
      </w:r>
      <w:proofErr w:type="spellEnd"/>
      <w:r w:rsidRPr="00435E02">
        <w:rPr>
          <w:szCs w:val="24"/>
        </w:rPr>
        <w:t xml:space="preserve"> or </w:t>
      </w:r>
      <w:proofErr w:type="spellStart"/>
      <w:r w:rsidRPr="00435E02">
        <w:rPr>
          <w:szCs w:val="24"/>
        </w:rPr>
        <w:t>MSS</w:t>
      </w:r>
      <w:proofErr w:type="spellEnd"/>
      <w:r w:rsidRPr="00435E02">
        <w:rPr>
          <w:szCs w:val="24"/>
        </w:rPr>
        <w:t xml:space="preserve"> systems at </w:t>
      </w:r>
      <w:proofErr w:type="spellStart"/>
      <w:r w:rsidRPr="00435E02">
        <w:rPr>
          <w:szCs w:val="24"/>
        </w:rPr>
        <w:t>pfd</w:t>
      </w:r>
      <w:proofErr w:type="spellEnd"/>
      <w:r w:rsidRPr="00435E02">
        <w:rPr>
          <w:szCs w:val="24"/>
        </w:rPr>
        <w:t xml:space="preserve"> levels in excess of the thresholds defined in RR Appendix </w:t>
      </w:r>
      <w:r w:rsidRPr="004C77D8">
        <w:rPr>
          <w:b/>
          <w:bCs/>
          <w:szCs w:val="24"/>
        </w:rPr>
        <w:t>5</w:t>
      </w:r>
      <w:r w:rsidRPr="00435E02">
        <w:rPr>
          <w:szCs w:val="24"/>
        </w:rPr>
        <w:t>.</w:t>
      </w:r>
    </w:p>
    <w:p w:rsidR="000766A1" w:rsidRDefault="000766A1" w:rsidP="00E93AE3">
      <w:r w:rsidRPr="00435E02">
        <w:rPr>
          <w:szCs w:val="24"/>
        </w:rPr>
        <w:t xml:space="preserve">An example is provided </w:t>
      </w:r>
      <w:r>
        <w:rPr>
          <w:szCs w:val="24"/>
        </w:rPr>
        <w:t xml:space="preserve">in Annex </w:t>
      </w:r>
      <w:r w:rsidR="00E93AE3">
        <w:rPr>
          <w:szCs w:val="24"/>
        </w:rPr>
        <w:t>2</w:t>
      </w:r>
      <w:bookmarkStart w:id="0" w:name="_GoBack"/>
      <w:bookmarkEnd w:id="0"/>
      <w:r>
        <w:rPr>
          <w:szCs w:val="24"/>
        </w:rPr>
        <w:t xml:space="preserve"> </w:t>
      </w:r>
      <w:r w:rsidRPr="00435E02">
        <w:rPr>
          <w:szCs w:val="24"/>
        </w:rPr>
        <w:t xml:space="preserve">to help administrations fully understand the </w:t>
      </w:r>
      <w:r>
        <w:rPr>
          <w:szCs w:val="24"/>
        </w:rPr>
        <w:t>Recommendation</w:t>
      </w:r>
      <w:r w:rsidRPr="00435E02">
        <w:rPr>
          <w:szCs w:val="24"/>
        </w:rPr>
        <w:t xml:space="preserve">, but in an actual coordination, the relevant parameters for the systems being coordinated would be used instead.  From this, administrations would determine the impacts on their FS systems and thus determine for themselves if the proposed </w:t>
      </w:r>
      <w:proofErr w:type="spellStart"/>
      <w:r w:rsidRPr="00435E02">
        <w:rPr>
          <w:szCs w:val="24"/>
        </w:rPr>
        <w:t>pfd</w:t>
      </w:r>
      <w:proofErr w:type="spellEnd"/>
      <w:r w:rsidRPr="00435E02">
        <w:rPr>
          <w:szCs w:val="24"/>
        </w:rPr>
        <w:t xml:space="preserve"> levels of the </w:t>
      </w:r>
      <w:proofErr w:type="spellStart"/>
      <w:r w:rsidRPr="00435E02">
        <w:rPr>
          <w:szCs w:val="24"/>
        </w:rPr>
        <w:t>MSS</w:t>
      </w:r>
      <w:proofErr w:type="spellEnd"/>
      <w:r w:rsidRPr="00435E02">
        <w:rPr>
          <w:szCs w:val="24"/>
        </w:rPr>
        <w:t>/</w:t>
      </w:r>
      <w:proofErr w:type="spellStart"/>
      <w:r w:rsidRPr="00435E02">
        <w:rPr>
          <w:szCs w:val="24"/>
        </w:rPr>
        <w:t>RDSS</w:t>
      </w:r>
      <w:proofErr w:type="spellEnd"/>
      <w:r w:rsidRPr="00435E02">
        <w:rPr>
          <w:szCs w:val="24"/>
        </w:rPr>
        <w:t xml:space="preserve"> systems </w:t>
      </w:r>
      <w:r>
        <w:rPr>
          <w:szCs w:val="24"/>
        </w:rPr>
        <w:t xml:space="preserve">beyond the RR Appendix </w:t>
      </w:r>
      <w:r w:rsidRPr="00106546">
        <w:rPr>
          <w:b/>
          <w:bCs/>
          <w:szCs w:val="24"/>
        </w:rPr>
        <w:t>5</w:t>
      </w:r>
      <w:r>
        <w:rPr>
          <w:szCs w:val="24"/>
        </w:rPr>
        <w:t xml:space="preserve"> levels </w:t>
      </w:r>
      <w:r w:rsidRPr="00435E02">
        <w:rPr>
          <w:szCs w:val="24"/>
        </w:rPr>
        <w:t>are acceptable.</w:t>
      </w:r>
    </w:p>
    <w:p w:rsidR="000766A1" w:rsidRPr="00F76CB2" w:rsidRDefault="000766A1" w:rsidP="000766A1">
      <w:r w:rsidRPr="00435E02">
        <w:rPr>
          <w:szCs w:val="24"/>
        </w:rPr>
        <w:t xml:space="preserve">The material developed by WP </w:t>
      </w:r>
      <w:proofErr w:type="spellStart"/>
      <w:r w:rsidRPr="00435E02">
        <w:rPr>
          <w:szCs w:val="24"/>
        </w:rPr>
        <w:t>4C</w:t>
      </w:r>
      <w:proofErr w:type="spellEnd"/>
      <w:r>
        <w:rPr>
          <w:szCs w:val="24"/>
        </w:rPr>
        <w:t xml:space="preserve"> </w:t>
      </w:r>
      <w:r w:rsidRPr="00435E02">
        <w:rPr>
          <w:szCs w:val="24"/>
        </w:rPr>
        <w:t>follows a similar approach outlined in Recommendation</w:t>
      </w:r>
      <w:r>
        <w:rPr>
          <w:szCs w:val="24"/>
        </w:rPr>
        <w:br/>
      </w:r>
      <w:r w:rsidRPr="00435E02">
        <w:rPr>
          <w:szCs w:val="24"/>
        </w:rPr>
        <w:t xml:space="preserve"> ITU-R </w:t>
      </w:r>
      <w:proofErr w:type="spellStart"/>
      <w:r w:rsidRPr="00435E02">
        <w:rPr>
          <w:szCs w:val="24"/>
        </w:rPr>
        <w:t>SF.674</w:t>
      </w:r>
      <w:proofErr w:type="spellEnd"/>
      <w:r w:rsidRPr="00435E02">
        <w:rPr>
          <w:szCs w:val="24"/>
        </w:rPr>
        <w:t xml:space="preserve">-3 for the frequency band 11.7-12.2 GHz. </w:t>
      </w:r>
    </w:p>
    <w:p w:rsidR="000766A1" w:rsidRDefault="000766A1" w:rsidP="000766A1">
      <w:pPr>
        <w:rPr>
          <w:lang w:eastAsia="ja-JP"/>
        </w:rPr>
      </w:pPr>
    </w:p>
    <w:p w:rsidR="000766A1" w:rsidRDefault="000766A1" w:rsidP="000766A1">
      <w:pPr>
        <w:pStyle w:val="Reasons"/>
      </w:pPr>
    </w:p>
    <w:p w:rsidR="00C51E92" w:rsidRPr="00CD4E44" w:rsidRDefault="000766A1" w:rsidP="000766A1">
      <w:pPr>
        <w:jc w:val="center"/>
        <w:rPr>
          <w:rFonts w:asciiTheme="minorHAnsi" w:hAnsiTheme="minorHAnsi" w:cstheme="minorHAnsi"/>
          <w:szCs w:val="24"/>
          <w:lang w:val="fr-CH"/>
        </w:rPr>
      </w:pPr>
      <w:r>
        <w:t>______________</w:t>
      </w:r>
    </w:p>
    <w:sectPr w:rsidR="00C51E92" w:rsidRPr="00CD4E44"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6A1" w:rsidRDefault="000766A1">
      <w:r>
        <w:separator/>
      </w:r>
    </w:p>
  </w:endnote>
  <w:endnote w:type="continuationSeparator" w:id="0">
    <w:p w:rsidR="000766A1" w:rsidRDefault="0007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B2"/>
    <w:family w:val="auto"/>
    <w:notTrueType/>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578C8" w:rsidP="00714B22">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CH</w:t>
    </w:r>
    <w:proofErr w:type="spellEnd"/>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proofErr w:type="spellStart"/>
      <w:r w:rsidRPr="00A86808">
        <w:rPr>
          <w:color w:val="3E8EDE"/>
          <w:sz w:val="18"/>
          <w:szCs w:val="18"/>
          <w:lang w:val="fr-CH"/>
        </w:rPr>
        <w:t>itumail@itu.int</w:t>
      </w:r>
      <w:proofErr w:type="spellEnd"/>
    </w:hyperlink>
    <w:r w:rsidRPr="00FB65BC">
      <w:rPr>
        <w:color w:val="3E8EDE"/>
        <w:sz w:val="18"/>
        <w:szCs w:val="18"/>
        <w:lang w:val="fr-CH"/>
      </w:rPr>
      <w:t xml:space="preserve"> • </w:t>
    </w:r>
    <w:hyperlink r:id="rId2" w:history="1">
      <w:proofErr w:type="spellStart"/>
      <w:r w:rsidRPr="00A86808">
        <w:rPr>
          <w:color w:val="3E8EDE"/>
          <w:sz w:val="18"/>
          <w:szCs w:val="18"/>
          <w:lang w:val="fr-CH"/>
        </w:rPr>
        <w:t>www.itu.int</w:t>
      </w:r>
      <w:proofErr w:type="spellEnd"/>
    </w:hyperlink>
    <w:r>
      <w:rPr>
        <w:color w:val="3E8EDE"/>
        <w:sz w:val="18"/>
        <w:szCs w:val="18"/>
        <w:lang w:val="fr-CH"/>
      </w:rPr>
      <w:t xml:space="preserve"> </w:t>
    </w:r>
    <w:r w:rsidRPr="00FB65BC">
      <w:rPr>
        <w:color w:val="3E8EDE"/>
        <w:sz w:val="18"/>
        <w:szCs w:val="18"/>
        <w:lang w:val="fr-CH"/>
      </w:rPr>
      <w:t xml:space="preserve">• </w:t>
    </w:r>
    <w:hyperlink r:id="rId3" w:history="1">
      <w:proofErr w:type="spellStart"/>
      <w:r w:rsidR="00714B22" w:rsidRPr="00CD768E">
        <w:rPr>
          <w:color w:val="3E8EDE"/>
          <w:sz w:val="18"/>
          <w:lang w:val="fr-CH"/>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6A1" w:rsidRDefault="000766A1">
      <w:r>
        <w:t>____________________</w:t>
      </w:r>
    </w:p>
  </w:footnote>
  <w:footnote w:type="continuationSeparator" w:id="0">
    <w:p w:rsidR="000766A1" w:rsidRDefault="00076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93AE3">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0766A1">
    <w:pPr>
      <w:pStyle w:val="Header"/>
    </w:pPr>
    <w:r>
      <w:tab/>
    </w:r>
    <w:r>
      <w:tab/>
    </w:r>
    <w:r w:rsidR="000766A1">
      <w:rPr>
        <w:iCs/>
        <w:sz w:val="18"/>
        <w:szCs w:val="18"/>
      </w:rPr>
      <w:t>-</w:t>
    </w:r>
    <w:r w:rsidR="000766A1">
      <w:t xml:space="preserve"> </w:t>
    </w:r>
    <w:r w:rsidR="000766A1" w:rsidRPr="00F85F7F">
      <w:rPr>
        <w:iCs/>
        <w:sz w:val="18"/>
        <w:szCs w:val="18"/>
      </w:rPr>
      <w:fldChar w:fldCharType="begin"/>
    </w:r>
    <w:r w:rsidR="000766A1" w:rsidRPr="00F85F7F">
      <w:rPr>
        <w:iCs/>
        <w:sz w:val="18"/>
        <w:szCs w:val="18"/>
      </w:rPr>
      <w:instrText xml:space="preserve"> PAGE  \* MERGEFORMAT </w:instrText>
    </w:r>
    <w:r w:rsidR="000766A1" w:rsidRPr="00F85F7F">
      <w:rPr>
        <w:iCs/>
        <w:sz w:val="18"/>
        <w:szCs w:val="18"/>
      </w:rPr>
      <w:fldChar w:fldCharType="separate"/>
    </w:r>
    <w:r w:rsidR="00E93AE3">
      <w:rPr>
        <w:iCs/>
        <w:noProof/>
        <w:sz w:val="18"/>
        <w:szCs w:val="18"/>
      </w:rPr>
      <w:t>3</w:t>
    </w:r>
    <w:r w:rsidR="000766A1" w:rsidRPr="00F85F7F">
      <w:rPr>
        <w:iCs/>
        <w:sz w:val="18"/>
        <w:szCs w:val="18"/>
      </w:rPr>
      <w:fldChar w:fldCharType="end"/>
    </w:r>
    <w:r w:rsidR="000766A1">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6A1921">
      <w:trPr>
        <w:jc w:val="center"/>
      </w:trPr>
      <w:tc>
        <w:tcPr>
          <w:tcW w:w="4889" w:type="dxa"/>
        </w:tcPr>
        <w:p w:rsidR="00BA072F" w:rsidRDefault="00BA072F" w:rsidP="00BA072F">
          <w:pPr>
            <w:pStyle w:val="Header"/>
            <w:tabs>
              <w:tab w:val="clear" w:pos="794"/>
              <w:tab w:val="clear" w:pos="4820"/>
            </w:tabs>
            <w:spacing w:before="120" w:line="360" w:lineRule="auto"/>
          </w:pPr>
          <w:r>
            <w:rPr>
              <w:b/>
              <w:bCs/>
              <w:noProof/>
              <w:lang w:val="en-GB"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val="en-GB"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766A1"/>
    <w:rsid w:val="00006A31"/>
    <w:rsid w:val="00006C82"/>
    <w:rsid w:val="00010E30"/>
    <w:rsid w:val="00015C76"/>
    <w:rsid w:val="00026CF8"/>
    <w:rsid w:val="00030BD7"/>
    <w:rsid w:val="00031E64"/>
    <w:rsid w:val="00034340"/>
    <w:rsid w:val="00045A8D"/>
    <w:rsid w:val="0005167A"/>
    <w:rsid w:val="00054E5D"/>
    <w:rsid w:val="00070258"/>
    <w:rsid w:val="0007323C"/>
    <w:rsid w:val="000766A1"/>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5D9A"/>
    <w:rsid w:val="003E78D6"/>
    <w:rsid w:val="00400573"/>
    <w:rsid w:val="004007A3"/>
    <w:rsid w:val="00406D71"/>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371D"/>
    <w:rsid w:val="00650B2A"/>
    <w:rsid w:val="00651777"/>
    <w:rsid w:val="006550F8"/>
    <w:rsid w:val="00656226"/>
    <w:rsid w:val="006829F3"/>
    <w:rsid w:val="006A1921"/>
    <w:rsid w:val="006A518B"/>
    <w:rsid w:val="006B0590"/>
    <w:rsid w:val="006B49DA"/>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01FE"/>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01CD"/>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3AE3"/>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9D58ABC-6718-424F-B280-A83B5230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0766A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rsid w:val="000766A1"/>
    <w:rPr>
      <w:b/>
      <w:sz w:val="28"/>
      <w:szCs w:val="22"/>
      <w:lang w:val="en-US" w:eastAsia="en-US"/>
    </w:rPr>
  </w:style>
  <w:style w:type="paragraph" w:customStyle="1" w:styleId="Normalaftertitle0">
    <w:name w:val="Normal after title"/>
    <w:basedOn w:val="Normal"/>
    <w:next w:val="Normal"/>
    <w:rsid w:val="000766A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Reasons">
    <w:name w:val="Reasons"/>
    <w:basedOn w:val="Normal"/>
    <w:qFormat/>
    <w:rsid w:val="000766A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0766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sg04-C/en" TargetMode="External"/><Relationship Id="rId4" Type="http://schemas.openxmlformats.org/officeDocument/2006/relationships/settings" Target="settings.xml"/><Relationship Id="rId9" Type="http://schemas.openxmlformats.org/officeDocument/2006/relationships/hyperlink" Target="http://www.itu.int/md/R12-SG04-C-0101/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A8420-86A2-4768-8B4C-23F3AC30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12</TotalTime>
  <Pages>3</Pages>
  <Words>617</Words>
  <Characters>3846</Characters>
  <Application>Microsoft Office Word</Application>
  <DocSecurity>0</DocSecurity>
  <Lines>32</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4</cp:revision>
  <cp:lastPrinted>2013-01-14T15:21:00Z</cp:lastPrinted>
  <dcterms:created xsi:type="dcterms:W3CDTF">2015-07-01T13:36:00Z</dcterms:created>
  <dcterms:modified xsi:type="dcterms:W3CDTF">2015-07-10T07:32:00Z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