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0E5460" w:rsidRDefault="00E53DCE" w:rsidP="00304F40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proofErr w:type="spellEnd"/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C1DFA">
              <w:rPr>
                <w:b/>
                <w:bCs/>
                <w:lang w:val="ru-RU"/>
              </w:rPr>
              <w:t>3</w:t>
            </w:r>
            <w:r w:rsidR="00304F40">
              <w:rPr>
                <w:b/>
                <w:bCs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1E347B" w:rsidP="00FC1DF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04F40">
                  <w:rPr>
                    <w:lang w:val="ru-RU"/>
                  </w:rPr>
                  <w:t>26</w:t>
                </w:r>
                <w:r w:rsidR="00FB388E">
                  <w:rPr>
                    <w:lang w:val="ru-RU"/>
                  </w:rPr>
                  <w:t xml:space="preserve"> июня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B2C9F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388E" w:rsidP="00304F4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304F40">
              <w:rPr>
                <w:b/>
                <w:bCs/>
                <w:lang w:val="ru-RU"/>
              </w:rPr>
              <w:t>6</w:t>
            </w:r>
            <w:r w:rsidRPr="007001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FB2C9F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B2C9F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B2C9F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304F40" w:rsidP="00CF44F7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FB388E" w:rsidRPr="007001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450BF0">
              <w:rPr>
                <w:b/>
                <w:bCs/>
                <w:lang w:val="ru-RU"/>
              </w:rPr>
              <w:t>Вещательные службы</w:t>
            </w:r>
            <w:r w:rsidR="00FB388E" w:rsidRPr="0070011E">
              <w:rPr>
                <w:b/>
                <w:bCs/>
                <w:lang w:val="ru-RU"/>
              </w:rPr>
              <w:t>)</w:t>
            </w:r>
          </w:p>
          <w:p w:rsidR="00CD55E1" w:rsidRPr="00304F40" w:rsidRDefault="00FB388E" w:rsidP="00304F4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Pr="0070011E">
              <w:rPr>
                <w:b/>
                <w:lang w:val="ru-RU"/>
              </w:rPr>
              <w:t xml:space="preserve">Предлагаемое </w:t>
            </w:r>
            <w:r w:rsidR="003F1246">
              <w:rPr>
                <w:b/>
                <w:lang w:val="ru-RU"/>
              </w:rPr>
              <w:t>одобрение</w:t>
            </w:r>
            <w:r w:rsidRPr="0070011E">
              <w:rPr>
                <w:b/>
                <w:lang w:val="ru-RU"/>
              </w:rPr>
              <w:t xml:space="preserve"> </w:t>
            </w:r>
            <w:r w:rsidR="00304F40">
              <w:rPr>
                <w:b/>
                <w:lang w:val="ru-RU"/>
              </w:rPr>
              <w:t>одного нового</w:t>
            </w:r>
            <w:r w:rsidRPr="0070011E">
              <w:rPr>
                <w:b/>
                <w:lang w:val="ru-RU"/>
              </w:rPr>
              <w:t xml:space="preserve"> </w:t>
            </w:r>
            <w:r w:rsidR="00FC1DFA">
              <w:rPr>
                <w:b/>
                <w:lang w:val="ru-RU"/>
              </w:rPr>
              <w:t>Вопрос</w:t>
            </w:r>
            <w:r w:rsidR="00304F40">
              <w:rPr>
                <w:b/>
                <w:lang w:val="ru-RU"/>
              </w:rPr>
              <w:t>а</w:t>
            </w:r>
            <w:r w:rsidRPr="0070011E">
              <w:rPr>
                <w:b/>
                <w:bCs/>
                <w:lang w:val="ru-RU"/>
              </w:rPr>
              <w:t xml:space="preserve"> МСЭ-R</w:t>
            </w:r>
            <w:r>
              <w:rPr>
                <w:b/>
                <w:bCs/>
                <w:lang w:val="ru-RU"/>
              </w:rPr>
              <w:t xml:space="preserve"> </w:t>
            </w:r>
            <w:r w:rsidRPr="0070011E">
              <w:rPr>
                <w:b/>
                <w:lang w:val="ru-RU"/>
              </w:rPr>
              <w:t>и</w:t>
            </w:r>
            <w:r w:rsidR="00304F40">
              <w:rPr>
                <w:b/>
                <w:lang w:val="ru-RU"/>
              </w:rPr>
              <w:t xml:space="preserve"> одного пересмотренного Вопроса МСЭ-</w:t>
            </w:r>
            <w:r w:rsidR="00304F40">
              <w:rPr>
                <w:b/>
              </w:rPr>
              <w:t>R</w:t>
            </w:r>
            <w:r w:rsidR="00304F40">
              <w:rPr>
                <w:b/>
                <w:lang w:val="ru-RU"/>
              </w:rPr>
              <w:t xml:space="preserve"> и</w:t>
            </w:r>
            <w:r w:rsidRPr="0070011E">
              <w:rPr>
                <w:b/>
                <w:lang w:val="ru-RU"/>
              </w:rPr>
              <w:t> их одновременное утверждение по переписке в соответствии с п. 10.3 Резолюции МСЭ-R 1-6 (Процедура одновременного одобрения и утверждения по переписке)</w:t>
            </w:r>
          </w:p>
        </w:tc>
      </w:tr>
      <w:tr w:rsidR="00BA1261" w:rsidRPr="00FB2C9F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A5F3B" w:rsidRDefault="006A5F3B" w:rsidP="00FB2C9F">
      <w:pPr>
        <w:pStyle w:val="Normalaftertitle"/>
        <w:spacing w:before="600"/>
        <w:rPr>
          <w:lang w:val="ru-RU"/>
        </w:rPr>
      </w:pPr>
      <w:r w:rsidRPr="006A5F3B">
        <w:rPr>
          <w:lang w:val="ru-RU"/>
        </w:rPr>
        <w:t xml:space="preserve">В Административном циркуляре </w:t>
      </w:r>
      <w:proofErr w:type="spellStart"/>
      <w:r>
        <w:rPr>
          <w:lang w:val="en-GB"/>
        </w:rPr>
        <w:t>CACE</w:t>
      </w:r>
      <w:proofErr w:type="spellEnd"/>
      <w:r w:rsidRPr="006A5F3B">
        <w:rPr>
          <w:lang w:val="ru-RU"/>
        </w:rPr>
        <w:t>/</w:t>
      </w:r>
      <w:r>
        <w:rPr>
          <w:lang w:val="ru-RU"/>
        </w:rPr>
        <w:t>721</w:t>
      </w:r>
      <w:r w:rsidRPr="006A5F3B">
        <w:rPr>
          <w:lang w:val="ru-RU"/>
        </w:rPr>
        <w:t xml:space="preserve"> от </w:t>
      </w:r>
      <w:r>
        <w:rPr>
          <w:lang w:val="ru-RU"/>
        </w:rPr>
        <w:t>17 апреля</w:t>
      </w:r>
      <w:r w:rsidRPr="006A5F3B">
        <w:rPr>
          <w:lang w:val="ru-RU"/>
        </w:rPr>
        <w:t xml:space="preserve"> 201</w:t>
      </w:r>
      <w:r>
        <w:rPr>
          <w:lang w:val="ru-RU"/>
        </w:rPr>
        <w:t>5</w:t>
      </w:r>
      <w:r w:rsidRPr="00F317A0">
        <w:t> </w:t>
      </w:r>
      <w:r w:rsidRPr="006A5F3B">
        <w:rPr>
          <w:lang w:val="ru-RU"/>
        </w:rPr>
        <w:t xml:space="preserve">года были представлены проект </w:t>
      </w:r>
      <w:r>
        <w:rPr>
          <w:lang w:val="ru-RU"/>
        </w:rPr>
        <w:t>одного нового Вопроса МСЭ-</w:t>
      </w:r>
      <w:r>
        <w:t>R</w:t>
      </w:r>
      <w:r w:rsidRPr="00304F40">
        <w:rPr>
          <w:lang w:val="ru-RU"/>
        </w:rPr>
        <w:t xml:space="preserve"> </w:t>
      </w:r>
      <w:r>
        <w:rPr>
          <w:lang w:val="ru-RU"/>
        </w:rPr>
        <w:t>и проект одного пересмотренного Вопроса МСЭ-</w:t>
      </w:r>
      <w:r>
        <w:t>R</w:t>
      </w:r>
      <w:r w:rsidRPr="0070011E">
        <w:rPr>
          <w:lang w:val="ru-RU"/>
        </w:rPr>
        <w:t xml:space="preserve"> </w:t>
      </w:r>
      <w:r>
        <w:rPr>
          <w:lang w:val="ru-RU"/>
        </w:rPr>
        <w:t>для</w:t>
      </w:r>
      <w:r w:rsidRPr="0070011E">
        <w:rPr>
          <w:lang w:val="ru-RU"/>
        </w:rPr>
        <w:t xml:space="preserve"> одновременного одобрения и у</w:t>
      </w:r>
      <w:r>
        <w:rPr>
          <w:lang w:val="ru-RU"/>
        </w:rPr>
        <w:t>тверждения по переписке (</w:t>
      </w:r>
      <w:proofErr w:type="spellStart"/>
      <w:r>
        <w:rPr>
          <w:lang w:val="ru-RU"/>
        </w:rPr>
        <w:t>PSAA</w:t>
      </w:r>
      <w:proofErr w:type="spellEnd"/>
      <w:r>
        <w:rPr>
          <w:lang w:val="ru-RU"/>
        </w:rPr>
        <w:t xml:space="preserve">) </w:t>
      </w:r>
      <w:r w:rsidRPr="006A5F3B">
        <w:rPr>
          <w:lang w:val="ru-RU"/>
        </w:rPr>
        <w:t>согласно процедуре, предусмотренной в Резолюции</w:t>
      </w:r>
      <w:r w:rsidRPr="00F317A0">
        <w:t> </w:t>
      </w:r>
      <w:r w:rsidRPr="006A5F3B">
        <w:rPr>
          <w:lang w:val="ru-RU"/>
        </w:rPr>
        <w:t>МСЭ-</w:t>
      </w:r>
      <w:r w:rsidRPr="00F317A0">
        <w:t>R</w:t>
      </w:r>
      <w:r w:rsidRPr="006A5F3B">
        <w:rPr>
          <w:lang w:val="ru-RU"/>
        </w:rPr>
        <w:t xml:space="preserve"> 1-6 </w:t>
      </w:r>
      <w:r>
        <w:rPr>
          <w:lang w:val="ru-RU"/>
        </w:rPr>
        <w:t>(</w:t>
      </w:r>
      <w:r w:rsidRPr="0070011E">
        <w:rPr>
          <w:lang w:val="ru-RU"/>
        </w:rPr>
        <w:t>п. 10.3).</w:t>
      </w:r>
    </w:p>
    <w:p w:rsidR="00FB388E" w:rsidRPr="006A5F3B" w:rsidRDefault="006A5F3B" w:rsidP="00304F40">
      <w:pPr>
        <w:rPr>
          <w:rFonts w:cstheme="majorBidi"/>
          <w:lang w:val="ru-RU"/>
        </w:rPr>
      </w:pPr>
      <w:r w:rsidRPr="006A5F3B">
        <w:rPr>
          <w:lang w:val="ru-RU"/>
        </w:rPr>
        <w:t xml:space="preserve">Условия, регулирующие эту процедуру, были выполнены </w:t>
      </w:r>
      <w:r w:rsidR="00304F40" w:rsidRPr="006A5F3B">
        <w:rPr>
          <w:u w:val="single"/>
          <w:lang w:val="ru-RU"/>
        </w:rPr>
        <w:t>17</w:t>
      </w:r>
      <w:r w:rsidR="00FB388E" w:rsidRPr="006A5F3B">
        <w:rPr>
          <w:u w:val="single"/>
          <w:lang w:val="en-GB"/>
        </w:rPr>
        <w:t> </w:t>
      </w:r>
      <w:r w:rsidR="00304F40">
        <w:rPr>
          <w:u w:val="single"/>
          <w:lang w:val="ru-RU"/>
        </w:rPr>
        <w:t>июня</w:t>
      </w:r>
      <w:r w:rsidR="00FB388E" w:rsidRPr="006A5F3B">
        <w:rPr>
          <w:u w:val="single"/>
          <w:lang w:val="ru-RU"/>
        </w:rPr>
        <w:t xml:space="preserve"> 2015</w:t>
      </w:r>
      <w:r w:rsidR="00FB388E" w:rsidRPr="006A5F3B">
        <w:rPr>
          <w:u w:val="single"/>
          <w:lang w:val="en-GB"/>
        </w:rPr>
        <w:t> </w:t>
      </w:r>
      <w:r w:rsidR="00FB388E" w:rsidRPr="0070011E">
        <w:rPr>
          <w:u w:val="single"/>
          <w:lang w:val="ru-RU"/>
        </w:rPr>
        <w:t>года</w:t>
      </w:r>
      <w:r w:rsidR="00FB388E" w:rsidRPr="006A5F3B">
        <w:rPr>
          <w:rFonts w:cstheme="majorBidi"/>
          <w:color w:val="000000"/>
          <w:lang w:val="ru-RU"/>
        </w:rPr>
        <w:t xml:space="preserve">. </w:t>
      </w:r>
    </w:p>
    <w:p w:rsidR="00FB388E" w:rsidRPr="006A5F3B" w:rsidRDefault="006A5F3B" w:rsidP="006A5F3B">
      <w:pPr>
        <w:rPr>
          <w:lang w:val="ru-RU"/>
        </w:rPr>
      </w:pPr>
      <w:r w:rsidRPr="006A5F3B">
        <w:rPr>
          <w:lang w:val="ru-RU"/>
        </w:rPr>
        <w:t>Тексты утвержденных Вопросов</w:t>
      </w:r>
      <w:r>
        <w:rPr>
          <w:lang w:val="ru-RU"/>
        </w:rPr>
        <w:t xml:space="preserve"> прилагаются для справки в </w:t>
      </w:r>
      <w:r w:rsidRPr="006A5F3B">
        <w:rPr>
          <w:lang w:val="ru-RU"/>
        </w:rPr>
        <w:t>Приложения</w:t>
      </w:r>
      <w:r>
        <w:rPr>
          <w:lang w:val="ru-RU"/>
        </w:rPr>
        <w:t>х</w:t>
      </w:r>
      <w:r w:rsidRPr="00F317A0">
        <w:t> </w:t>
      </w:r>
      <w:r w:rsidR="00FB2C9F">
        <w:rPr>
          <w:lang w:val="ru-RU"/>
        </w:rPr>
        <w:t xml:space="preserve">1 и </w:t>
      </w:r>
      <w:r>
        <w:rPr>
          <w:lang w:val="ru-RU"/>
        </w:rPr>
        <w:t>2</w:t>
      </w:r>
      <w:r w:rsidRPr="006A5F3B">
        <w:rPr>
          <w:lang w:val="ru-RU"/>
        </w:rPr>
        <w:t xml:space="preserve"> и будут опубликованы в</w:t>
      </w:r>
      <w:r w:rsidRPr="00F317A0">
        <w:t> </w:t>
      </w:r>
      <w:hyperlink r:id="rId8" w:history="1">
        <w:r w:rsidRPr="006A5F3B">
          <w:rPr>
            <w:lang w:val="ru-RU"/>
          </w:rPr>
          <w:t xml:space="preserve">Пересмотре </w:t>
        </w:r>
        <w:proofErr w:type="gramStart"/>
        <w:r>
          <w:rPr>
            <w:lang w:val="ru-RU"/>
          </w:rPr>
          <w:t>7</w:t>
        </w:r>
        <w:r w:rsidRPr="006A5F3B">
          <w:rPr>
            <w:lang w:val="ru-RU"/>
          </w:rPr>
          <w:t xml:space="preserve"> </w:t>
        </w:r>
        <w:hyperlink r:id="rId9" w:history="1">
          <w:r w:rsidRPr="006A5F3B">
            <w:rPr>
              <w:rStyle w:val="Hyperlink"/>
              <w:lang w:val="ru-RU"/>
            </w:rPr>
            <w:t xml:space="preserve">Документа </w:t>
          </w:r>
          <w:r>
            <w:rPr>
              <w:rStyle w:val="Hyperlink"/>
              <w:lang w:val="ru-RU"/>
            </w:rPr>
            <w:t>6</w:t>
          </w:r>
          <w:r w:rsidRPr="006A5F3B">
            <w:rPr>
              <w:rStyle w:val="Hyperlink"/>
              <w:lang w:val="ru-RU"/>
            </w:rPr>
            <w:t>/1</w:t>
          </w:r>
        </w:hyperlink>
      </w:hyperlink>
      <w:r w:rsidRPr="006A5F3B">
        <w:rPr>
          <w:lang w:val="ru-RU"/>
        </w:rPr>
        <w:t>,</w:t>
      </w:r>
      <w:proofErr w:type="gramEnd"/>
      <w:r w:rsidRPr="006A5F3B">
        <w:rPr>
          <w:lang w:val="ru-RU"/>
        </w:rPr>
        <w:t xml:space="preserve"> в котором содержатся Вопросы МСЭ-</w:t>
      </w:r>
      <w:r w:rsidRPr="00F317A0">
        <w:t>R</w:t>
      </w:r>
      <w:r w:rsidRPr="006A5F3B">
        <w:rPr>
          <w:lang w:val="ru-RU"/>
        </w:rPr>
        <w:t>, утвержденные Ассамблеей радиосвязи 2012</w:t>
      </w:r>
      <w:r w:rsidRPr="00F317A0">
        <w:t> </w:t>
      </w:r>
      <w:r w:rsidRPr="006A5F3B">
        <w:rPr>
          <w:lang w:val="ru-RU"/>
        </w:rPr>
        <w:t xml:space="preserve">года </w:t>
      </w:r>
      <w:r>
        <w:rPr>
          <w:lang w:val="ru-RU"/>
        </w:rPr>
        <w:t>и порученные 6</w:t>
      </w:r>
      <w:r w:rsidRPr="006A5F3B">
        <w:rPr>
          <w:lang w:val="ru-RU"/>
        </w:rPr>
        <w:t>-й</w:t>
      </w:r>
      <w:r w:rsidRPr="00F317A0">
        <w:t> </w:t>
      </w:r>
      <w:r w:rsidRPr="006A5F3B">
        <w:rPr>
          <w:lang w:val="ru-RU"/>
        </w:rPr>
        <w:t xml:space="preserve">Исследовательской комиссии по радиосвязи. </w:t>
      </w:r>
    </w:p>
    <w:p w:rsidR="00FB388E" w:rsidRPr="0070011E" w:rsidRDefault="00FB388E" w:rsidP="00FB388E">
      <w:pPr>
        <w:spacing w:before="1080"/>
        <w:jc w:val="left"/>
        <w:rPr>
          <w:lang w:val="ru-RU"/>
        </w:rPr>
      </w:pPr>
      <w:r w:rsidRPr="0070011E">
        <w:rPr>
          <w:lang w:val="ru-RU"/>
        </w:rPr>
        <w:t xml:space="preserve">Франсуа </w:t>
      </w:r>
      <w:proofErr w:type="spellStart"/>
      <w:r w:rsidRPr="0070011E">
        <w:rPr>
          <w:lang w:val="ru-RU"/>
        </w:rPr>
        <w:t>Ранси</w:t>
      </w:r>
      <w:proofErr w:type="spellEnd"/>
      <w:r w:rsidRPr="0070011E">
        <w:rPr>
          <w:lang w:val="ru-RU"/>
        </w:rPr>
        <w:br/>
        <w:t xml:space="preserve">Директор </w:t>
      </w:r>
    </w:p>
    <w:p w:rsidR="00FB388E" w:rsidRDefault="00CC7449" w:rsidP="006A5F3B">
      <w:pPr>
        <w:keepNext/>
        <w:keepLines/>
        <w:widowControl w:val="0"/>
        <w:spacing w:before="360"/>
        <w:rPr>
          <w:lang w:val="ru-RU"/>
        </w:rPr>
      </w:pPr>
      <w:r>
        <w:rPr>
          <w:b/>
          <w:bCs/>
          <w:lang w:val="ru-RU"/>
        </w:rPr>
        <w:t>Приложения</w:t>
      </w:r>
      <w:r w:rsidR="00FB388E" w:rsidRPr="0070011E">
        <w:rPr>
          <w:lang w:val="ru-RU"/>
        </w:rPr>
        <w:t xml:space="preserve">: </w:t>
      </w:r>
      <w:r w:rsidR="006A5F3B">
        <w:rPr>
          <w:lang w:val="ru-RU"/>
        </w:rPr>
        <w:t>2</w:t>
      </w:r>
    </w:p>
    <w:p w:rsidR="00FB388E" w:rsidRPr="0070011E" w:rsidRDefault="00FB388E" w:rsidP="00FB2C9F">
      <w:pPr>
        <w:tabs>
          <w:tab w:val="left" w:pos="6237"/>
        </w:tabs>
        <w:spacing w:before="960"/>
        <w:rPr>
          <w:sz w:val="18"/>
          <w:szCs w:val="18"/>
          <w:lang w:val="ru-RU"/>
        </w:rPr>
      </w:pPr>
      <w:bookmarkStart w:id="0" w:name="dtitle1"/>
      <w:bookmarkEnd w:id="0"/>
      <w:r w:rsidRPr="0070011E">
        <w:rPr>
          <w:b/>
          <w:bCs/>
          <w:sz w:val="18"/>
          <w:szCs w:val="18"/>
          <w:lang w:val="ru-RU"/>
        </w:rPr>
        <w:t>Рассылка</w:t>
      </w:r>
      <w:r w:rsidRPr="0070011E">
        <w:rPr>
          <w:sz w:val="18"/>
          <w:szCs w:val="18"/>
          <w:lang w:val="ru-RU"/>
        </w:rPr>
        <w:t>:</w:t>
      </w:r>
    </w:p>
    <w:p w:rsidR="00FB388E" w:rsidRPr="0070011E" w:rsidRDefault="00FB388E" w:rsidP="00CC744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6A5F3B">
        <w:rPr>
          <w:sz w:val="18"/>
          <w:szCs w:val="18"/>
          <w:lang w:val="ru-RU"/>
        </w:rPr>
        <w:t>6</w:t>
      </w:r>
      <w:r w:rsidRPr="007001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70011E" w:rsidRDefault="00FB388E" w:rsidP="00CC744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6A5F3B">
        <w:rPr>
          <w:sz w:val="18"/>
          <w:szCs w:val="18"/>
          <w:lang w:val="ru-RU"/>
        </w:rPr>
        <w:t>6</w:t>
      </w:r>
      <w:r w:rsidRPr="0070011E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0011E">
        <w:rPr>
          <w:sz w:val="18"/>
          <w:szCs w:val="18"/>
          <w:lang w:val="ru-RU"/>
        </w:rPr>
        <w:t>регламентарно</w:t>
      </w:r>
      <w:proofErr w:type="spellEnd"/>
      <w:r w:rsidRPr="0070011E">
        <w:rPr>
          <w:sz w:val="18"/>
          <w:szCs w:val="18"/>
          <w:lang w:val="ru-RU"/>
        </w:rPr>
        <w:t>-процедурным вопросам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Членам </w:t>
      </w:r>
      <w:proofErr w:type="spellStart"/>
      <w:r w:rsidRPr="0070011E">
        <w:rPr>
          <w:sz w:val="18"/>
          <w:szCs w:val="18"/>
          <w:lang w:val="ru-RU"/>
        </w:rPr>
        <w:t>Радиорегламентарного</w:t>
      </w:r>
      <w:proofErr w:type="spellEnd"/>
      <w:r w:rsidRPr="0070011E">
        <w:rPr>
          <w:sz w:val="18"/>
          <w:szCs w:val="18"/>
          <w:lang w:val="ru-RU"/>
        </w:rPr>
        <w:t xml:space="preserve"> комитета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br w:type="page"/>
      </w:r>
    </w:p>
    <w:p w:rsidR="00FB388E" w:rsidRDefault="00FB388E" w:rsidP="00FB388E">
      <w:pPr>
        <w:pStyle w:val="AnnexNo"/>
      </w:pPr>
      <w:r w:rsidRPr="0070011E">
        <w:lastRenderedPageBreak/>
        <w:t>ПРИЛОЖЕНИЕ</w:t>
      </w:r>
      <w:r>
        <w:t xml:space="preserve"> 1</w:t>
      </w:r>
    </w:p>
    <w:p w:rsidR="00AA2EB3" w:rsidRPr="0083741E" w:rsidRDefault="00AA2EB3" w:rsidP="00AA2EB3">
      <w:pPr>
        <w:pStyle w:val="QuestionNo"/>
        <w:rPr>
          <w:b/>
          <w:lang w:val="ru-RU"/>
        </w:rPr>
      </w:pPr>
      <w:r w:rsidRPr="0083741E">
        <w:rPr>
          <w:lang w:val="ru-RU"/>
        </w:rPr>
        <w:t xml:space="preserve">ВОПРОС мСЭ-R </w:t>
      </w:r>
      <w:r>
        <w:rPr>
          <w:lang w:val="ru-RU"/>
        </w:rPr>
        <w:t>139</w:t>
      </w:r>
      <w:r w:rsidRPr="0083741E">
        <w:rPr>
          <w:lang w:val="ru-RU"/>
        </w:rPr>
        <w:t>/6</w:t>
      </w:r>
    </w:p>
    <w:p w:rsidR="00AA2EB3" w:rsidRPr="0083741E" w:rsidRDefault="00AA2EB3" w:rsidP="00AA2EB3">
      <w:pPr>
        <w:pStyle w:val="Questiontitle"/>
        <w:rPr>
          <w:lang w:val="ru-RU"/>
        </w:rPr>
      </w:pPr>
      <w:r w:rsidRPr="0083741E">
        <w:rPr>
          <w:lang w:val="ru-RU"/>
        </w:rPr>
        <w:t xml:space="preserve">Методы рендеринга усовершенствованных </w:t>
      </w:r>
      <w:proofErr w:type="spellStart"/>
      <w:r w:rsidRPr="0083741E">
        <w:rPr>
          <w:lang w:val="ru-RU"/>
        </w:rPr>
        <w:t>аудиоформатов</w:t>
      </w:r>
      <w:proofErr w:type="spellEnd"/>
    </w:p>
    <w:p w:rsidR="00AA2EB3" w:rsidRPr="00272469" w:rsidRDefault="00AA2EB3" w:rsidP="00AA2EB3">
      <w:pPr>
        <w:pStyle w:val="Questiondate"/>
        <w:rPr>
          <w:lang w:val="ru-RU"/>
        </w:rPr>
      </w:pPr>
      <w:r w:rsidRPr="00272469">
        <w:rPr>
          <w:lang w:val="ru-RU"/>
        </w:rPr>
        <w:t>(2015)</w:t>
      </w:r>
    </w:p>
    <w:p w:rsidR="00AA2EB3" w:rsidRPr="0083741E" w:rsidRDefault="00AA2EB3" w:rsidP="00AA2EB3">
      <w:pPr>
        <w:pStyle w:val="Normalaftertitle0"/>
      </w:pPr>
      <w:r w:rsidRPr="0083741E">
        <w:t>Ассамблея радиосвязи МСЭ,</w:t>
      </w:r>
    </w:p>
    <w:p w:rsidR="00AA2EB3" w:rsidRPr="0083741E" w:rsidRDefault="00AA2EB3" w:rsidP="00AA2EB3">
      <w:pPr>
        <w:pStyle w:val="Call"/>
        <w:rPr>
          <w:lang w:val="ru-RU"/>
        </w:rPr>
      </w:pPr>
      <w:r w:rsidRPr="0083741E">
        <w:rPr>
          <w:lang w:val="ru-RU"/>
        </w:rPr>
        <w:t>учитывая</w:t>
      </w:r>
      <w:r w:rsidRPr="0083741E">
        <w:rPr>
          <w:i w:val="0"/>
          <w:iCs/>
          <w:lang w:val="ru-RU"/>
        </w:rPr>
        <w:t>,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 xml:space="preserve"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 зрительскому восприятию, обеспечиваемому производством видеоизображений в </w:t>
      </w:r>
      <w:proofErr w:type="spellStart"/>
      <w:r w:rsidRPr="0083741E">
        <w:rPr>
          <w:lang w:val="ru-RU"/>
        </w:rPr>
        <w:t>ТВЧ</w:t>
      </w:r>
      <w:proofErr w:type="spellEnd"/>
      <w:r w:rsidRPr="0083741E">
        <w:rPr>
          <w:lang w:val="ru-RU"/>
        </w:rPr>
        <w:t xml:space="preserve"> (см. Рекомендацию МСЭ-R </w:t>
      </w:r>
      <w:proofErr w:type="spellStart"/>
      <w:r w:rsidRPr="0083741E">
        <w:rPr>
          <w:lang w:val="ru-RU"/>
        </w:rPr>
        <w:t>BT.709</w:t>
      </w:r>
      <w:proofErr w:type="spellEnd"/>
      <w:r w:rsidRPr="0083741E">
        <w:rPr>
          <w:lang w:val="ru-RU"/>
        </w:rPr>
        <w:t xml:space="preserve">) и </w:t>
      </w:r>
      <w:proofErr w:type="spellStart"/>
      <w:r w:rsidRPr="0083741E">
        <w:rPr>
          <w:lang w:val="ru-RU"/>
        </w:rPr>
        <w:t>ТСВЧ</w:t>
      </w:r>
      <w:proofErr w:type="spellEnd"/>
      <w:r w:rsidRPr="0083741E">
        <w:rPr>
          <w:lang w:val="ru-RU"/>
        </w:rPr>
        <w:t xml:space="preserve"> (см. Рекомендацию МСЭ-R </w:t>
      </w:r>
      <w:proofErr w:type="spellStart"/>
      <w:r w:rsidRPr="0083741E">
        <w:rPr>
          <w:lang w:val="ru-RU"/>
        </w:rPr>
        <w:t>BT.2020</w:t>
      </w:r>
      <w:proofErr w:type="spellEnd"/>
      <w:r w:rsidRPr="0083741E">
        <w:rPr>
          <w:lang w:val="ru-RU"/>
        </w:rPr>
        <w:t>);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lang w:val="ru-RU"/>
        </w:rPr>
        <w:tab/>
        <w:t xml:space="preserve">что в Рекомендации МСЭ-R </w:t>
      </w:r>
      <w:proofErr w:type="spellStart"/>
      <w:r w:rsidRPr="0083741E">
        <w:rPr>
          <w:lang w:val="ru-RU"/>
        </w:rPr>
        <w:t>BS.2051</w:t>
      </w:r>
      <w:proofErr w:type="spellEnd"/>
      <w:r w:rsidRPr="0083741E">
        <w:rPr>
          <w:lang w:val="ru-RU"/>
        </w:rPr>
        <w:t xml:space="preserve">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 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c)</w:t>
      </w:r>
      <w:r w:rsidRPr="0083741E">
        <w:rPr>
          <w:lang w:val="ru-RU"/>
        </w:rPr>
        <w:tab/>
        <w:t xml:space="preserve">что в Рекомендации МСЭ-R </w:t>
      </w:r>
      <w:proofErr w:type="spellStart"/>
      <w:r w:rsidRPr="0083741E">
        <w:rPr>
          <w:lang w:val="ru-RU"/>
        </w:rPr>
        <w:t>BS.1909</w:t>
      </w:r>
      <w:proofErr w:type="spellEnd"/>
      <w:r w:rsidRPr="0083741E">
        <w:rPr>
          <w:lang w:val="ru-RU"/>
        </w:rPr>
        <w:t xml:space="preserve">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d)</w:t>
      </w:r>
      <w:r w:rsidRPr="0083741E">
        <w:rPr>
          <w:lang w:val="ru-RU"/>
        </w:rPr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e)</w:t>
      </w:r>
      <w:r w:rsidRPr="0083741E">
        <w:rPr>
          <w:lang w:val="ru-RU"/>
        </w:rPr>
        <w:tab/>
        <w:t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согласованности при воспроизведении,</w:t>
      </w:r>
    </w:p>
    <w:p w:rsidR="00AA2EB3" w:rsidRPr="0083741E" w:rsidRDefault="00AA2EB3" w:rsidP="00AA2EB3">
      <w:pPr>
        <w:pStyle w:val="Call"/>
        <w:rPr>
          <w:lang w:val="ru-RU"/>
        </w:rPr>
      </w:pPr>
      <w:r w:rsidRPr="0083741E">
        <w:rPr>
          <w:lang w:val="ru-RU"/>
        </w:rPr>
        <w:t>учитывая далее</w:t>
      </w:r>
      <w:r w:rsidRPr="0083741E">
        <w:rPr>
          <w:i w:val="0"/>
          <w:iCs/>
          <w:lang w:val="ru-RU"/>
        </w:rPr>
        <w:t>,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 xml:space="preserve">что описание базового </w:t>
      </w:r>
      <w:proofErr w:type="spellStart"/>
      <w:r w:rsidRPr="0083741E">
        <w:rPr>
          <w:lang w:val="ru-RU"/>
        </w:rPr>
        <w:t>рендерера</w:t>
      </w:r>
      <w:proofErr w:type="spellEnd"/>
      <w:r w:rsidRPr="0083741E">
        <w:rPr>
          <w:rStyle w:val="FootnoteReference"/>
          <w:lang w:val="ru-RU"/>
        </w:rPr>
        <w:footnoteReference w:customMarkFollows="1" w:id="1"/>
        <w:t>1</w:t>
      </w:r>
      <w:r w:rsidRPr="0083741E">
        <w:rPr>
          <w:lang w:val="ru-RU"/>
        </w:rPr>
        <w:t xml:space="preserve"> 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i/>
          <w:iCs/>
          <w:lang w:val="ru-RU"/>
        </w:rPr>
        <w:tab/>
      </w:r>
      <w:r w:rsidRPr="0083741E">
        <w:rPr>
          <w:lang w:val="ru-RU"/>
        </w:rPr>
        <w:t xml:space="preserve"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составляют конфигурацию процесса рендеринга и не содержат каких бы то ни было неопределенностей. Расширения спецификации могут обеспечивать частные усовершенствования, но это не является частью спецификации базового </w:t>
      </w:r>
      <w:proofErr w:type="spellStart"/>
      <w:r w:rsidRPr="0083741E">
        <w:rPr>
          <w:lang w:val="ru-RU"/>
        </w:rPr>
        <w:t>рендерера</w:t>
      </w:r>
      <w:proofErr w:type="spellEnd"/>
      <w:r w:rsidRPr="0083741E">
        <w:rPr>
          <w:lang w:val="ru-RU"/>
        </w:rPr>
        <w:t>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c)</w:t>
      </w:r>
      <w:r w:rsidRPr="0083741E">
        <w:rPr>
          <w:i/>
          <w:iCs/>
          <w:lang w:val="ru-RU"/>
        </w:rPr>
        <w:tab/>
      </w:r>
      <w:r w:rsidRPr="0083741E">
        <w:rPr>
          <w:lang w:val="ru-RU"/>
        </w:rPr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lastRenderedPageBreak/>
        <w:t>d)</w:t>
      </w:r>
      <w:r w:rsidRPr="0083741E">
        <w:rPr>
          <w:i/>
          <w:iCs/>
          <w:lang w:val="ru-RU"/>
        </w:rPr>
        <w:tab/>
      </w:r>
      <w:r w:rsidRPr="0083741E">
        <w:rPr>
          <w:lang w:val="ru-RU"/>
        </w:rPr>
        <w:t xml:space="preserve">что базовый рендеринг должен поддерживать все установки громкоговорителей, которые предлагаются в Рекомендации МСЭ-R </w:t>
      </w:r>
      <w:proofErr w:type="spellStart"/>
      <w:r w:rsidRPr="0083741E">
        <w:rPr>
          <w:lang w:val="ru-RU"/>
        </w:rPr>
        <w:t>BS.2051</w:t>
      </w:r>
      <w:proofErr w:type="spellEnd"/>
      <w:r w:rsidRPr="0083741E">
        <w:rPr>
          <w:lang w:val="ru-RU"/>
        </w:rPr>
        <w:t>,</w:t>
      </w:r>
    </w:p>
    <w:p w:rsidR="00AA2EB3" w:rsidRPr="0083741E" w:rsidRDefault="00AA2EB3" w:rsidP="00AA2EB3">
      <w:pPr>
        <w:pStyle w:val="Call"/>
        <w:rPr>
          <w:lang w:val="ru-RU"/>
        </w:rPr>
      </w:pPr>
      <w:r w:rsidRPr="0083741E">
        <w:rPr>
          <w:lang w:val="ru-RU"/>
        </w:rPr>
        <w:t>решает</w:t>
      </w:r>
      <w:r w:rsidRPr="0083741E">
        <w:rPr>
          <w:i w:val="0"/>
          <w:iCs/>
          <w:lang w:val="ru-RU"/>
        </w:rPr>
        <w:t>, что следует изучить следующие Вопросы: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 xml:space="preserve">Каковы требования к базовому </w:t>
      </w:r>
      <w:proofErr w:type="spellStart"/>
      <w:r w:rsidRPr="0083741E">
        <w:rPr>
          <w:lang w:val="ru-RU"/>
        </w:rPr>
        <w:t>рендереру</w:t>
      </w:r>
      <w:proofErr w:type="spellEnd"/>
      <w:r w:rsidRPr="0083741E">
        <w:rPr>
          <w:lang w:val="ru-RU"/>
        </w:rPr>
        <w:t xml:space="preserve"> для использования в производстве усовершенствованных звуковых программ и для оценки качества?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 xml:space="preserve">Какова спецификация базового </w:t>
      </w:r>
      <w:proofErr w:type="spellStart"/>
      <w:r w:rsidRPr="0083741E">
        <w:rPr>
          <w:lang w:val="ru-RU"/>
        </w:rPr>
        <w:t>рендерера</w:t>
      </w:r>
      <w:proofErr w:type="spellEnd"/>
      <w:r w:rsidRPr="0083741E">
        <w:rPr>
          <w:lang w:val="ru-RU"/>
        </w:rPr>
        <w:t>, пригодного для усовершенствованных звуковых программ и для оценки качества?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3</w:t>
      </w:r>
      <w:r w:rsidRPr="0083741E">
        <w:rPr>
          <w:lang w:val="ru-RU"/>
        </w:rPr>
        <w:tab/>
        <w:t xml:space="preserve">Какие требуются процессы обработки сигнала и входные метаданные (метаданные окружающей среды, метаданные, относящиеся к контенту) для удовлетворительной работы базового </w:t>
      </w:r>
      <w:proofErr w:type="spellStart"/>
      <w:r w:rsidRPr="0083741E">
        <w:rPr>
          <w:lang w:val="ru-RU"/>
        </w:rPr>
        <w:t>рендерера</w:t>
      </w:r>
      <w:proofErr w:type="spellEnd"/>
      <w:r w:rsidRPr="0083741E">
        <w:rPr>
          <w:lang w:val="ru-RU"/>
        </w:rPr>
        <w:t>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4</w:t>
      </w:r>
      <w:r w:rsidRPr="0083741E">
        <w:rPr>
          <w:lang w:val="ru-RU"/>
        </w:rPr>
        <w:tab/>
        <w:t xml:space="preserve">Какой алгоритм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или их сочетание) согласно Рекомендации МСЭ-R </w:t>
      </w:r>
      <w:proofErr w:type="spellStart"/>
      <w:r w:rsidRPr="0083741E">
        <w:rPr>
          <w:lang w:val="ru-RU"/>
        </w:rPr>
        <w:t>BS.2051</w:t>
      </w:r>
      <w:proofErr w:type="spellEnd"/>
      <w:r w:rsidRPr="0083741E">
        <w:rPr>
          <w:lang w:val="ru-RU"/>
        </w:rPr>
        <w:t>?</w:t>
      </w:r>
    </w:p>
    <w:p w:rsidR="00AA2EB3" w:rsidRPr="0083741E" w:rsidRDefault="00AA2EB3" w:rsidP="00AA2EB3">
      <w:pPr>
        <w:pStyle w:val="Call"/>
        <w:rPr>
          <w:lang w:val="ru-RU"/>
        </w:rPr>
      </w:pPr>
      <w:r w:rsidRPr="0083741E">
        <w:rPr>
          <w:lang w:val="ru-RU"/>
        </w:rPr>
        <w:t>решает далее</w:t>
      </w:r>
      <w:r w:rsidRPr="0083741E">
        <w:rPr>
          <w:i w:val="0"/>
          <w:iCs/>
          <w:lang w:val="ru-RU"/>
        </w:rPr>
        <w:t>,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что результаты вышеуказанных исследований следует включить в Рекомендацию;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что вышеуказанные исследования следует завершить к 2016 году.</w:t>
      </w:r>
    </w:p>
    <w:p w:rsidR="00AA2EB3" w:rsidRDefault="00AA2EB3" w:rsidP="00AA2EB3">
      <w:pPr>
        <w:rPr>
          <w:lang w:val="ru-RU"/>
        </w:rPr>
      </w:pPr>
    </w:p>
    <w:p w:rsidR="00AA2EB3" w:rsidRPr="00272469" w:rsidRDefault="00AA2EB3" w:rsidP="00AA2EB3">
      <w:pPr>
        <w:rPr>
          <w:lang w:val="ru-RU"/>
        </w:rPr>
      </w:pPr>
      <w:r>
        <w:rPr>
          <w:lang w:val="ru-RU"/>
        </w:rPr>
        <w:t xml:space="preserve">Категория: </w:t>
      </w:r>
      <w:r>
        <w:t>S</w:t>
      </w:r>
      <w:r w:rsidRPr="00272469">
        <w:rPr>
          <w:lang w:val="ru-RU"/>
        </w:rPr>
        <w:t>1</w:t>
      </w:r>
    </w:p>
    <w:p w:rsidR="00AA2EB3" w:rsidRPr="0083741E" w:rsidRDefault="00AA2EB3" w:rsidP="00AA2EB3">
      <w:pPr>
        <w:rPr>
          <w:rFonts w:asciiTheme="majorBidi" w:hAnsiTheme="majorBidi" w:cstheme="majorBidi"/>
          <w:sz w:val="24"/>
          <w:szCs w:val="24"/>
          <w:lang w:val="ru-RU"/>
        </w:rPr>
      </w:pPr>
      <w:r w:rsidRPr="0083741E">
        <w:rPr>
          <w:rFonts w:asciiTheme="majorBidi" w:hAnsiTheme="majorBidi" w:cstheme="majorBidi"/>
          <w:sz w:val="24"/>
          <w:szCs w:val="24"/>
          <w:lang w:val="ru-RU"/>
        </w:rPr>
        <w:br w:type="page"/>
      </w:r>
    </w:p>
    <w:p w:rsidR="00AA2EB3" w:rsidRPr="0083741E" w:rsidRDefault="00AA2EB3" w:rsidP="00AA2EB3">
      <w:pPr>
        <w:pStyle w:val="AnnexNo"/>
        <w:rPr>
          <w:b/>
        </w:rPr>
      </w:pPr>
      <w:r w:rsidRPr="0083741E">
        <w:lastRenderedPageBreak/>
        <w:t>ПРИЛОЖЕНИЕ 2</w:t>
      </w:r>
    </w:p>
    <w:p w:rsidR="00AA2EB3" w:rsidRPr="0083741E" w:rsidRDefault="00AA2EB3" w:rsidP="00272469">
      <w:pPr>
        <w:pStyle w:val="QuestionNo"/>
        <w:rPr>
          <w:lang w:val="ru-RU"/>
        </w:rPr>
      </w:pPr>
      <w:r w:rsidRPr="0083741E">
        <w:rPr>
          <w:lang w:val="ru-RU"/>
        </w:rPr>
        <w:t>Вопрос МСЭ-R 132-</w:t>
      </w:r>
      <w:r>
        <w:rPr>
          <w:lang w:val="ru-RU"/>
        </w:rPr>
        <w:t>3</w:t>
      </w:r>
      <w:r w:rsidRPr="0083741E">
        <w:rPr>
          <w:lang w:val="ru-RU"/>
        </w:rPr>
        <w:t>/6</w:t>
      </w:r>
    </w:p>
    <w:p w:rsidR="00AA2EB3" w:rsidRPr="0083741E" w:rsidRDefault="00AA2EB3" w:rsidP="00AA2EB3">
      <w:pPr>
        <w:pStyle w:val="Questiontitle"/>
        <w:rPr>
          <w:lang w:val="ru-RU"/>
        </w:rPr>
      </w:pPr>
      <w:r w:rsidRPr="0083741E">
        <w:rPr>
          <w:lang w:val="ru-RU"/>
        </w:rPr>
        <w:t>Технологии и планирование цифрового наземного телевизионного радиовещания</w:t>
      </w:r>
    </w:p>
    <w:p w:rsidR="00AA2EB3" w:rsidRPr="0083741E" w:rsidRDefault="00AA2EB3" w:rsidP="00AA2EB3">
      <w:pPr>
        <w:pStyle w:val="Questiondate"/>
        <w:rPr>
          <w:lang w:val="ru-RU"/>
        </w:rPr>
      </w:pPr>
      <w:r w:rsidRPr="0083741E">
        <w:rPr>
          <w:lang w:val="ru-RU"/>
        </w:rPr>
        <w:t>(2010-2011</w:t>
      </w:r>
      <w:r w:rsidR="00272469">
        <w:rPr>
          <w:lang w:val="ru-RU"/>
        </w:rPr>
        <w:t>-2011</w:t>
      </w:r>
      <w:r>
        <w:rPr>
          <w:lang w:val="ru-RU"/>
        </w:rPr>
        <w:t>-2015</w:t>
      </w:r>
      <w:r w:rsidRPr="0083741E">
        <w:rPr>
          <w:lang w:val="ru-RU"/>
        </w:rPr>
        <w:t>)</w:t>
      </w:r>
    </w:p>
    <w:p w:rsidR="00AA2EB3" w:rsidRPr="0083741E" w:rsidRDefault="00AA2EB3" w:rsidP="00AA2EB3">
      <w:pPr>
        <w:pStyle w:val="Normalaftertitle0"/>
      </w:pPr>
      <w:r w:rsidRPr="0083741E">
        <w:t>Ассамблея радиосвязи МСЭ,</w:t>
      </w:r>
    </w:p>
    <w:p w:rsidR="00AA2EB3" w:rsidRPr="0083741E" w:rsidRDefault="00AA2EB3" w:rsidP="00AA2EB3">
      <w:pPr>
        <w:pStyle w:val="Call"/>
        <w:rPr>
          <w:lang w:val="ru-RU"/>
        </w:rPr>
      </w:pPr>
      <w:r w:rsidRPr="0083741E">
        <w:rPr>
          <w:lang w:val="ru-RU"/>
        </w:rPr>
        <w:t>учитывая</w:t>
      </w:r>
      <w:r w:rsidRPr="0083741E">
        <w:rPr>
          <w:i w:val="0"/>
          <w:iCs/>
          <w:lang w:val="ru-RU"/>
        </w:rPr>
        <w:t>,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>что многие администрации уже внедрили цифровые наземные телевизионные радиовещательные (</w:t>
      </w:r>
      <w:proofErr w:type="spellStart"/>
      <w:r w:rsidRPr="0083741E">
        <w:rPr>
          <w:lang w:val="ru-RU"/>
        </w:rPr>
        <w:t>ЦНТР</w:t>
      </w:r>
      <w:proofErr w:type="spellEnd"/>
      <w:r w:rsidRPr="0083741E">
        <w:rPr>
          <w:lang w:val="ru-RU"/>
        </w:rPr>
        <w:t xml:space="preserve">) службы в диапазонах </w:t>
      </w:r>
      <w:proofErr w:type="spellStart"/>
      <w:r w:rsidRPr="0083741E">
        <w:rPr>
          <w:lang w:val="ru-RU"/>
        </w:rPr>
        <w:t>ОВЧ</w:t>
      </w:r>
      <w:proofErr w:type="spellEnd"/>
      <w:r w:rsidRPr="0083741E">
        <w:rPr>
          <w:lang w:val="ru-RU"/>
        </w:rPr>
        <w:t xml:space="preserve"> (Диапазон </w:t>
      </w:r>
      <w:proofErr w:type="spellStart"/>
      <w:r w:rsidRPr="0083741E">
        <w:rPr>
          <w:lang w:val="ru-RU"/>
        </w:rPr>
        <w:t>III</w:t>
      </w:r>
      <w:proofErr w:type="spellEnd"/>
      <w:r w:rsidRPr="0083741E">
        <w:rPr>
          <w:lang w:val="ru-RU"/>
        </w:rPr>
        <w:t>) и/или УВЧ (Диапазон </w:t>
      </w:r>
      <w:proofErr w:type="spellStart"/>
      <w:r w:rsidRPr="0083741E">
        <w:rPr>
          <w:lang w:val="ru-RU"/>
        </w:rPr>
        <w:t>IV</w:t>
      </w:r>
      <w:proofErr w:type="spellEnd"/>
      <w:r w:rsidRPr="0083741E">
        <w:rPr>
          <w:lang w:val="ru-RU"/>
        </w:rPr>
        <w:t>/V), а другие администрации осуществляют их внедрение;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lang w:val="ru-RU"/>
        </w:rPr>
        <w:tab/>
        <w:t xml:space="preserve">что опыт, полученный в процессе реализации служб </w:t>
      </w:r>
      <w:proofErr w:type="spellStart"/>
      <w:r w:rsidRPr="0083741E">
        <w:rPr>
          <w:lang w:val="ru-RU"/>
        </w:rPr>
        <w:t>ЦНТР</w:t>
      </w:r>
      <w:proofErr w:type="spellEnd"/>
      <w:r w:rsidRPr="0083741E">
        <w:rPr>
          <w:lang w:val="ru-RU"/>
        </w:rPr>
        <w:t xml:space="preserve">, будет полезен при уточнении допущений и методов, применяемых при планировании и реализации служб </w:t>
      </w:r>
      <w:proofErr w:type="spellStart"/>
      <w:r w:rsidRPr="0083741E">
        <w:rPr>
          <w:lang w:val="ru-RU"/>
        </w:rPr>
        <w:t>ЦНТР</w:t>
      </w:r>
      <w:proofErr w:type="spellEnd"/>
      <w:r w:rsidRPr="0083741E">
        <w:rPr>
          <w:lang w:val="ru-RU"/>
        </w:rPr>
        <w:t>,</w:t>
      </w:r>
    </w:p>
    <w:p w:rsidR="00AA2EB3" w:rsidRPr="0083741E" w:rsidRDefault="00AA2EB3" w:rsidP="00AA2EB3">
      <w:pPr>
        <w:pStyle w:val="Call"/>
        <w:rPr>
          <w:i w:val="0"/>
          <w:iCs/>
          <w:lang w:val="ru-RU"/>
        </w:rPr>
      </w:pPr>
      <w:r w:rsidRPr="0083741E">
        <w:rPr>
          <w:lang w:val="ru-RU"/>
        </w:rPr>
        <w:t>решает</w:t>
      </w:r>
      <w:r w:rsidRPr="0083741E">
        <w:rPr>
          <w:i w:val="0"/>
          <w:iCs/>
          <w:lang w:val="ru-RU"/>
        </w:rPr>
        <w:t>, что необходимо изучить следующие Вопросы: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Каковы параметры частотного планирования для таких служб, включая, в том числе: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минимальные значения напряженности поля;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воздействие методов модуляции и излучения;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характеристики приемных и передающих антенн;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воздействие применения различных методов передачи и приема;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значения поправочного коэффициента местоположения;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значения изменчивости во времени;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одночастотные сети;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диапазоны скоростей;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шум окружающей среды и его воздействие на прием цифрового наземного телевидения;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влияние влажного лиственного покрова на прием цифрового наземного телевидения;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влияние ветряных ферм и рассеяния сигнала самолетом на прием цифрового наземного телевидения;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потери при проникновении в здание;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изменения поправочного коэффициента местоположения при приеме внутри помещений?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83741E">
        <w:rPr>
          <w:rStyle w:val="FootnoteReference"/>
          <w:lang w:val="ru-RU"/>
        </w:rPr>
        <w:footnoteReference w:customMarkFollows="1" w:id="2"/>
        <w:t>1</w:t>
      </w:r>
      <w:r w:rsidRPr="0083741E">
        <w:rPr>
          <w:lang w:val="ru-RU"/>
        </w:rPr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83741E">
        <w:rPr>
          <w:rStyle w:val="FootnoteReference"/>
          <w:lang w:val="ru-RU"/>
        </w:rPr>
        <w:footnoteReference w:customMarkFollows="1" w:id="3"/>
        <w:t>2</w:t>
      </w:r>
      <w:r w:rsidRPr="0083741E">
        <w:rPr>
          <w:lang w:val="ru-RU"/>
        </w:rPr>
        <w:t xml:space="preserve"> параметры модуляции?</w:t>
      </w:r>
    </w:p>
    <w:p w:rsidR="00AA2EB3" w:rsidRPr="0083741E" w:rsidRDefault="00AA2EB3" w:rsidP="00AA2EB3">
      <w:pPr>
        <w:keepNext/>
        <w:keepLines/>
        <w:rPr>
          <w:lang w:val="ru-RU"/>
        </w:rPr>
      </w:pPr>
      <w:r w:rsidRPr="0083741E">
        <w:rPr>
          <w:lang w:val="ru-RU"/>
        </w:rPr>
        <w:t>3</w:t>
      </w:r>
      <w:r w:rsidRPr="0083741E">
        <w:rPr>
          <w:lang w:val="ru-RU"/>
        </w:rPr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том же канале;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соседних каналах;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lastRenderedPageBreak/>
        <w:t>–</w:t>
      </w:r>
      <w:r w:rsidRPr="0083741E">
        <w:rPr>
          <w:lang w:val="ru-RU"/>
        </w:rPr>
        <w:tab/>
        <w:t>при перекрывающихся каналах;</w:t>
      </w:r>
    </w:p>
    <w:p w:rsidR="00AA2EB3" w:rsidRPr="0083741E" w:rsidRDefault="00AA2EB3" w:rsidP="00AA2EB3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случае других соотношений, при которых возможно создание помех (например, канал изображения)?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4</w:t>
      </w:r>
      <w:r w:rsidRPr="0083741E">
        <w:rPr>
          <w:lang w:val="ru-RU"/>
        </w:rPr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5</w:t>
      </w:r>
      <w:r w:rsidRPr="0083741E">
        <w:rPr>
          <w:lang w:val="ru-RU"/>
        </w:rPr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6</w:t>
      </w:r>
      <w:r w:rsidRPr="0083741E">
        <w:rPr>
          <w:lang w:val="ru-RU"/>
        </w:rPr>
        <w:tab/>
        <w:t>Какие методы могут использоваться для ослабления влияния помех?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7</w:t>
      </w:r>
      <w:r w:rsidRPr="0083741E">
        <w:rPr>
          <w:lang w:val="ru-RU"/>
        </w:rPr>
        <w:tab/>
        <w:t xml:space="preserve">Каковы приемлемые продолжительности отказов, обусловленные местными кратковременными помехами, создаваемыми службам </w:t>
      </w:r>
      <w:proofErr w:type="spellStart"/>
      <w:r w:rsidRPr="0083741E">
        <w:rPr>
          <w:lang w:val="ru-RU"/>
        </w:rPr>
        <w:t>ЦНТР</w:t>
      </w:r>
      <w:proofErr w:type="spellEnd"/>
      <w:r w:rsidRPr="0083741E">
        <w:rPr>
          <w:lang w:val="ru-RU"/>
        </w:rPr>
        <w:t>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8</w:t>
      </w:r>
      <w:r w:rsidRPr="0083741E">
        <w:rPr>
          <w:lang w:val="ru-RU"/>
        </w:rPr>
        <w:tab/>
        <w:t xml:space="preserve">Какие технические основы необходимы для планирования, в результате которого обеспечивается эффективное использование диапазонов </w:t>
      </w:r>
      <w:proofErr w:type="spellStart"/>
      <w:r w:rsidRPr="0083741E">
        <w:rPr>
          <w:lang w:val="ru-RU"/>
        </w:rPr>
        <w:t>ОВЧ</w:t>
      </w:r>
      <w:proofErr w:type="spellEnd"/>
      <w:r w:rsidRPr="0083741E">
        <w:rPr>
          <w:lang w:val="ru-RU"/>
        </w:rPr>
        <w:t xml:space="preserve"> и УВЧ для наземных телевизионных служб?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9</w:t>
      </w:r>
      <w:r w:rsidRPr="0083741E">
        <w:rPr>
          <w:lang w:val="ru-RU"/>
        </w:rPr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10</w:t>
      </w:r>
      <w:r w:rsidRPr="0083741E">
        <w:rPr>
          <w:lang w:val="ru-RU"/>
        </w:rPr>
        <w:tab/>
        <w:t xml:space="preserve">Какие проценты готовности по времени могут быть практически достигнуты при внедрении служб </w:t>
      </w:r>
      <w:proofErr w:type="spellStart"/>
      <w:r w:rsidRPr="0083741E">
        <w:rPr>
          <w:lang w:val="ru-RU"/>
        </w:rPr>
        <w:t>ЦНТР</w:t>
      </w:r>
      <w:proofErr w:type="spellEnd"/>
      <w:r w:rsidRPr="0083741E">
        <w:rPr>
          <w:lang w:val="ru-RU"/>
        </w:rPr>
        <w:t xml:space="preserve"> и какие требуются запасы в параметрах планирования для достижения этих процентов готовности по времени?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11</w:t>
      </w:r>
      <w:r w:rsidRPr="0083741E">
        <w:rPr>
          <w:lang w:val="ru-RU"/>
        </w:rPr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12</w:t>
      </w:r>
      <w:r w:rsidRPr="0083741E">
        <w:rPr>
          <w:lang w:val="ru-RU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13</w:t>
      </w:r>
      <w:r w:rsidRPr="0083741E">
        <w:rPr>
          <w:lang w:val="ru-RU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14</w:t>
      </w:r>
      <w:r w:rsidRPr="0083741E">
        <w:rPr>
          <w:lang w:val="ru-RU"/>
        </w:rPr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AA2EB3" w:rsidRPr="00272469" w:rsidRDefault="00AA2EB3" w:rsidP="00272469">
      <w:pPr>
        <w:rPr>
          <w:rFonts w:ascii="Calibri" w:hAnsi="Calibri"/>
          <w:lang w:val="ru-RU"/>
        </w:rPr>
      </w:pPr>
      <w:r w:rsidRPr="0083741E">
        <w:rPr>
          <w:lang w:val="ru-RU"/>
        </w:rPr>
        <w:t>15</w:t>
      </w:r>
      <w:r w:rsidRPr="0083741E">
        <w:rPr>
          <w:lang w:val="ru-RU"/>
        </w:rPr>
        <w:tab/>
        <w:t>Какие методы могут использоваться для сочетания нескольких мультиплексных каналов в одной передаче</w:t>
      </w:r>
      <w:r w:rsidRPr="00272469">
        <w:rPr>
          <w:rFonts w:ascii="Calibri" w:hAnsi="Calibri"/>
          <w:lang w:val="ru-RU"/>
        </w:rPr>
        <w:t>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16</w:t>
      </w:r>
      <w:r w:rsidRPr="0083741E">
        <w:rPr>
          <w:lang w:val="ru-RU"/>
        </w:rPr>
        <w:tab/>
        <w:t>Каковы соответствующие методы защиты от ошибок?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17</w:t>
      </w:r>
      <w:r w:rsidRPr="0083741E">
        <w:rPr>
          <w:lang w:val="ru-RU"/>
        </w:rPr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18</w:t>
      </w:r>
      <w:r w:rsidRPr="0083741E">
        <w:rPr>
          <w:lang w:val="ru-RU"/>
        </w:rPr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19</w:t>
      </w:r>
      <w:r w:rsidRPr="0083741E">
        <w:rPr>
          <w:lang w:val="ru-RU"/>
        </w:rPr>
        <w:tab/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20</w:t>
      </w:r>
      <w:r w:rsidRPr="0083741E">
        <w:rPr>
          <w:lang w:val="ru-RU"/>
        </w:rPr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272469" w:rsidRPr="00FB2C9F" w:rsidRDefault="00272469" w:rsidP="00272469">
      <w:pPr>
        <w:rPr>
          <w:lang w:val="ru-RU"/>
        </w:rPr>
      </w:pPr>
      <w:r w:rsidRPr="00FB2C9F">
        <w:rPr>
          <w:lang w:val="ru-RU"/>
        </w:rPr>
        <w:br w:type="page"/>
      </w:r>
    </w:p>
    <w:p w:rsidR="00AA2EB3" w:rsidRPr="0083741E" w:rsidRDefault="00AA2EB3" w:rsidP="00AA2EB3">
      <w:pPr>
        <w:pStyle w:val="Call"/>
        <w:rPr>
          <w:lang w:val="ru-RU"/>
        </w:rPr>
      </w:pPr>
      <w:r w:rsidRPr="0083741E">
        <w:rPr>
          <w:lang w:val="ru-RU"/>
        </w:rPr>
        <w:lastRenderedPageBreak/>
        <w:t>решает далее</w:t>
      </w:r>
      <w:r w:rsidRPr="0083741E">
        <w:rPr>
          <w:i w:val="0"/>
          <w:iCs/>
          <w:lang w:val="ru-RU"/>
        </w:rPr>
        <w:t>,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что вышеуказанные исследования следует завершить к 2018 году.</w:t>
      </w:r>
    </w:p>
    <w:p w:rsidR="00AA2EB3" w:rsidRDefault="00AA2EB3" w:rsidP="00AA2EB3">
      <w:pPr>
        <w:rPr>
          <w:lang w:val="ru-RU"/>
        </w:rPr>
      </w:pPr>
    </w:p>
    <w:p w:rsidR="00AA2EB3" w:rsidRPr="0083741E" w:rsidRDefault="00AA2EB3" w:rsidP="00AA2EB3">
      <w:pPr>
        <w:rPr>
          <w:lang w:val="ru-RU"/>
        </w:rPr>
      </w:pPr>
      <w:r w:rsidRPr="0083741E">
        <w:rPr>
          <w:lang w:val="ru-RU"/>
        </w:rPr>
        <w:t xml:space="preserve">Категория: </w:t>
      </w:r>
      <w:proofErr w:type="spellStart"/>
      <w:r w:rsidRPr="0083741E">
        <w:rPr>
          <w:lang w:val="ru-RU"/>
        </w:rPr>
        <w:t>S3</w:t>
      </w:r>
      <w:proofErr w:type="spellEnd"/>
    </w:p>
    <w:p w:rsidR="00AA2EB3" w:rsidRDefault="00AA2EB3" w:rsidP="00AA2EB3">
      <w:pPr>
        <w:spacing w:before="720"/>
        <w:jc w:val="center"/>
      </w:pPr>
      <w:r>
        <w:t>______________</w:t>
      </w:r>
    </w:p>
    <w:sectPr w:rsidR="00AA2EB3" w:rsidSect="000E546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72469">
      <w:rPr>
        <w:noProof/>
        <w:sz w:val="16"/>
        <w:szCs w:val="16"/>
      </w:rPr>
      <w:t>P:\RUS\ITU-R\BR\DIR\CACE\700\735R.docx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E347B">
      <w:rPr>
        <w:noProof/>
        <w:sz w:val="16"/>
        <w:szCs w:val="16"/>
      </w:rPr>
      <w:t>23.06.15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72469">
      <w:rPr>
        <w:noProof/>
        <w:sz w:val="16"/>
        <w:szCs w:val="16"/>
      </w:rPr>
      <w:t>22.06.15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  <w:footnote w:id="1">
    <w:p w:rsidR="00AA2EB3" w:rsidRPr="00116BA1" w:rsidRDefault="00AA2EB3" w:rsidP="00AA2EB3">
      <w:pPr>
        <w:pStyle w:val="FootnoteText"/>
        <w:rPr>
          <w:lang w:val="ru-RU"/>
        </w:rPr>
      </w:pPr>
      <w:r w:rsidRPr="00116BA1">
        <w:rPr>
          <w:rStyle w:val="FootnoteReference"/>
          <w:lang w:val="ru-RU"/>
        </w:rPr>
        <w:t>1</w:t>
      </w:r>
      <w:r w:rsidRPr="00116BA1">
        <w:rPr>
          <w:lang w:val="ru-RU"/>
        </w:rPr>
        <w:tab/>
      </w:r>
      <w:proofErr w:type="spellStart"/>
      <w:r w:rsidRPr="00116BA1">
        <w:rPr>
          <w:lang w:val="ru-RU"/>
        </w:rPr>
        <w:t>Рендерер</w:t>
      </w:r>
      <w:proofErr w:type="spellEnd"/>
      <w:r w:rsidRPr="00116BA1">
        <w:rPr>
          <w:lang w:val="ru-RU"/>
        </w:rPr>
        <w:t xml:space="preserve">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Базовый </w:t>
      </w:r>
      <w:proofErr w:type="spellStart"/>
      <w:r w:rsidRPr="00116BA1">
        <w:rPr>
          <w:lang w:val="ru-RU"/>
        </w:rPr>
        <w:t>рендерер</w:t>
      </w:r>
      <w:proofErr w:type="spellEnd"/>
      <w:r w:rsidRPr="00116BA1">
        <w:rPr>
          <w:lang w:val="ru-RU"/>
        </w:rPr>
        <w:t xml:space="preserve"> – это экземпляр </w:t>
      </w:r>
      <w:proofErr w:type="spellStart"/>
      <w:r w:rsidRPr="00116BA1">
        <w:rPr>
          <w:lang w:val="ru-RU"/>
        </w:rPr>
        <w:t>рендерера</w:t>
      </w:r>
      <w:proofErr w:type="spellEnd"/>
      <w:r w:rsidRPr="00116BA1">
        <w:rPr>
          <w:lang w:val="ru-RU"/>
        </w:rPr>
        <w:t>, который используется для целей количественной оценки и в процессе производства программ. Будучи четко определенным, он позволяет проводить сравнение с другими возможными экземплярами. Он необязательно обеспечивает наилучшее возможное качество акустической среды и может не поддерживать все возможные метаданные, но он может обеспечить воспроизведение, которое сохранит художественный замысел для определенного набора условий рендеринга.</w:t>
      </w:r>
    </w:p>
  </w:footnote>
  <w:footnote w:id="2">
    <w:p w:rsidR="00AA2EB3" w:rsidRPr="0083741E" w:rsidRDefault="00AA2EB3" w:rsidP="00AA2EB3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 xml:space="preserve">Например, </w:t>
      </w:r>
      <w:proofErr w:type="spellStart"/>
      <w:r w:rsidRPr="0083741E">
        <w:rPr>
          <w:lang w:val="ru-RU"/>
        </w:rPr>
        <w:t>DVB</w:t>
      </w:r>
      <w:proofErr w:type="spellEnd"/>
      <w:r w:rsidRPr="0083741E">
        <w:rPr>
          <w:lang w:val="ru-RU"/>
        </w:rPr>
        <w:t xml:space="preserve">-T (Система В </w:t>
      </w:r>
      <w:proofErr w:type="spellStart"/>
      <w:r w:rsidRPr="0083741E">
        <w:rPr>
          <w:lang w:val="ru-RU"/>
        </w:rPr>
        <w:t>ЦНТР</w:t>
      </w:r>
      <w:proofErr w:type="spellEnd"/>
      <w:r w:rsidRPr="0083741E">
        <w:rPr>
          <w:lang w:val="ru-RU"/>
        </w:rPr>
        <w:t xml:space="preserve"> МСЭ-R).</w:t>
      </w:r>
    </w:p>
  </w:footnote>
  <w:footnote w:id="3">
    <w:p w:rsidR="00AA2EB3" w:rsidRPr="0083741E" w:rsidRDefault="00AA2EB3" w:rsidP="00AA2EB3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 xml:space="preserve">Например, </w:t>
      </w:r>
      <w:proofErr w:type="spellStart"/>
      <w:r w:rsidRPr="0083741E">
        <w:rPr>
          <w:lang w:val="ru-RU"/>
        </w:rPr>
        <w:t>DVB-T2</w:t>
      </w:r>
      <w:proofErr w:type="spellEnd"/>
      <w:r w:rsidRPr="0083741E">
        <w:rPr>
          <w:lang w:val="ru-RU"/>
        </w:rPr>
        <w:t>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E347B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C68F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206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0D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47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8C8A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0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9C7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EA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7CC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CA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347B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72469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4F40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A5F3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1D72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2EB3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2C9F"/>
    <w:rsid w:val="00FB388E"/>
    <w:rsid w:val="00FB7880"/>
    <w:rsid w:val="00FB7A2C"/>
    <w:rsid w:val="00FC1DFA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0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91F-3437-4A41-81F5-8FFFB2FF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29</TotalTime>
  <Pages>6</Pages>
  <Words>1221</Words>
  <Characters>9002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10203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6</cp:revision>
  <cp:lastPrinted>2015-06-22T09:09:00Z</cp:lastPrinted>
  <dcterms:created xsi:type="dcterms:W3CDTF">2015-06-22T08:16:00Z</dcterms:created>
  <dcterms:modified xsi:type="dcterms:W3CDTF">2015-06-23T14:36:00Z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