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 xml:space="preserve">الرسالة الإدارية </w:t>
            </w:r>
            <w:proofErr w:type="spellStart"/>
            <w:r w:rsidRPr="00F36590">
              <w:rPr>
                <w:rFonts w:hint="cs"/>
                <w:rtl/>
                <w:lang w:bidi="ar-AE"/>
              </w:rPr>
              <w:t>ال</w:t>
            </w:r>
            <w:r w:rsidR="00877C60">
              <w:rPr>
                <w:rFonts w:hint="cs"/>
                <w:rtl/>
                <w:lang w:bidi="ar-AE"/>
              </w:rPr>
              <w:t>‍</w:t>
            </w:r>
            <w:r w:rsidRPr="00F36590">
              <w:rPr>
                <w:rFonts w:hint="cs"/>
                <w:rtl/>
                <w:lang w:bidi="ar-AE"/>
              </w:rPr>
              <w:t>معممة</w:t>
            </w:r>
            <w:proofErr w:type="spellEnd"/>
          </w:p>
          <w:p w:rsidR="00F36590" w:rsidRPr="00F36590" w:rsidRDefault="00A0706D" w:rsidP="006E04BB">
            <w:pPr>
              <w:spacing w:before="60" w:after="60" w:line="260" w:lineRule="exact"/>
              <w:jc w:val="left"/>
              <w:rPr>
                <w:rtl/>
                <w:lang w:bidi="ar-SY"/>
              </w:rPr>
            </w:pPr>
            <w:proofErr w:type="spellStart"/>
            <w:r>
              <w:rPr>
                <w:b/>
                <w:bCs/>
                <w:lang w:val="en-GB" w:bidi="ar-SY"/>
              </w:rPr>
              <w:t>CA</w:t>
            </w:r>
            <w:r w:rsidR="00813E47">
              <w:rPr>
                <w:b/>
                <w:bCs/>
                <w:lang w:val="en-GB" w:bidi="ar-SY"/>
              </w:rPr>
              <w:t>CE</w:t>
            </w:r>
            <w:proofErr w:type="spellEnd"/>
            <w:r w:rsidR="00F36590" w:rsidRPr="00F36590">
              <w:rPr>
                <w:b/>
                <w:bCs/>
                <w:lang w:val="en-GB" w:bidi="ar-SY"/>
              </w:rPr>
              <w:t>/</w:t>
            </w:r>
            <w:r w:rsidR="00C464CC">
              <w:rPr>
                <w:b/>
                <w:bCs/>
                <w:lang w:bidi="ar-SY"/>
              </w:rPr>
              <w:t>73</w:t>
            </w:r>
            <w:r w:rsidR="006E04BB">
              <w:rPr>
                <w:b/>
                <w:bCs/>
                <w:lang w:bidi="ar-SY"/>
              </w:rPr>
              <w:t>2</w:t>
            </w:r>
          </w:p>
        </w:tc>
        <w:tc>
          <w:tcPr>
            <w:tcW w:w="2293" w:type="pct"/>
            <w:shd w:val="clear" w:color="auto" w:fill="auto"/>
          </w:tcPr>
          <w:p w:rsidR="00F36590" w:rsidRPr="00F36590" w:rsidRDefault="0009672D" w:rsidP="000A19FD">
            <w:pPr>
              <w:spacing w:before="60" w:after="60" w:line="260" w:lineRule="exact"/>
              <w:jc w:val="right"/>
              <w:rPr>
                <w:rtl/>
                <w:lang w:bidi="ar-SY"/>
              </w:rPr>
            </w:pPr>
            <w:r>
              <w:rPr>
                <w:lang w:val="fr-FR" w:bidi="ar-SY"/>
              </w:rPr>
              <w:t>24</w:t>
            </w:r>
            <w:r w:rsidR="00F36590" w:rsidRPr="00F36590">
              <w:rPr>
                <w:rFonts w:hint="cs"/>
                <w:rtl/>
                <w:lang w:bidi="ar-SY"/>
              </w:rPr>
              <w:t xml:space="preserve"> </w:t>
            </w:r>
            <w:r w:rsidR="000A19FD">
              <w:rPr>
                <w:rFonts w:hint="cs"/>
                <w:rtl/>
                <w:lang w:bidi="ar-SY"/>
              </w:rPr>
              <w:t>يونيو</w:t>
            </w:r>
            <w:r w:rsidR="00F36590" w:rsidRPr="00F36590">
              <w:rPr>
                <w:rFonts w:hint="cs"/>
                <w:rtl/>
                <w:lang w:bidi="ar-SY"/>
              </w:rPr>
              <w:t xml:space="preserve"> </w:t>
            </w:r>
            <w:r w:rsidR="00F36590" w:rsidRPr="00F36590">
              <w:rPr>
                <w:lang w:bidi="ar-SY"/>
              </w:rPr>
              <w:t>2015</w:t>
            </w:r>
          </w:p>
        </w:tc>
      </w:tr>
      <w:tr w:rsidR="00F36590" w:rsidRPr="00F36590" w:rsidTr="003B65BD">
        <w:tc>
          <w:tcPr>
            <w:tcW w:w="5000" w:type="pct"/>
            <w:gridSpan w:val="3"/>
            <w:shd w:val="clear" w:color="auto" w:fill="auto"/>
          </w:tcPr>
          <w:p w:rsidR="00F36590" w:rsidRPr="00241274" w:rsidRDefault="00F36590" w:rsidP="00762153">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762153">
            <w:pPr>
              <w:spacing w:before="0" w:line="260" w:lineRule="exact"/>
              <w:rPr>
                <w:rtl/>
                <w:lang w:bidi="ar-SY"/>
              </w:rPr>
            </w:pPr>
          </w:p>
        </w:tc>
      </w:tr>
      <w:tr w:rsidR="00F36590" w:rsidRPr="00F36590" w:rsidTr="003B65BD">
        <w:tc>
          <w:tcPr>
            <w:tcW w:w="5000" w:type="pct"/>
            <w:gridSpan w:val="3"/>
            <w:shd w:val="clear" w:color="auto" w:fill="auto"/>
          </w:tcPr>
          <w:p w:rsidR="00F36590" w:rsidRPr="00C464CC" w:rsidRDefault="00F36590" w:rsidP="00D57CF2">
            <w:pPr>
              <w:spacing w:after="120"/>
              <w:jc w:val="left"/>
              <w:rPr>
                <w:b/>
                <w:bCs/>
                <w:spacing w:val="-2"/>
                <w:rtl/>
                <w:lang w:bidi="ar-EG"/>
              </w:rPr>
            </w:pPr>
            <w:r w:rsidRPr="00C464CC">
              <w:rPr>
                <w:b/>
                <w:bCs/>
                <w:spacing w:val="-2"/>
                <w:rtl/>
              </w:rPr>
              <w:t xml:space="preserve">إلى إدارات الدول الأعضاء في </w:t>
            </w:r>
            <w:proofErr w:type="spellStart"/>
            <w:r w:rsidRPr="00C464CC">
              <w:rPr>
                <w:b/>
                <w:bCs/>
                <w:spacing w:val="-2"/>
                <w:rtl/>
              </w:rPr>
              <w:t>الات</w:t>
            </w:r>
            <w:r w:rsidRPr="00C464CC">
              <w:rPr>
                <w:rFonts w:hint="cs"/>
                <w:b/>
                <w:bCs/>
                <w:spacing w:val="-2"/>
                <w:rtl/>
              </w:rPr>
              <w:t>‍</w:t>
            </w:r>
            <w:r w:rsidRPr="00C464CC">
              <w:rPr>
                <w:b/>
                <w:bCs/>
                <w:spacing w:val="-2"/>
                <w:rtl/>
              </w:rPr>
              <w:t>حاد</w:t>
            </w:r>
            <w:proofErr w:type="spellEnd"/>
            <w:r w:rsidRPr="00C464CC">
              <w:rPr>
                <w:b/>
                <w:bCs/>
                <w:spacing w:val="-2"/>
                <w:rtl/>
              </w:rPr>
              <w:t xml:space="preserve"> وأعضاء قطاع الاتصالات الراديوية</w:t>
            </w:r>
            <w:r w:rsidR="0009672D">
              <w:rPr>
                <w:rFonts w:hint="cs"/>
                <w:b/>
                <w:bCs/>
                <w:spacing w:val="-2"/>
                <w:rtl/>
                <w:lang w:bidi="ar-EG"/>
              </w:rPr>
              <w:t xml:space="preserve"> والمنتسبين إليه</w:t>
            </w:r>
            <w:r w:rsidR="00D757B5">
              <w:rPr>
                <w:b/>
                <w:bCs/>
                <w:spacing w:val="-2"/>
                <w:rtl/>
              </w:rPr>
              <w:br/>
            </w:r>
            <w:r w:rsidRPr="00C464CC">
              <w:rPr>
                <w:b/>
                <w:bCs/>
                <w:spacing w:val="-2"/>
                <w:rtl/>
                <w:lang w:bidi="ar-EG"/>
              </w:rPr>
              <w:t xml:space="preserve">المشاركين في أعمال لجنة </w:t>
            </w:r>
            <w:r w:rsidR="0009672D">
              <w:rPr>
                <w:rFonts w:hint="cs"/>
                <w:b/>
                <w:bCs/>
                <w:spacing w:val="-2"/>
                <w:rtl/>
                <w:lang w:bidi="ar-EG"/>
              </w:rPr>
              <w:t>الدراسات </w:t>
            </w:r>
            <w:r w:rsidR="0009672D">
              <w:rPr>
                <w:b/>
                <w:bCs/>
                <w:spacing w:val="-2"/>
                <w:lang w:bidi="ar-EG"/>
              </w:rPr>
              <w:t>1</w:t>
            </w:r>
            <w:r w:rsidR="00D757B5">
              <w:rPr>
                <w:rFonts w:hint="cs"/>
                <w:b/>
                <w:bCs/>
                <w:spacing w:val="-2"/>
                <w:rtl/>
                <w:lang w:bidi="ar-SY"/>
              </w:rPr>
              <w:t xml:space="preserve"> </w:t>
            </w:r>
            <w:r w:rsidR="0009672D">
              <w:rPr>
                <w:rFonts w:hint="cs"/>
                <w:b/>
                <w:bCs/>
                <w:spacing w:val="-2"/>
                <w:rtl/>
                <w:lang w:bidi="ar-SY"/>
              </w:rPr>
              <w:t>للاتصالات</w:t>
            </w:r>
            <w:r w:rsidR="00ED224B">
              <w:rPr>
                <w:rFonts w:hint="cs"/>
                <w:b/>
                <w:bCs/>
                <w:spacing w:val="-2"/>
                <w:rtl/>
                <w:lang w:bidi="ar-SY"/>
              </w:rPr>
              <w:t xml:space="preserve"> الراديوية</w:t>
            </w:r>
            <w:r w:rsidR="00FB3C66">
              <w:rPr>
                <w:rFonts w:hint="cs"/>
                <w:b/>
                <w:bCs/>
                <w:spacing w:val="-2"/>
                <w:rtl/>
                <w:lang w:bidi="ar-EG"/>
              </w:rPr>
              <w:t xml:space="preserve"> </w:t>
            </w:r>
          </w:p>
        </w:tc>
      </w:tr>
      <w:tr w:rsidR="00762153" w:rsidRPr="00F36590" w:rsidTr="003B65BD">
        <w:tc>
          <w:tcPr>
            <w:tcW w:w="5000" w:type="pct"/>
            <w:gridSpan w:val="3"/>
            <w:shd w:val="clear" w:color="auto" w:fill="auto"/>
          </w:tcPr>
          <w:p w:rsidR="00762153" w:rsidRPr="00813E47" w:rsidRDefault="00762153" w:rsidP="00762153">
            <w:pPr>
              <w:spacing w:before="0" w:line="260" w:lineRule="exact"/>
              <w:rPr>
                <w:lang w:bidi="ar-SY"/>
              </w:rPr>
            </w:pPr>
          </w:p>
        </w:tc>
      </w:tr>
      <w:tr w:rsidR="00F36590" w:rsidRPr="00F36590" w:rsidTr="003B65BD">
        <w:tc>
          <w:tcPr>
            <w:tcW w:w="5000" w:type="pct"/>
            <w:gridSpan w:val="3"/>
            <w:shd w:val="clear" w:color="auto" w:fill="auto"/>
          </w:tcPr>
          <w:p w:rsidR="00F36590" w:rsidRPr="00813E47" w:rsidRDefault="00F36590" w:rsidP="00762153">
            <w:pPr>
              <w:spacing w:before="0" w:line="260" w:lineRule="exact"/>
              <w:rPr>
                <w:lang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813E47" w:rsidRPr="00813E47" w:rsidRDefault="004A19EB" w:rsidP="00C464CC">
            <w:pPr>
              <w:spacing w:before="60" w:after="60" w:line="340" w:lineRule="exact"/>
              <w:rPr>
                <w:b/>
                <w:bCs/>
                <w:rtl/>
              </w:rPr>
            </w:pPr>
            <w:r w:rsidRPr="00A20DC6">
              <w:rPr>
                <w:b/>
                <w:bCs/>
                <w:rtl/>
                <w:lang w:bidi="ar-EG"/>
              </w:rPr>
              <w:t xml:space="preserve">لجنة الدراسات </w:t>
            </w:r>
            <w:r>
              <w:rPr>
                <w:rFonts w:hAnsi="Times New Roman Bold"/>
                <w:b/>
                <w:bCs/>
                <w:lang w:bidi="ar-EG"/>
              </w:rPr>
              <w:t>1</w:t>
            </w:r>
            <w:r w:rsidRPr="00A20DC6">
              <w:rPr>
                <w:b/>
                <w:bCs/>
                <w:rtl/>
                <w:lang w:bidi="ar-EG"/>
              </w:rPr>
              <w:t xml:space="preserve"> للاتصالات الراديوية</w:t>
            </w:r>
            <w:r>
              <w:rPr>
                <w:rFonts w:ascii="Times New Roman Bold" w:hAnsi="Times New Roman Bold" w:hint="cs"/>
                <w:b/>
                <w:bCs/>
                <w:spacing w:val="-4"/>
                <w:rtl/>
                <w:lang w:bidi="ar-EG"/>
              </w:rPr>
              <w:t xml:space="preserve"> (إدارة الطيف)</w:t>
            </w:r>
          </w:p>
          <w:p w:rsidR="00813E47" w:rsidRPr="002A5093" w:rsidRDefault="00813E47" w:rsidP="002A5093">
            <w:pPr>
              <w:tabs>
                <w:tab w:val="clear" w:pos="794"/>
                <w:tab w:val="left" w:pos="386"/>
              </w:tabs>
              <w:spacing w:before="60" w:after="60" w:line="340" w:lineRule="exact"/>
              <w:ind w:left="386" w:hanging="386"/>
              <w:rPr>
                <w:b/>
                <w:bCs/>
                <w:rtl/>
              </w:rPr>
            </w:pPr>
            <w:r w:rsidRPr="00813E47">
              <w:rPr>
                <w:rFonts w:hint="cs"/>
                <w:b/>
                <w:bCs/>
                <w:rtl/>
              </w:rPr>
              <w:t>-</w:t>
            </w:r>
            <w:r w:rsidRPr="00813E47">
              <w:rPr>
                <w:b/>
                <w:bCs/>
                <w:rtl/>
              </w:rPr>
              <w:tab/>
            </w:r>
            <w:r w:rsidR="002A5093">
              <w:rPr>
                <w:rFonts w:hint="cs"/>
                <w:b/>
                <w:bCs/>
                <w:rtl/>
                <w:lang w:bidi="ar-EG"/>
              </w:rPr>
              <w:t xml:space="preserve">اقتراح اعتماد مشروع توصية جديدة لقطاع الاتصالات الراديوية ومشاريع مراجعة </w:t>
            </w:r>
            <w:r w:rsidR="00D57CF2">
              <w:rPr>
                <w:b/>
                <w:bCs/>
                <w:lang w:bidi="ar-EG"/>
              </w:rPr>
              <w:t>3</w:t>
            </w:r>
            <w:r w:rsidR="00D57CF2">
              <w:rPr>
                <w:rFonts w:hint="eastAsia"/>
                <w:b/>
                <w:bCs/>
                <w:rtl/>
                <w:lang w:bidi="ar-EG"/>
              </w:rPr>
              <w:t> </w:t>
            </w:r>
            <w:r w:rsidR="002A5093">
              <w:rPr>
                <w:rFonts w:hint="cs"/>
                <w:b/>
                <w:bCs/>
                <w:rtl/>
                <w:lang w:bidi="ar-EG"/>
              </w:rPr>
              <w:t>توصيات لقطاع الاتصالات الراديوية والموافقة عليها في نفس الوقت بالمراسلة وفقاً للفقرة </w:t>
            </w:r>
            <w:r w:rsidR="002A5093">
              <w:rPr>
                <w:b/>
                <w:bCs/>
                <w:lang w:bidi="ar-EG"/>
              </w:rPr>
              <w:t>3.10</w:t>
            </w:r>
            <w:r w:rsidR="002A5093">
              <w:rPr>
                <w:rFonts w:hint="cs"/>
                <w:b/>
                <w:bCs/>
                <w:rtl/>
                <w:lang w:bidi="ar-EG"/>
              </w:rPr>
              <w:t xml:space="preserve"> من القرار </w:t>
            </w:r>
            <w:r w:rsidR="002A5093">
              <w:rPr>
                <w:b/>
                <w:bCs/>
                <w:lang w:bidi="ar-EG"/>
              </w:rPr>
              <w:t>ITU</w:t>
            </w:r>
            <w:r w:rsidR="002A5093">
              <w:rPr>
                <w:b/>
                <w:bCs/>
                <w:lang w:bidi="ar-EG"/>
              </w:rPr>
              <w:noBreakHyphen/>
              <w:t>R 1-6</w:t>
            </w:r>
            <w:r w:rsidR="002A5093">
              <w:rPr>
                <w:rFonts w:hint="cs"/>
                <w:b/>
                <w:bCs/>
                <w:rtl/>
                <w:lang w:bidi="ar-EG"/>
              </w:rPr>
              <w:t xml:space="preserve"> (إجراء ا</w:t>
            </w:r>
            <w:r w:rsidR="009E7839">
              <w:rPr>
                <w:rFonts w:hint="cs"/>
                <w:b/>
                <w:bCs/>
                <w:rtl/>
                <w:lang w:bidi="ar-EG"/>
              </w:rPr>
              <w:t>لاعتماد والموافقة في نفس الوقت بالمراسلة)</w:t>
            </w:r>
          </w:p>
          <w:p w:rsidR="003403A3" w:rsidRPr="00F36590" w:rsidRDefault="003403A3" w:rsidP="00C412F8">
            <w:pPr>
              <w:tabs>
                <w:tab w:val="clear" w:pos="794"/>
                <w:tab w:val="left" w:pos="386"/>
              </w:tabs>
              <w:spacing w:before="60" w:after="60" w:line="340" w:lineRule="exact"/>
              <w:ind w:left="386" w:hanging="386"/>
              <w:rPr>
                <w:b/>
                <w:bCs/>
                <w:rtl/>
              </w:rPr>
            </w:pPr>
          </w:p>
        </w:tc>
      </w:tr>
    </w:tbl>
    <w:p w:rsidR="007F44A3" w:rsidRDefault="007F44A3" w:rsidP="007F44A3">
      <w:pPr>
        <w:spacing w:before="600"/>
        <w:rPr>
          <w:rtl/>
          <w:lang w:bidi="ar-EG"/>
        </w:rPr>
      </w:pPr>
      <w:proofErr w:type="spellStart"/>
      <w:r>
        <w:rPr>
          <w:rFonts w:hint="cs"/>
          <w:rtl/>
          <w:lang w:bidi="ar-EG"/>
        </w:rPr>
        <w:t>ت‍حية</w:t>
      </w:r>
      <w:proofErr w:type="spellEnd"/>
      <w:r>
        <w:rPr>
          <w:rFonts w:hint="cs"/>
          <w:rtl/>
          <w:lang w:bidi="ar-EG"/>
        </w:rPr>
        <w:t xml:space="preserve"> طيبة وبعد،</w:t>
      </w:r>
    </w:p>
    <w:p w:rsidR="009E7839" w:rsidRPr="009E7839" w:rsidRDefault="004A19EB" w:rsidP="00D57CF2">
      <w:pPr>
        <w:rPr>
          <w:rtl/>
          <w:lang w:bidi="ar-EG"/>
        </w:rPr>
      </w:pPr>
      <w:r w:rsidRPr="00831543">
        <w:rPr>
          <w:rtl/>
          <w:lang w:bidi="ar-EG"/>
        </w:rPr>
        <w:t xml:space="preserve">قررت </w:t>
      </w:r>
      <w:proofErr w:type="spellStart"/>
      <w:r w:rsidRPr="00831543">
        <w:rPr>
          <w:rtl/>
          <w:lang w:bidi="ar-EG"/>
        </w:rPr>
        <w:t>ل</w:t>
      </w:r>
      <w:r w:rsidR="00706426">
        <w:rPr>
          <w:rFonts w:hint="cs"/>
          <w:rtl/>
          <w:lang w:bidi="ar-EG"/>
        </w:rPr>
        <w:t>‍</w:t>
      </w:r>
      <w:r w:rsidRPr="00831543">
        <w:rPr>
          <w:rtl/>
          <w:lang w:bidi="ar-EG"/>
        </w:rPr>
        <w:t>جنة</w:t>
      </w:r>
      <w:proofErr w:type="spellEnd"/>
      <w:r w:rsidRPr="00831543">
        <w:rPr>
          <w:rtl/>
          <w:lang w:bidi="ar-EG"/>
        </w:rPr>
        <w:t xml:space="preserve"> الدراسات</w:t>
      </w:r>
      <w:r w:rsidRPr="00831543">
        <w:rPr>
          <w:rFonts w:hint="cs"/>
          <w:rtl/>
          <w:lang w:bidi="ar-EG"/>
        </w:rPr>
        <w:t> </w:t>
      </w:r>
      <w:r>
        <w:t>1</w:t>
      </w:r>
      <w:r w:rsidRPr="00831543">
        <w:rPr>
          <w:rtl/>
          <w:lang w:bidi="ar-EG"/>
        </w:rPr>
        <w:t xml:space="preserve"> للاتصالات الراديوية في اجتماعها المنعقد </w:t>
      </w:r>
      <w:r>
        <w:rPr>
          <w:rFonts w:hint="cs"/>
          <w:rtl/>
          <w:lang w:bidi="ar-EG"/>
        </w:rPr>
        <w:t>يومي</w:t>
      </w:r>
      <w:r w:rsidRPr="00831543">
        <w:rPr>
          <w:rFonts w:hint="cs"/>
          <w:rtl/>
          <w:lang w:bidi="ar-EG"/>
        </w:rPr>
        <w:t xml:space="preserve"> </w:t>
      </w:r>
      <w:r>
        <w:t>11</w:t>
      </w:r>
      <w:r w:rsidRPr="00831543">
        <w:rPr>
          <w:rFonts w:hint="eastAsia"/>
          <w:rtl/>
          <w:lang w:bidi="ar-EG"/>
        </w:rPr>
        <w:t> </w:t>
      </w:r>
      <w:r>
        <w:rPr>
          <w:rFonts w:hint="cs"/>
          <w:rtl/>
          <w:lang w:bidi="ar-EG"/>
        </w:rPr>
        <w:t>و</w:t>
      </w:r>
      <w:r>
        <w:t>12</w:t>
      </w:r>
      <w:r w:rsidRPr="00831543">
        <w:rPr>
          <w:rFonts w:hint="cs"/>
          <w:rtl/>
          <w:lang w:bidi="ar-EG"/>
        </w:rPr>
        <w:t xml:space="preserve"> </w:t>
      </w:r>
      <w:r>
        <w:rPr>
          <w:rFonts w:hint="cs"/>
          <w:rtl/>
          <w:lang w:bidi="ar-EG"/>
        </w:rPr>
        <w:t>يونيو</w:t>
      </w:r>
      <w:r w:rsidRPr="00831543">
        <w:rPr>
          <w:rFonts w:hint="eastAsia"/>
          <w:rtl/>
          <w:lang w:bidi="ar-EG"/>
        </w:rPr>
        <w:t> </w:t>
      </w:r>
      <w:r w:rsidRPr="00831543">
        <w:t>201</w:t>
      </w:r>
      <w:r>
        <w:t>5</w:t>
      </w:r>
      <w:r w:rsidRPr="00831543">
        <w:rPr>
          <w:rtl/>
          <w:lang w:bidi="ar-EG"/>
        </w:rPr>
        <w:t xml:space="preserve"> أن تلتمس اعتماد </w:t>
      </w:r>
      <w:r w:rsidR="009E7839">
        <w:rPr>
          <w:rFonts w:hint="cs"/>
          <w:rtl/>
          <w:lang w:bidi="ar-EG"/>
        </w:rPr>
        <w:t>مشروع توصية جديدة ومشاريع مراجعة</w:t>
      </w:r>
      <w:r w:rsidR="009E7839">
        <w:rPr>
          <w:rFonts w:hint="eastAsia"/>
          <w:rtl/>
          <w:lang w:bidi="ar-EG"/>
        </w:rPr>
        <w:t> </w:t>
      </w:r>
      <w:r w:rsidR="009E7839">
        <w:rPr>
          <w:lang w:bidi="ar-EG"/>
        </w:rPr>
        <w:t>3</w:t>
      </w:r>
      <w:r w:rsidR="009E7839">
        <w:rPr>
          <w:rFonts w:hint="cs"/>
          <w:rtl/>
          <w:lang w:bidi="ar-EG"/>
        </w:rPr>
        <w:t xml:space="preserve"> توصيات عن طريق المراسلة (الفقرة </w:t>
      </w:r>
      <w:r w:rsidR="009E7839">
        <w:rPr>
          <w:lang w:bidi="ar-EG"/>
        </w:rPr>
        <w:t>3.2.10</w:t>
      </w:r>
      <w:r w:rsidR="009E7839">
        <w:rPr>
          <w:rFonts w:hint="cs"/>
          <w:rtl/>
          <w:lang w:bidi="ar-EG"/>
        </w:rPr>
        <w:t xml:space="preserve"> من القرار </w:t>
      </w:r>
      <w:r w:rsidR="009E7839">
        <w:rPr>
          <w:lang w:bidi="ar-EG"/>
        </w:rPr>
        <w:t>ITU</w:t>
      </w:r>
      <w:r w:rsidR="009E7839">
        <w:rPr>
          <w:lang w:bidi="ar-EG"/>
        </w:rPr>
        <w:noBreakHyphen/>
        <w:t>R 1</w:t>
      </w:r>
      <w:r w:rsidR="009E7839">
        <w:rPr>
          <w:lang w:bidi="ar-EG"/>
        </w:rPr>
        <w:noBreakHyphen/>
        <w:t>6</w:t>
      </w:r>
      <w:r w:rsidR="009E7839">
        <w:rPr>
          <w:rFonts w:hint="cs"/>
          <w:rtl/>
          <w:lang w:bidi="ar-EG"/>
        </w:rPr>
        <w:t>)</w:t>
      </w:r>
      <w:r w:rsidR="00AF42CE">
        <w:rPr>
          <w:rFonts w:hint="cs"/>
          <w:rtl/>
          <w:lang w:bidi="ar-EG"/>
        </w:rPr>
        <w:t xml:space="preserve"> وقررت كذلك تطبيق إجراء الاعتماد والموافقة في نفس الوقت عن طريق المراسلة </w:t>
      </w:r>
      <w:r w:rsidR="00AF42CE">
        <w:rPr>
          <w:lang w:bidi="ar-EG"/>
        </w:rPr>
        <w:t>(</w:t>
      </w:r>
      <w:proofErr w:type="spellStart"/>
      <w:r w:rsidR="00AF42CE">
        <w:rPr>
          <w:lang w:bidi="ar-EG"/>
        </w:rPr>
        <w:t>PSAA</w:t>
      </w:r>
      <w:proofErr w:type="spellEnd"/>
      <w:r w:rsidR="00AF42CE">
        <w:rPr>
          <w:lang w:bidi="ar-EG"/>
        </w:rPr>
        <w:t>)</w:t>
      </w:r>
      <w:r w:rsidR="00AF42CE">
        <w:rPr>
          <w:rFonts w:hint="cs"/>
          <w:rtl/>
          <w:lang w:bidi="ar-EG"/>
        </w:rPr>
        <w:t xml:space="preserve"> (الفقرة </w:t>
      </w:r>
      <w:r w:rsidR="00AF42CE">
        <w:rPr>
          <w:lang w:bidi="ar-EG"/>
        </w:rPr>
        <w:t>3.10</w:t>
      </w:r>
      <w:r w:rsidR="00AF42CE">
        <w:rPr>
          <w:rFonts w:hint="cs"/>
          <w:rtl/>
          <w:lang w:bidi="ar-EG"/>
        </w:rPr>
        <w:t xml:space="preserve"> من القرار </w:t>
      </w:r>
      <w:r w:rsidR="00AF42CE">
        <w:rPr>
          <w:lang w:bidi="ar-EG"/>
        </w:rPr>
        <w:t>ITU</w:t>
      </w:r>
      <w:r w:rsidR="00AF42CE">
        <w:rPr>
          <w:lang w:bidi="ar-EG"/>
        </w:rPr>
        <w:noBreakHyphen/>
        <w:t>R 1</w:t>
      </w:r>
      <w:r w:rsidR="00AF42CE">
        <w:rPr>
          <w:lang w:bidi="ar-EG"/>
        </w:rPr>
        <w:noBreakHyphen/>
        <w:t>6</w:t>
      </w:r>
      <w:r w:rsidR="00AF42CE">
        <w:rPr>
          <w:rFonts w:hint="cs"/>
          <w:rtl/>
          <w:lang w:bidi="ar-EG"/>
        </w:rPr>
        <w:t>)</w:t>
      </w:r>
      <w:r w:rsidR="009E7839">
        <w:rPr>
          <w:rFonts w:hint="cs"/>
          <w:rtl/>
          <w:lang w:bidi="ar-EG"/>
        </w:rPr>
        <w:t>. وترد في</w:t>
      </w:r>
      <w:r w:rsidR="00D57CF2">
        <w:rPr>
          <w:rFonts w:hint="eastAsia"/>
          <w:rtl/>
          <w:lang w:bidi="ar-EG"/>
        </w:rPr>
        <w:t> </w:t>
      </w:r>
      <w:r w:rsidR="009E7839">
        <w:rPr>
          <w:rFonts w:hint="cs"/>
          <w:rtl/>
          <w:lang w:bidi="ar-EG"/>
        </w:rPr>
        <w:t>الملحق عناوين وملخصات مشاريع</w:t>
      </w:r>
      <w:r w:rsidR="00D57CF2">
        <w:rPr>
          <w:rFonts w:hint="eastAsia"/>
          <w:rtl/>
          <w:lang w:bidi="ar-EG"/>
        </w:rPr>
        <w:t> </w:t>
      </w:r>
      <w:r w:rsidR="009E7839">
        <w:rPr>
          <w:rFonts w:hint="cs"/>
          <w:rtl/>
          <w:lang w:bidi="ar-EG"/>
        </w:rPr>
        <w:t>التوصيات.</w:t>
      </w:r>
    </w:p>
    <w:p w:rsidR="004A19EB" w:rsidRDefault="004A19EB" w:rsidP="009E7839">
      <w:pPr>
        <w:rPr>
          <w:rtl/>
          <w:lang w:bidi="ar-EG"/>
        </w:rPr>
      </w:pPr>
      <w:r w:rsidRPr="00831543">
        <w:rPr>
          <w:rtl/>
          <w:lang w:bidi="ar-EG"/>
        </w:rPr>
        <w:t xml:space="preserve">وتمتد فترة النظر </w:t>
      </w:r>
      <w:proofErr w:type="spellStart"/>
      <w:r>
        <w:rPr>
          <w:rFonts w:hint="cs"/>
          <w:rtl/>
          <w:lang w:bidi="ar-EG"/>
        </w:rPr>
        <w:t>ل</w:t>
      </w:r>
      <w:r w:rsidR="00706426">
        <w:rPr>
          <w:rFonts w:hint="cs"/>
          <w:rtl/>
          <w:lang w:bidi="ar-EG"/>
        </w:rPr>
        <w:t>‍</w:t>
      </w:r>
      <w:r>
        <w:rPr>
          <w:rFonts w:hint="cs"/>
          <w:rtl/>
          <w:lang w:bidi="ar-EG"/>
        </w:rPr>
        <w:t>مدة</w:t>
      </w:r>
      <w:proofErr w:type="spellEnd"/>
      <w:r>
        <w:rPr>
          <w:rFonts w:hint="cs"/>
          <w:rtl/>
          <w:lang w:bidi="ar-EG"/>
        </w:rPr>
        <w:t xml:space="preserve"> </w:t>
      </w:r>
      <w:r w:rsidRPr="00831543">
        <w:rPr>
          <w:rFonts w:hint="cs"/>
          <w:rtl/>
          <w:lang w:bidi="ar-EG"/>
        </w:rPr>
        <w:t xml:space="preserve">شهرين </w:t>
      </w:r>
      <w:r w:rsidRPr="00831543">
        <w:rPr>
          <w:rtl/>
          <w:lang w:bidi="ar-EG"/>
        </w:rPr>
        <w:t>تنتهي في</w:t>
      </w:r>
      <w:r w:rsidRPr="00831543">
        <w:rPr>
          <w:rFonts w:hint="cs"/>
          <w:rtl/>
          <w:lang w:bidi="ar-EG"/>
        </w:rPr>
        <w:t xml:space="preserve"> </w:t>
      </w:r>
      <w:r>
        <w:rPr>
          <w:u w:val="single"/>
          <w:lang w:bidi="ar-EG"/>
        </w:rPr>
        <w:t>24</w:t>
      </w:r>
      <w:r w:rsidRPr="00831543">
        <w:rPr>
          <w:rFonts w:hint="cs"/>
          <w:u w:val="single"/>
          <w:rtl/>
          <w:lang w:bidi="ar-EG"/>
        </w:rPr>
        <w:t xml:space="preserve"> </w:t>
      </w:r>
      <w:r>
        <w:rPr>
          <w:rFonts w:hint="cs"/>
          <w:u w:val="single"/>
          <w:rtl/>
          <w:lang w:bidi="ar-EG"/>
        </w:rPr>
        <w:t xml:space="preserve">أغسطس </w:t>
      </w:r>
      <w:r w:rsidRPr="00831543">
        <w:rPr>
          <w:u w:val="single"/>
          <w:lang w:bidi="ar-EG"/>
        </w:rPr>
        <w:t>201</w:t>
      </w:r>
      <w:r>
        <w:rPr>
          <w:u w:val="single"/>
          <w:lang w:bidi="ar-EG"/>
        </w:rPr>
        <w:t>5</w:t>
      </w:r>
      <w:r w:rsidRPr="00831543">
        <w:rPr>
          <w:rtl/>
          <w:lang w:bidi="ar-EG"/>
        </w:rPr>
        <w:t>. وإذا لم ترد أي اعتراضات من الدول الأعضاء خلال هذه الفترة</w:t>
      </w:r>
      <w:r w:rsidRPr="00831543">
        <w:rPr>
          <w:rFonts w:hint="cs"/>
          <w:rtl/>
          <w:lang w:bidi="ar-EG"/>
        </w:rPr>
        <w:t>،</w:t>
      </w:r>
      <w:r w:rsidRPr="00B94F16">
        <w:rPr>
          <w:color w:val="000000"/>
          <w:rtl/>
        </w:rPr>
        <w:t xml:space="preserve"> </w:t>
      </w:r>
      <w:r>
        <w:rPr>
          <w:color w:val="000000"/>
          <w:rtl/>
        </w:rPr>
        <w:t>فإن</w:t>
      </w:r>
      <w:r w:rsidR="00AA4518">
        <w:rPr>
          <w:rFonts w:hint="cs"/>
          <w:color w:val="000000"/>
          <w:rtl/>
        </w:rPr>
        <w:t> </w:t>
      </w:r>
      <w:r>
        <w:rPr>
          <w:color w:val="000000"/>
          <w:rtl/>
        </w:rPr>
        <w:t xml:space="preserve">مشاريع </w:t>
      </w:r>
      <w:r w:rsidR="009E7839">
        <w:rPr>
          <w:rFonts w:hint="cs"/>
          <w:color w:val="000000"/>
          <w:rtl/>
        </w:rPr>
        <w:t>التوصيات</w:t>
      </w:r>
      <w:r>
        <w:rPr>
          <w:color w:val="000000"/>
          <w:rtl/>
        </w:rPr>
        <w:t xml:space="preserve"> تعتبر قد </w:t>
      </w:r>
      <w:proofErr w:type="spellStart"/>
      <w:r>
        <w:rPr>
          <w:color w:val="000000"/>
          <w:rtl/>
        </w:rPr>
        <w:t>اعتمدت‍ها</w:t>
      </w:r>
      <w:proofErr w:type="spellEnd"/>
      <w:r>
        <w:rPr>
          <w:color w:val="000000"/>
          <w:rtl/>
        </w:rPr>
        <w:t xml:space="preserve"> </w:t>
      </w:r>
      <w:proofErr w:type="spellStart"/>
      <w:r>
        <w:rPr>
          <w:color w:val="000000"/>
          <w:rtl/>
        </w:rPr>
        <w:t>ل‍جنة</w:t>
      </w:r>
      <w:proofErr w:type="spellEnd"/>
      <w:r>
        <w:rPr>
          <w:color w:val="000000"/>
          <w:rtl/>
        </w:rPr>
        <w:t xml:space="preserve"> الدراسات </w:t>
      </w:r>
      <w:r>
        <w:rPr>
          <w:color w:val="000000"/>
        </w:rPr>
        <w:t>1</w:t>
      </w:r>
      <w:r>
        <w:rPr>
          <w:color w:val="000000"/>
          <w:rtl/>
        </w:rPr>
        <w:t xml:space="preserve">. وعلاوةً على ذلك، </w:t>
      </w:r>
      <w:proofErr w:type="spellStart"/>
      <w:r>
        <w:rPr>
          <w:color w:val="000000"/>
          <w:rtl/>
        </w:rPr>
        <w:t>ول‍ما</w:t>
      </w:r>
      <w:proofErr w:type="spellEnd"/>
      <w:r>
        <w:rPr>
          <w:color w:val="000000"/>
          <w:rtl/>
        </w:rPr>
        <w:t xml:space="preserve"> كان قد </w:t>
      </w:r>
      <w:proofErr w:type="spellStart"/>
      <w:r>
        <w:rPr>
          <w:color w:val="000000"/>
          <w:rtl/>
        </w:rPr>
        <w:t>ت‍م</w:t>
      </w:r>
      <w:proofErr w:type="spellEnd"/>
      <w:r>
        <w:rPr>
          <w:color w:val="000000"/>
          <w:rtl/>
        </w:rPr>
        <w:t xml:space="preserve"> اتباع إجراء الاعتماد </w:t>
      </w:r>
      <w:proofErr w:type="spellStart"/>
      <w:r>
        <w:rPr>
          <w:color w:val="000000"/>
          <w:rtl/>
        </w:rPr>
        <w:t>وال‍موافقة</w:t>
      </w:r>
      <w:proofErr w:type="spellEnd"/>
      <w:r>
        <w:rPr>
          <w:color w:val="000000"/>
          <w:rtl/>
        </w:rPr>
        <w:t xml:space="preserve"> في</w:t>
      </w:r>
      <w:r w:rsidR="00AA4518">
        <w:rPr>
          <w:rFonts w:hint="cs"/>
          <w:color w:val="000000"/>
          <w:rtl/>
        </w:rPr>
        <w:t> </w:t>
      </w:r>
      <w:r>
        <w:rPr>
          <w:color w:val="000000"/>
          <w:rtl/>
        </w:rPr>
        <w:t xml:space="preserve">نفس الوقت عن طريق </w:t>
      </w:r>
      <w:proofErr w:type="spellStart"/>
      <w:r>
        <w:rPr>
          <w:color w:val="000000"/>
          <w:rtl/>
        </w:rPr>
        <w:t>ال‍مراسلة</w:t>
      </w:r>
      <w:proofErr w:type="spellEnd"/>
      <w:r>
        <w:rPr>
          <w:color w:val="000000"/>
          <w:rtl/>
        </w:rPr>
        <w:t xml:space="preserve">، فإن مشاريع </w:t>
      </w:r>
      <w:r w:rsidR="009E7839">
        <w:rPr>
          <w:rFonts w:hint="cs"/>
          <w:color w:val="000000"/>
          <w:rtl/>
        </w:rPr>
        <w:t>التوصيات</w:t>
      </w:r>
      <w:r>
        <w:rPr>
          <w:color w:val="000000"/>
          <w:rtl/>
        </w:rPr>
        <w:t xml:space="preserve"> ستعتبر أيضاً </w:t>
      </w:r>
      <w:proofErr w:type="spellStart"/>
      <w:r>
        <w:rPr>
          <w:color w:val="000000"/>
          <w:rtl/>
        </w:rPr>
        <w:t>ب‍حكم</w:t>
      </w:r>
      <w:proofErr w:type="spellEnd"/>
      <w:r>
        <w:rPr>
          <w:color w:val="000000"/>
          <w:rtl/>
        </w:rPr>
        <w:t xml:space="preserve"> </w:t>
      </w:r>
      <w:proofErr w:type="spellStart"/>
      <w:r>
        <w:rPr>
          <w:color w:val="000000"/>
          <w:rtl/>
        </w:rPr>
        <w:t>ال‍موافَق</w:t>
      </w:r>
      <w:proofErr w:type="spellEnd"/>
      <w:r w:rsidR="00C412F8">
        <w:rPr>
          <w:rFonts w:hint="eastAsia"/>
          <w:color w:val="000000"/>
          <w:rtl/>
          <w:lang w:bidi="ar-EG"/>
        </w:rPr>
        <w:t> </w:t>
      </w:r>
      <w:r>
        <w:rPr>
          <w:color w:val="000000"/>
          <w:rtl/>
        </w:rPr>
        <w:t>عليها</w:t>
      </w:r>
      <w:r>
        <w:rPr>
          <w:rFonts w:hint="cs"/>
          <w:color w:val="000000"/>
          <w:rtl/>
        </w:rPr>
        <w:t>.</w:t>
      </w:r>
    </w:p>
    <w:p w:rsidR="004A19EB" w:rsidRDefault="009E7839" w:rsidP="004A19EB">
      <w:pPr>
        <w:rPr>
          <w:rtl/>
          <w:lang w:bidi="ar-EG"/>
        </w:rPr>
      </w:pPr>
      <w:r>
        <w:rPr>
          <w:rFonts w:hint="cs"/>
          <w:rtl/>
          <w:lang w:bidi="ar-EG"/>
        </w:rPr>
        <w:t>ويُطلب من أي دولة عضو تعترض على اعتماد مشروع توصية أن تخبر المدير ورئيس لجنة الدراسات بأسباب اعتراضها.</w:t>
      </w:r>
    </w:p>
    <w:p w:rsidR="009E7839" w:rsidRPr="009E7839" w:rsidRDefault="009E7839" w:rsidP="009E7839">
      <w:pPr>
        <w:rPr>
          <w:sz w:val="30"/>
          <w:rtl/>
          <w:lang w:bidi="ar-EG"/>
        </w:rPr>
      </w:pPr>
      <w:r>
        <w:rPr>
          <w:rFonts w:hint="cs"/>
          <w:rtl/>
          <w:lang w:bidi="ar-EG"/>
        </w:rPr>
        <w:t xml:space="preserve">وبعد المهلة المحددة أعلاه، ستعلن نتائج هذا الإجراء في نشرة إدارية معممة وستنشر التوصيات التي تمت الموافقة عليها في أقرب وقت ممكن (انظر </w:t>
      </w:r>
      <w:hyperlink r:id="rId8" w:history="1">
        <w:r w:rsidRPr="009E7839">
          <w:rPr>
            <w:rStyle w:val="Hyperlink"/>
            <w:szCs w:val="22"/>
            <w:lang w:bidi="ar-EG"/>
          </w:rPr>
          <w:t>http://</w:t>
        </w:r>
        <w:proofErr w:type="spellStart"/>
        <w:r w:rsidRPr="009E7839">
          <w:rPr>
            <w:rStyle w:val="Hyperlink"/>
            <w:szCs w:val="22"/>
            <w:lang w:bidi="ar-EG"/>
          </w:rPr>
          <w:t>www.itu.int</w:t>
        </w:r>
        <w:proofErr w:type="spellEnd"/>
        <w:r w:rsidRPr="009E7839">
          <w:rPr>
            <w:rStyle w:val="Hyperlink"/>
            <w:szCs w:val="22"/>
            <w:lang w:bidi="ar-EG"/>
          </w:rPr>
          <w:t>/pub/R-REC</w:t>
        </w:r>
      </w:hyperlink>
      <w:r>
        <w:rPr>
          <w:rFonts w:hint="cs"/>
          <w:sz w:val="30"/>
          <w:rtl/>
          <w:lang w:bidi="ar-EG"/>
        </w:rPr>
        <w:t>).</w:t>
      </w:r>
    </w:p>
    <w:p w:rsidR="00397CB2" w:rsidRPr="00356ED8" w:rsidRDefault="00356ED8" w:rsidP="00C0682B">
      <w:pPr>
        <w:keepNext/>
        <w:keepLines/>
        <w:rPr>
          <w:spacing w:val="-2"/>
          <w:rtl/>
          <w:lang w:bidi="ar-EG"/>
        </w:rPr>
      </w:pPr>
      <w:r w:rsidRPr="00356ED8">
        <w:rPr>
          <w:rFonts w:hint="cs"/>
          <w:color w:val="000000"/>
          <w:spacing w:val="-2"/>
          <w:rtl/>
        </w:rPr>
        <w:lastRenderedPageBreak/>
        <w:t xml:space="preserve">ويرجى من أي منظمة عضو في الاتحاد تعلم بوجود براءة اختراع لديها أو لدى غيرها تغطي كلياً أو جزئياً بعض عناصر مشاريع </w:t>
      </w:r>
      <w:r w:rsidR="00D57CF2">
        <w:rPr>
          <w:rFonts w:hint="cs"/>
          <w:color w:val="000000"/>
          <w:spacing w:val="-2"/>
          <w:rtl/>
        </w:rPr>
        <w:t>التوصية (</w:t>
      </w:r>
      <w:r w:rsidRPr="00356ED8">
        <w:rPr>
          <w:rFonts w:hint="cs"/>
          <w:color w:val="000000"/>
          <w:spacing w:val="-2"/>
          <w:rtl/>
        </w:rPr>
        <w:t>التوصيات</w:t>
      </w:r>
      <w:r w:rsidR="00D57CF2">
        <w:rPr>
          <w:rFonts w:hint="cs"/>
          <w:color w:val="000000"/>
          <w:spacing w:val="-2"/>
          <w:rtl/>
        </w:rPr>
        <w:t>)</w:t>
      </w:r>
      <w:r w:rsidRPr="00356ED8">
        <w:rPr>
          <w:rFonts w:hint="cs"/>
          <w:color w:val="000000"/>
          <w:spacing w:val="-2"/>
          <w:rtl/>
        </w:rPr>
        <w:t xml:space="preserve"> المذكورة في هذه الرسالة أو أحدها أن تبلغ الأمانة بهذه المعلومات بأسرع ما يمكن. ويمكن الاطلاع على السياسة المشتركة للبراءات </w:t>
      </w:r>
      <w:r w:rsidRPr="00356ED8">
        <w:rPr>
          <w:spacing w:val="-2"/>
          <w:szCs w:val="22"/>
        </w:rPr>
        <w:t>ITU</w:t>
      </w:r>
      <w:r w:rsidRPr="00356ED8">
        <w:rPr>
          <w:spacing w:val="-2"/>
          <w:szCs w:val="22"/>
        </w:rPr>
        <w:noBreakHyphen/>
        <w:t>T/ITU</w:t>
      </w:r>
      <w:r w:rsidRPr="00356ED8">
        <w:rPr>
          <w:spacing w:val="-2"/>
          <w:szCs w:val="22"/>
        </w:rPr>
        <w:noBreakHyphen/>
        <w:t>R/ISO/</w:t>
      </w:r>
      <w:proofErr w:type="spellStart"/>
      <w:r w:rsidRPr="00356ED8">
        <w:rPr>
          <w:spacing w:val="-2"/>
          <w:szCs w:val="22"/>
        </w:rPr>
        <w:t>IEC</w:t>
      </w:r>
      <w:proofErr w:type="spellEnd"/>
      <w:r w:rsidRPr="00356ED8">
        <w:rPr>
          <w:rFonts w:hint="cs"/>
          <w:spacing w:val="-2"/>
          <w:rtl/>
          <w:lang w:bidi="ar-EG"/>
        </w:rPr>
        <w:t xml:space="preserve"> في الموقع الإلكتروني </w:t>
      </w:r>
      <w:hyperlink r:id="rId9" w:history="1">
        <w:r w:rsidRPr="00356ED8">
          <w:rPr>
            <w:rStyle w:val="Hyperlink"/>
            <w:spacing w:val="-2"/>
            <w:szCs w:val="22"/>
          </w:rPr>
          <w:t>http://</w:t>
        </w:r>
        <w:proofErr w:type="spellStart"/>
        <w:r w:rsidRPr="00356ED8">
          <w:rPr>
            <w:rStyle w:val="Hyperlink"/>
            <w:spacing w:val="-2"/>
            <w:szCs w:val="22"/>
          </w:rPr>
          <w:t>www.itu.int</w:t>
        </w:r>
        <w:proofErr w:type="spellEnd"/>
        <w:r w:rsidRPr="00356ED8">
          <w:rPr>
            <w:rStyle w:val="Hyperlink"/>
            <w:spacing w:val="-2"/>
            <w:szCs w:val="22"/>
          </w:rPr>
          <w:t>/</w:t>
        </w:r>
        <w:proofErr w:type="spellStart"/>
        <w:r w:rsidRPr="00356ED8">
          <w:rPr>
            <w:rStyle w:val="Hyperlink"/>
            <w:spacing w:val="-2"/>
            <w:szCs w:val="22"/>
          </w:rPr>
          <w:t>en</w:t>
        </w:r>
        <w:proofErr w:type="spellEnd"/>
        <w:r w:rsidRPr="00356ED8">
          <w:rPr>
            <w:rStyle w:val="Hyperlink"/>
            <w:spacing w:val="-2"/>
            <w:szCs w:val="22"/>
          </w:rPr>
          <w:t>/ITU-T/</w:t>
        </w:r>
        <w:proofErr w:type="spellStart"/>
        <w:r w:rsidRPr="00356ED8">
          <w:rPr>
            <w:rStyle w:val="Hyperlink"/>
            <w:spacing w:val="-2"/>
            <w:szCs w:val="22"/>
          </w:rPr>
          <w:t>ipr</w:t>
        </w:r>
        <w:proofErr w:type="spellEnd"/>
        <w:r w:rsidRPr="00356ED8">
          <w:rPr>
            <w:rStyle w:val="Hyperlink"/>
            <w:spacing w:val="-2"/>
            <w:szCs w:val="22"/>
          </w:rPr>
          <w:t>/Pages/</w:t>
        </w:r>
        <w:proofErr w:type="spellStart"/>
        <w:r w:rsidRPr="00356ED8">
          <w:rPr>
            <w:rStyle w:val="Hyperlink"/>
            <w:spacing w:val="-2"/>
            <w:szCs w:val="22"/>
          </w:rPr>
          <w:t>policy.aspx</w:t>
        </w:r>
        <w:proofErr w:type="spellEnd"/>
      </w:hyperlink>
      <w:r w:rsidRPr="00356ED8">
        <w:rPr>
          <w:rFonts w:hint="cs"/>
          <w:spacing w:val="-2"/>
          <w:rtl/>
          <w:lang w:bidi="ar-EG"/>
        </w:rPr>
        <w:t>.</w:t>
      </w:r>
    </w:p>
    <w:p w:rsidR="00706D7A" w:rsidRDefault="00813E47" w:rsidP="00C0682B">
      <w:pPr>
        <w:keepNext/>
        <w:keepLines/>
        <w:spacing w:before="240"/>
        <w:rPr>
          <w:rtl/>
        </w:rPr>
      </w:pPr>
      <w:r w:rsidRPr="00813E47">
        <w:rPr>
          <w:rFonts w:hint="cs"/>
          <w:rtl/>
          <w:lang w:bidi="ar-EG"/>
        </w:rPr>
        <w:t>وتفضلوا بقبول فائق التقدير والاحترام.</w:t>
      </w:r>
    </w:p>
    <w:p w:rsidR="00E02604" w:rsidRDefault="00E02604" w:rsidP="00FE39C3">
      <w:pPr>
        <w:spacing w:before="1440"/>
        <w:jc w:val="left"/>
        <w:rPr>
          <w:rtl/>
        </w:rPr>
      </w:pPr>
      <w:r>
        <w:rPr>
          <w:rFonts w:hint="cs"/>
          <w:rtl/>
        </w:rPr>
        <w:t>فرانسوا</w:t>
      </w:r>
      <w:r>
        <w:rPr>
          <w:rtl/>
        </w:rPr>
        <w:t xml:space="preserve"> </w:t>
      </w:r>
      <w:proofErr w:type="spellStart"/>
      <w:r>
        <w:rPr>
          <w:rFonts w:hint="cs"/>
          <w:rtl/>
        </w:rPr>
        <w:t>رانسي</w:t>
      </w:r>
      <w:proofErr w:type="spellEnd"/>
      <w:r>
        <w:rPr>
          <w:rtl/>
        </w:rPr>
        <w:br/>
      </w:r>
      <w:proofErr w:type="spellStart"/>
      <w:r>
        <w:rPr>
          <w:rFonts w:hint="cs"/>
          <w:rtl/>
        </w:rPr>
        <w:t>ال</w:t>
      </w:r>
      <w:r w:rsidR="00877C60">
        <w:rPr>
          <w:rFonts w:hint="cs"/>
          <w:rtl/>
        </w:rPr>
        <w:t>‍</w:t>
      </w:r>
      <w:r>
        <w:rPr>
          <w:rFonts w:hint="cs"/>
          <w:rtl/>
        </w:rPr>
        <w:t>مدير</w:t>
      </w:r>
      <w:proofErr w:type="spellEnd"/>
    </w:p>
    <w:p w:rsidR="00397CB2" w:rsidRDefault="00356ED8" w:rsidP="00D57CF2">
      <w:pPr>
        <w:keepNext/>
        <w:keepLines/>
        <w:tabs>
          <w:tab w:val="clear" w:pos="794"/>
        </w:tabs>
        <w:spacing w:before="2040"/>
        <w:rPr>
          <w:rtl/>
        </w:rPr>
      </w:pPr>
      <w:proofErr w:type="gramStart"/>
      <w:r>
        <w:rPr>
          <w:rFonts w:hint="cs"/>
          <w:b/>
          <w:bCs/>
          <w:rtl/>
        </w:rPr>
        <w:t>الملحق</w:t>
      </w:r>
      <w:r w:rsidR="00397CB2" w:rsidRPr="00DE29E8">
        <w:rPr>
          <w:rFonts w:hint="cs"/>
          <w:b/>
          <w:bCs/>
          <w:rtl/>
        </w:rPr>
        <w:t>:</w:t>
      </w:r>
      <w:r w:rsidR="00397CB2">
        <w:rPr>
          <w:rFonts w:hint="cs"/>
          <w:rtl/>
        </w:rPr>
        <w:tab/>
      </w:r>
      <w:proofErr w:type="gramEnd"/>
      <w:r w:rsidR="00703BEA">
        <w:rPr>
          <w:rFonts w:hint="cs"/>
          <w:rtl/>
        </w:rPr>
        <w:t>عناوين</w:t>
      </w:r>
      <w:r>
        <w:rPr>
          <w:rFonts w:hint="cs"/>
          <w:rtl/>
        </w:rPr>
        <w:t xml:space="preserve"> وملخصات مشاريع التوصيات.</w:t>
      </w:r>
    </w:p>
    <w:p w:rsidR="00356ED8" w:rsidRDefault="00356ED8" w:rsidP="00703BEA">
      <w:pPr>
        <w:rPr>
          <w:rtl/>
          <w:lang w:bidi="ar-EG"/>
        </w:rPr>
      </w:pPr>
      <w:r w:rsidRPr="004B74B4">
        <w:rPr>
          <w:rFonts w:hint="cs"/>
          <w:b/>
          <w:bCs/>
          <w:rtl/>
        </w:rPr>
        <w:t>الوثائق المرفقة:</w:t>
      </w:r>
      <w:r w:rsidRPr="00356ED8">
        <w:rPr>
          <w:rFonts w:hint="cs"/>
          <w:rtl/>
        </w:rPr>
        <w:tab/>
      </w:r>
      <w:hyperlink r:id="rId10" w:history="1">
        <w:r w:rsidRPr="00356ED8">
          <w:rPr>
            <w:rStyle w:val="Hyperlink"/>
            <w:szCs w:val="24"/>
          </w:rPr>
          <w:t>1/144(</w:t>
        </w:r>
        <w:proofErr w:type="spellStart"/>
        <w:r w:rsidRPr="00356ED8">
          <w:rPr>
            <w:rStyle w:val="Hyperlink"/>
            <w:szCs w:val="24"/>
          </w:rPr>
          <w:t>Rev.1</w:t>
        </w:r>
        <w:proofErr w:type="spellEnd"/>
        <w:r w:rsidRPr="00356ED8">
          <w:rPr>
            <w:rStyle w:val="Hyperlink"/>
            <w:szCs w:val="24"/>
          </w:rPr>
          <w:t>)</w:t>
        </w:r>
      </w:hyperlink>
      <w:r w:rsidRPr="00356ED8">
        <w:rPr>
          <w:rFonts w:hint="cs"/>
          <w:rtl/>
        </w:rPr>
        <w:t xml:space="preserve">، </w:t>
      </w:r>
      <w:hyperlink r:id="rId11" w:history="1">
        <w:r w:rsidRPr="00356ED8">
          <w:rPr>
            <w:rStyle w:val="Hyperlink"/>
            <w:szCs w:val="24"/>
          </w:rPr>
          <w:t>1/145(</w:t>
        </w:r>
        <w:proofErr w:type="spellStart"/>
        <w:r w:rsidRPr="00356ED8">
          <w:rPr>
            <w:rStyle w:val="Hyperlink"/>
            <w:szCs w:val="24"/>
          </w:rPr>
          <w:t>Rev.1</w:t>
        </w:r>
        <w:proofErr w:type="spellEnd"/>
        <w:r w:rsidRPr="00356ED8">
          <w:rPr>
            <w:rStyle w:val="Hyperlink"/>
            <w:szCs w:val="24"/>
          </w:rPr>
          <w:t>)</w:t>
        </w:r>
      </w:hyperlink>
      <w:r w:rsidRPr="00356ED8">
        <w:rPr>
          <w:rFonts w:hint="cs"/>
          <w:rtl/>
        </w:rPr>
        <w:t xml:space="preserve">، </w:t>
      </w:r>
      <w:hyperlink r:id="rId12" w:history="1">
        <w:r w:rsidRPr="00356ED8">
          <w:rPr>
            <w:rStyle w:val="Hyperlink"/>
            <w:szCs w:val="24"/>
          </w:rPr>
          <w:t>1/148(</w:t>
        </w:r>
        <w:proofErr w:type="spellStart"/>
        <w:r w:rsidRPr="00356ED8">
          <w:rPr>
            <w:rStyle w:val="Hyperlink"/>
            <w:szCs w:val="24"/>
          </w:rPr>
          <w:t>Rev.1</w:t>
        </w:r>
        <w:proofErr w:type="spellEnd"/>
        <w:r w:rsidRPr="00356ED8">
          <w:rPr>
            <w:rStyle w:val="Hyperlink"/>
            <w:szCs w:val="24"/>
          </w:rPr>
          <w:t>)</w:t>
        </w:r>
      </w:hyperlink>
      <w:r w:rsidRPr="00356ED8">
        <w:rPr>
          <w:rFonts w:hint="cs"/>
          <w:rtl/>
        </w:rPr>
        <w:t xml:space="preserve"> و</w:t>
      </w:r>
      <w:hyperlink r:id="rId13" w:history="1">
        <w:r w:rsidRPr="00356ED8">
          <w:rPr>
            <w:rStyle w:val="Hyperlink"/>
            <w:szCs w:val="24"/>
          </w:rPr>
          <w:t>1/163(</w:t>
        </w:r>
        <w:proofErr w:type="spellStart"/>
        <w:r w:rsidRPr="00356ED8">
          <w:rPr>
            <w:rStyle w:val="Hyperlink"/>
            <w:szCs w:val="24"/>
          </w:rPr>
          <w:t>Rev.1</w:t>
        </w:r>
        <w:proofErr w:type="spellEnd"/>
        <w:r w:rsidRPr="00356ED8">
          <w:rPr>
            <w:rStyle w:val="Hyperlink"/>
            <w:szCs w:val="24"/>
          </w:rPr>
          <w:t>)</w:t>
        </w:r>
      </w:hyperlink>
    </w:p>
    <w:p w:rsidR="00356ED8" w:rsidRPr="00356ED8" w:rsidRDefault="00356ED8" w:rsidP="00356ED8">
      <w:pPr>
        <w:rPr>
          <w:rtl/>
          <w:lang w:bidi="ar-EG"/>
        </w:rPr>
      </w:pPr>
      <w:r>
        <w:rPr>
          <w:rFonts w:hint="cs"/>
          <w:rtl/>
          <w:lang w:bidi="ar-EG"/>
        </w:rPr>
        <w:t xml:space="preserve">هذه الوثائق متاحة بنسق إلكتروني على: </w:t>
      </w:r>
      <w:hyperlink r:id="rId14" w:history="1">
        <w:r w:rsidRPr="00356ED8">
          <w:rPr>
            <w:rStyle w:val="Hyperlink"/>
            <w:szCs w:val="22"/>
          </w:rPr>
          <w:t>http://</w:t>
        </w:r>
        <w:proofErr w:type="spellStart"/>
        <w:r w:rsidRPr="00356ED8">
          <w:rPr>
            <w:rStyle w:val="Hyperlink"/>
            <w:szCs w:val="22"/>
          </w:rPr>
          <w:t>www.itu.int</w:t>
        </w:r>
        <w:proofErr w:type="spellEnd"/>
        <w:r w:rsidRPr="00356ED8">
          <w:rPr>
            <w:rStyle w:val="Hyperlink"/>
            <w:szCs w:val="22"/>
          </w:rPr>
          <w:t>/md/</w:t>
        </w:r>
        <w:proofErr w:type="spellStart"/>
        <w:r w:rsidRPr="00356ED8">
          <w:rPr>
            <w:rStyle w:val="Hyperlink"/>
            <w:szCs w:val="22"/>
          </w:rPr>
          <w:t>R12</w:t>
        </w:r>
        <w:proofErr w:type="spellEnd"/>
        <w:r w:rsidRPr="00356ED8">
          <w:rPr>
            <w:rStyle w:val="Hyperlink"/>
            <w:szCs w:val="22"/>
          </w:rPr>
          <w:t>-</w:t>
        </w:r>
        <w:proofErr w:type="spellStart"/>
        <w:r w:rsidRPr="00356ED8">
          <w:rPr>
            <w:rStyle w:val="Hyperlink"/>
            <w:szCs w:val="22"/>
          </w:rPr>
          <w:t>SG01</w:t>
        </w:r>
        <w:proofErr w:type="spellEnd"/>
        <w:r w:rsidRPr="00356ED8">
          <w:rPr>
            <w:rStyle w:val="Hyperlink"/>
            <w:szCs w:val="22"/>
          </w:rPr>
          <w:t>-C/</w:t>
        </w:r>
        <w:proofErr w:type="spellStart"/>
        <w:r w:rsidRPr="00356ED8">
          <w:rPr>
            <w:rStyle w:val="Hyperlink"/>
            <w:szCs w:val="22"/>
          </w:rPr>
          <w:t>en</w:t>
        </w:r>
        <w:proofErr w:type="spellEnd"/>
      </w:hyperlink>
    </w:p>
    <w:p w:rsidR="00813E47" w:rsidRPr="00E628D5" w:rsidRDefault="00813E47" w:rsidP="00703BEA">
      <w:pPr>
        <w:spacing w:before="4680"/>
        <w:rPr>
          <w:b/>
          <w:bCs/>
          <w:sz w:val="16"/>
          <w:szCs w:val="22"/>
          <w:rtl/>
          <w:lang w:bidi="ar-EG"/>
        </w:rPr>
      </w:pPr>
      <w:r w:rsidRPr="00E628D5">
        <w:rPr>
          <w:b/>
          <w:bCs/>
          <w:sz w:val="16"/>
          <w:szCs w:val="22"/>
          <w:rtl/>
        </w:rPr>
        <w:t>التوزيع:</w:t>
      </w:r>
    </w:p>
    <w:p w:rsidR="00C0682B" w:rsidRPr="002F45BB" w:rsidRDefault="00C0682B" w:rsidP="00C0682B">
      <w:pPr>
        <w:tabs>
          <w:tab w:val="left" w:pos="425"/>
        </w:tabs>
        <w:spacing w:before="60" w:line="168" w:lineRule="auto"/>
        <w:rPr>
          <w:sz w:val="18"/>
          <w:szCs w:val="24"/>
          <w:rtl/>
          <w:lang w:val="fr-CH" w:bidi="ar-EG"/>
        </w:rPr>
      </w:pPr>
      <w:r w:rsidRPr="00831543">
        <w:rPr>
          <w:rFonts w:hint="cs"/>
          <w:sz w:val="18"/>
          <w:szCs w:val="24"/>
          <w:rtl/>
          <w:lang w:bidi="ar-EG"/>
        </w:rPr>
        <w:t>-</w:t>
      </w:r>
      <w:r w:rsidRPr="00831543">
        <w:rPr>
          <w:rFonts w:hint="cs"/>
          <w:sz w:val="18"/>
          <w:szCs w:val="24"/>
          <w:rtl/>
          <w:lang w:bidi="ar-EG"/>
        </w:rPr>
        <w:tab/>
      </w:r>
      <w:r w:rsidRPr="00831543">
        <w:rPr>
          <w:sz w:val="18"/>
          <w:szCs w:val="24"/>
          <w:rtl/>
          <w:lang w:bidi="ar-EG"/>
        </w:rPr>
        <w:t>إدارات الدول الأعضاء</w:t>
      </w:r>
      <w:r w:rsidRPr="00831543">
        <w:rPr>
          <w:rFonts w:hint="cs"/>
          <w:sz w:val="18"/>
          <w:szCs w:val="24"/>
          <w:rtl/>
          <w:lang w:bidi="ar-EG"/>
        </w:rPr>
        <w:t xml:space="preserve"> في </w:t>
      </w:r>
      <w:proofErr w:type="spellStart"/>
      <w:r w:rsidRPr="00831543">
        <w:rPr>
          <w:rFonts w:hint="cs"/>
          <w:sz w:val="18"/>
          <w:szCs w:val="24"/>
          <w:rtl/>
          <w:lang w:bidi="ar-EG"/>
        </w:rPr>
        <w:t>الات</w:t>
      </w:r>
      <w:r w:rsidR="007F44A3">
        <w:rPr>
          <w:rFonts w:hint="cs"/>
          <w:sz w:val="18"/>
          <w:szCs w:val="24"/>
          <w:rtl/>
          <w:lang w:bidi="ar-EG"/>
        </w:rPr>
        <w:t>‍</w:t>
      </w:r>
      <w:r w:rsidRPr="00831543">
        <w:rPr>
          <w:rFonts w:hint="cs"/>
          <w:sz w:val="18"/>
          <w:szCs w:val="24"/>
          <w:rtl/>
          <w:lang w:bidi="ar-EG"/>
        </w:rPr>
        <w:t>حاد</w:t>
      </w:r>
      <w:proofErr w:type="spellEnd"/>
      <w:r w:rsidRPr="00831543">
        <w:rPr>
          <w:sz w:val="18"/>
          <w:szCs w:val="24"/>
          <w:rtl/>
          <w:lang w:bidi="ar-EG"/>
        </w:rPr>
        <w:t xml:space="preserve"> وأعضاء قطاع الاتصالات الراديوية</w:t>
      </w:r>
      <w:r w:rsidRPr="00831543">
        <w:rPr>
          <w:rFonts w:hint="cs"/>
          <w:sz w:val="18"/>
          <w:szCs w:val="24"/>
          <w:rtl/>
          <w:lang w:bidi="ar-EG"/>
        </w:rPr>
        <w:t xml:space="preserve"> </w:t>
      </w:r>
      <w:proofErr w:type="spellStart"/>
      <w:r w:rsidRPr="00831543">
        <w:rPr>
          <w:rFonts w:hint="cs"/>
          <w:sz w:val="18"/>
          <w:szCs w:val="24"/>
          <w:rtl/>
          <w:lang w:bidi="ar-EG"/>
        </w:rPr>
        <w:t>ال</w:t>
      </w:r>
      <w:r w:rsidR="007F44A3">
        <w:rPr>
          <w:rFonts w:hint="cs"/>
          <w:sz w:val="18"/>
          <w:szCs w:val="24"/>
          <w:rtl/>
          <w:lang w:bidi="ar-EG"/>
        </w:rPr>
        <w:t>‍</w:t>
      </w:r>
      <w:r w:rsidRPr="00831543">
        <w:rPr>
          <w:rFonts w:hint="cs"/>
          <w:sz w:val="18"/>
          <w:szCs w:val="24"/>
          <w:rtl/>
          <w:lang w:bidi="ar-EG"/>
        </w:rPr>
        <w:t>مشاركون</w:t>
      </w:r>
      <w:proofErr w:type="spellEnd"/>
      <w:r w:rsidRPr="00831543">
        <w:rPr>
          <w:rFonts w:hint="cs"/>
          <w:sz w:val="18"/>
          <w:szCs w:val="24"/>
          <w:rtl/>
          <w:lang w:bidi="ar-EG"/>
        </w:rPr>
        <w:t xml:space="preserve"> في أعمال </w:t>
      </w:r>
      <w:proofErr w:type="spellStart"/>
      <w:r w:rsidRPr="00831543">
        <w:rPr>
          <w:rFonts w:hint="cs"/>
          <w:sz w:val="18"/>
          <w:szCs w:val="24"/>
          <w:rtl/>
          <w:lang w:bidi="ar-EG"/>
        </w:rPr>
        <w:t>ل</w:t>
      </w:r>
      <w:r w:rsidR="007F44A3">
        <w:rPr>
          <w:rFonts w:hint="cs"/>
          <w:sz w:val="18"/>
          <w:szCs w:val="24"/>
          <w:rtl/>
          <w:lang w:bidi="ar-EG"/>
        </w:rPr>
        <w:t>‍</w:t>
      </w:r>
      <w:r w:rsidRPr="00831543">
        <w:rPr>
          <w:rFonts w:hint="cs"/>
          <w:sz w:val="18"/>
          <w:szCs w:val="24"/>
          <w:rtl/>
          <w:lang w:bidi="ar-EG"/>
        </w:rPr>
        <w:t>جنة</w:t>
      </w:r>
      <w:proofErr w:type="spellEnd"/>
      <w:r w:rsidRPr="00831543">
        <w:rPr>
          <w:rFonts w:hint="cs"/>
          <w:sz w:val="18"/>
          <w:szCs w:val="24"/>
          <w:rtl/>
          <w:lang w:bidi="ar-EG"/>
        </w:rPr>
        <w:t xml:space="preserve"> الدراسات </w:t>
      </w:r>
      <w:r>
        <w:rPr>
          <w:sz w:val="18"/>
          <w:szCs w:val="24"/>
          <w:lang w:val="fr-CH" w:bidi="ar-EG"/>
        </w:rPr>
        <w:t>1</w:t>
      </w:r>
      <w:r w:rsidRPr="00831543">
        <w:rPr>
          <w:rFonts w:hint="cs"/>
          <w:sz w:val="18"/>
          <w:szCs w:val="24"/>
          <w:rtl/>
          <w:lang w:bidi="ar-EG"/>
        </w:rPr>
        <w:t xml:space="preserve"> للاتصالات الراديوية</w:t>
      </w:r>
    </w:p>
    <w:p w:rsidR="00C0682B" w:rsidRDefault="00C0682B" w:rsidP="00C0682B">
      <w:pPr>
        <w:tabs>
          <w:tab w:val="left" w:pos="425"/>
        </w:tabs>
        <w:spacing w:before="0" w:line="168" w:lineRule="auto"/>
        <w:rPr>
          <w:sz w:val="18"/>
          <w:szCs w:val="24"/>
          <w:rtl/>
          <w:lang w:bidi="ar-EG"/>
        </w:rPr>
      </w:pPr>
      <w:r>
        <w:rPr>
          <w:sz w:val="18"/>
          <w:szCs w:val="24"/>
          <w:rtl/>
          <w:lang w:bidi="ar-EG"/>
        </w:rPr>
        <w:t>-</w:t>
      </w:r>
      <w:r>
        <w:rPr>
          <w:sz w:val="18"/>
          <w:szCs w:val="24"/>
          <w:rtl/>
          <w:lang w:bidi="ar-EG"/>
        </w:rPr>
        <w:tab/>
      </w:r>
      <w:proofErr w:type="spellStart"/>
      <w:r>
        <w:rPr>
          <w:sz w:val="18"/>
          <w:szCs w:val="24"/>
          <w:rtl/>
          <w:lang w:bidi="ar-EG"/>
        </w:rPr>
        <w:t>ال</w:t>
      </w:r>
      <w:r w:rsidR="007F44A3">
        <w:rPr>
          <w:rFonts w:hint="cs"/>
          <w:sz w:val="18"/>
          <w:szCs w:val="24"/>
          <w:rtl/>
          <w:lang w:bidi="ar-EG"/>
        </w:rPr>
        <w:t>‍</w:t>
      </w:r>
      <w:r>
        <w:rPr>
          <w:sz w:val="18"/>
          <w:szCs w:val="24"/>
          <w:rtl/>
          <w:lang w:bidi="ar-EG"/>
        </w:rPr>
        <w:t>منتسبون</w:t>
      </w:r>
      <w:proofErr w:type="spellEnd"/>
      <w:r>
        <w:rPr>
          <w:sz w:val="18"/>
          <w:szCs w:val="24"/>
          <w:rtl/>
          <w:lang w:bidi="ar-EG"/>
        </w:rPr>
        <w:t xml:space="preserve"> إلى قطاع الاتصالات الراديوية </w:t>
      </w:r>
      <w:proofErr w:type="spellStart"/>
      <w:r>
        <w:rPr>
          <w:sz w:val="18"/>
          <w:szCs w:val="24"/>
          <w:rtl/>
          <w:lang w:bidi="ar-EG"/>
        </w:rPr>
        <w:t>ال</w:t>
      </w:r>
      <w:r w:rsidR="007F44A3">
        <w:rPr>
          <w:rFonts w:hint="cs"/>
          <w:sz w:val="18"/>
          <w:szCs w:val="24"/>
          <w:rtl/>
          <w:lang w:bidi="ar-EG"/>
        </w:rPr>
        <w:t>‍</w:t>
      </w:r>
      <w:r>
        <w:rPr>
          <w:sz w:val="18"/>
          <w:szCs w:val="24"/>
          <w:rtl/>
          <w:lang w:bidi="ar-EG"/>
        </w:rPr>
        <w:t>مشاركون</w:t>
      </w:r>
      <w:proofErr w:type="spellEnd"/>
      <w:r>
        <w:rPr>
          <w:sz w:val="18"/>
          <w:szCs w:val="24"/>
          <w:rtl/>
          <w:lang w:bidi="ar-EG"/>
        </w:rPr>
        <w:t xml:space="preserve"> في أعمال </w:t>
      </w:r>
      <w:proofErr w:type="spellStart"/>
      <w:r>
        <w:rPr>
          <w:sz w:val="18"/>
          <w:szCs w:val="24"/>
          <w:rtl/>
          <w:lang w:bidi="ar-EG"/>
        </w:rPr>
        <w:t>ل</w:t>
      </w:r>
      <w:r w:rsidR="007F44A3">
        <w:rPr>
          <w:rFonts w:hint="cs"/>
          <w:sz w:val="18"/>
          <w:szCs w:val="24"/>
          <w:rtl/>
          <w:lang w:bidi="ar-EG"/>
        </w:rPr>
        <w:t>‍</w:t>
      </w:r>
      <w:r>
        <w:rPr>
          <w:sz w:val="18"/>
          <w:szCs w:val="24"/>
          <w:rtl/>
          <w:lang w:bidi="ar-EG"/>
        </w:rPr>
        <w:t>جنة</w:t>
      </w:r>
      <w:proofErr w:type="spellEnd"/>
      <w:r>
        <w:rPr>
          <w:sz w:val="18"/>
          <w:szCs w:val="24"/>
          <w:rtl/>
          <w:lang w:bidi="ar-EG"/>
        </w:rPr>
        <w:t xml:space="preserve"> الدراسات </w:t>
      </w:r>
      <w:r>
        <w:rPr>
          <w:sz w:val="18"/>
          <w:szCs w:val="24"/>
          <w:lang w:bidi="ar-EG"/>
        </w:rPr>
        <w:t>1</w:t>
      </w:r>
      <w:r>
        <w:rPr>
          <w:sz w:val="18"/>
          <w:szCs w:val="24"/>
          <w:rtl/>
          <w:lang w:bidi="ar-EG"/>
        </w:rPr>
        <w:t xml:space="preserve"> للاتصالات الراديوية</w:t>
      </w:r>
    </w:p>
    <w:p w:rsidR="00C0682B" w:rsidRDefault="00C0682B" w:rsidP="00C0682B">
      <w:pPr>
        <w:tabs>
          <w:tab w:val="left" w:pos="425"/>
        </w:tabs>
        <w:spacing w:before="0" w:line="168" w:lineRule="auto"/>
        <w:rPr>
          <w:sz w:val="18"/>
          <w:szCs w:val="24"/>
          <w:rtl/>
          <w:lang w:bidi="ar-EG"/>
        </w:rPr>
      </w:pPr>
      <w:r>
        <w:rPr>
          <w:sz w:val="18"/>
          <w:szCs w:val="24"/>
          <w:rtl/>
          <w:lang w:bidi="ar-EG"/>
        </w:rPr>
        <w:t>-</w:t>
      </w:r>
      <w:r>
        <w:rPr>
          <w:sz w:val="18"/>
          <w:szCs w:val="24"/>
          <w:rtl/>
          <w:lang w:bidi="ar-EG"/>
        </w:rPr>
        <w:tab/>
        <w:t xml:space="preserve">رؤساء </w:t>
      </w:r>
      <w:proofErr w:type="spellStart"/>
      <w:r>
        <w:rPr>
          <w:sz w:val="18"/>
          <w:szCs w:val="24"/>
          <w:rtl/>
          <w:lang w:bidi="ar-EG"/>
        </w:rPr>
        <w:t>ل</w:t>
      </w:r>
      <w:r w:rsidR="007F44A3">
        <w:rPr>
          <w:rFonts w:hint="cs"/>
          <w:sz w:val="18"/>
          <w:szCs w:val="24"/>
          <w:rtl/>
          <w:lang w:bidi="ar-EG"/>
        </w:rPr>
        <w:t>‍</w:t>
      </w:r>
      <w:r>
        <w:rPr>
          <w:sz w:val="18"/>
          <w:szCs w:val="24"/>
          <w:rtl/>
          <w:lang w:bidi="ar-EG"/>
        </w:rPr>
        <w:t>جان</w:t>
      </w:r>
      <w:proofErr w:type="spellEnd"/>
      <w:r>
        <w:rPr>
          <w:sz w:val="18"/>
          <w:szCs w:val="24"/>
          <w:rtl/>
          <w:lang w:bidi="ar-EG"/>
        </w:rPr>
        <w:t xml:space="preserve"> دراسات الاتصالات الراديوية واللجنة </w:t>
      </w:r>
      <w:proofErr w:type="spellStart"/>
      <w:r>
        <w:rPr>
          <w:sz w:val="18"/>
          <w:szCs w:val="24"/>
          <w:rtl/>
          <w:lang w:bidi="ar-EG"/>
        </w:rPr>
        <w:t>ال</w:t>
      </w:r>
      <w:r w:rsidR="007F44A3">
        <w:rPr>
          <w:rFonts w:hint="cs"/>
          <w:sz w:val="18"/>
          <w:szCs w:val="24"/>
          <w:rtl/>
          <w:lang w:bidi="ar-EG"/>
        </w:rPr>
        <w:t>‍</w:t>
      </w:r>
      <w:r>
        <w:rPr>
          <w:sz w:val="18"/>
          <w:szCs w:val="24"/>
          <w:rtl/>
          <w:lang w:bidi="ar-EG"/>
        </w:rPr>
        <w:t>خاصة</w:t>
      </w:r>
      <w:proofErr w:type="spellEnd"/>
      <w:r>
        <w:rPr>
          <w:sz w:val="18"/>
          <w:szCs w:val="24"/>
          <w:rtl/>
          <w:lang w:bidi="ar-EG"/>
        </w:rPr>
        <w:t xml:space="preserve"> </w:t>
      </w:r>
      <w:proofErr w:type="spellStart"/>
      <w:r>
        <w:rPr>
          <w:sz w:val="18"/>
          <w:szCs w:val="24"/>
          <w:rtl/>
          <w:lang w:bidi="ar-EG"/>
        </w:rPr>
        <w:t>ال</w:t>
      </w:r>
      <w:r w:rsidR="007F44A3">
        <w:rPr>
          <w:rFonts w:hint="cs"/>
          <w:sz w:val="18"/>
          <w:szCs w:val="24"/>
          <w:rtl/>
          <w:lang w:bidi="ar-EG"/>
        </w:rPr>
        <w:t>‍</w:t>
      </w:r>
      <w:r>
        <w:rPr>
          <w:sz w:val="18"/>
          <w:szCs w:val="24"/>
          <w:rtl/>
          <w:lang w:bidi="ar-EG"/>
        </w:rPr>
        <w:t>معنية</w:t>
      </w:r>
      <w:proofErr w:type="spellEnd"/>
      <w:r>
        <w:rPr>
          <w:sz w:val="18"/>
          <w:szCs w:val="24"/>
          <w:rtl/>
          <w:lang w:bidi="ar-EG"/>
        </w:rPr>
        <w:t xml:space="preserve"> </w:t>
      </w:r>
      <w:proofErr w:type="spellStart"/>
      <w:r>
        <w:rPr>
          <w:sz w:val="18"/>
          <w:szCs w:val="24"/>
          <w:rtl/>
          <w:lang w:bidi="ar-EG"/>
        </w:rPr>
        <w:t>بال</w:t>
      </w:r>
      <w:r w:rsidR="007F44A3">
        <w:rPr>
          <w:rFonts w:hint="cs"/>
          <w:sz w:val="18"/>
          <w:szCs w:val="24"/>
          <w:rtl/>
          <w:lang w:bidi="ar-EG"/>
        </w:rPr>
        <w:t>‍</w:t>
      </w:r>
      <w:r>
        <w:rPr>
          <w:sz w:val="18"/>
          <w:szCs w:val="24"/>
          <w:rtl/>
          <w:lang w:bidi="ar-EG"/>
        </w:rPr>
        <w:t>مسائل</w:t>
      </w:r>
      <w:proofErr w:type="spellEnd"/>
      <w:r>
        <w:rPr>
          <w:sz w:val="18"/>
          <w:szCs w:val="24"/>
          <w:rtl/>
          <w:lang w:bidi="ar-EG"/>
        </w:rPr>
        <w:t xml:space="preserve"> التنظيمية والإجرائية ونوابهم</w:t>
      </w:r>
    </w:p>
    <w:p w:rsidR="00C0682B" w:rsidRDefault="00C0682B" w:rsidP="00C0682B">
      <w:pPr>
        <w:tabs>
          <w:tab w:val="left" w:pos="425"/>
        </w:tabs>
        <w:spacing w:before="0" w:line="168" w:lineRule="auto"/>
        <w:rPr>
          <w:sz w:val="18"/>
          <w:szCs w:val="24"/>
          <w:rtl/>
          <w:lang w:bidi="ar-EG"/>
        </w:rPr>
      </w:pPr>
      <w:r>
        <w:rPr>
          <w:sz w:val="18"/>
          <w:szCs w:val="24"/>
          <w:rtl/>
          <w:lang w:bidi="ar-EG"/>
        </w:rPr>
        <w:t>-</w:t>
      </w:r>
      <w:r>
        <w:rPr>
          <w:sz w:val="18"/>
          <w:szCs w:val="24"/>
          <w:rtl/>
          <w:lang w:bidi="ar-EG"/>
        </w:rPr>
        <w:tab/>
        <w:t xml:space="preserve">رئيس الاجتماع التحضيري </w:t>
      </w:r>
      <w:proofErr w:type="spellStart"/>
      <w:r>
        <w:rPr>
          <w:sz w:val="18"/>
          <w:szCs w:val="24"/>
          <w:rtl/>
          <w:lang w:bidi="ar-EG"/>
        </w:rPr>
        <w:t>للمؤت</w:t>
      </w:r>
      <w:r w:rsidR="007F44A3">
        <w:rPr>
          <w:rFonts w:hint="cs"/>
          <w:sz w:val="18"/>
          <w:szCs w:val="24"/>
          <w:rtl/>
          <w:lang w:bidi="ar-EG"/>
        </w:rPr>
        <w:t>‍</w:t>
      </w:r>
      <w:r>
        <w:rPr>
          <w:sz w:val="18"/>
          <w:szCs w:val="24"/>
          <w:rtl/>
          <w:lang w:bidi="ar-EG"/>
        </w:rPr>
        <w:t>مر</w:t>
      </w:r>
      <w:proofErr w:type="spellEnd"/>
      <w:r>
        <w:rPr>
          <w:sz w:val="18"/>
          <w:szCs w:val="24"/>
          <w:rtl/>
          <w:lang w:bidi="ar-EG"/>
        </w:rPr>
        <w:t xml:space="preserve"> ونوابه</w:t>
      </w:r>
    </w:p>
    <w:p w:rsidR="00C0682B" w:rsidRDefault="00C0682B" w:rsidP="00C0682B">
      <w:pPr>
        <w:tabs>
          <w:tab w:val="left" w:pos="425"/>
        </w:tabs>
        <w:spacing w:before="0" w:line="168" w:lineRule="auto"/>
        <w:rPr>
          <w:sz w:val="18"/>
          <w:szCs w:val="24"/>
          <w:rtl/>
          <w:lang w:bidi="ar-EG"/>
        </w:rPr>
      </w:pPr>
      <w:r>
        <w:rPr>
          <w:sz w:val="18"/>
          <w:szCs w:val="24"/>
          <w:rtl/>
          <w:lang w:bidi="ar-EG"/>
        </w:rPr>
        <w:t>-</w:t>
      </w:r>
      <w:r>
        <w:rPr>
          <w:sz w:val="18"/>
          <w:szCs w:val="24"/>
          <w:rtl/>
          <w:lang w:bidi="ar-EG"/>
        </w:rPr>
        <w:tab/>
        <w:t xml:space="preserve">أعضاء </w:t>
      </w:r>
      <w:proofErr w:type="spellStart"/>
      <w:r>
        <w:rPr>
          <w:sz w:val="18"/>
          <w:szCs w:val="24"/>
          <w:rtl/>
          <w:lang w:bidi="ar-EG"/>
        </w:rPr>
        <w:t>ل</w:t>
      </w:r>
      <w:r w:rsidR="007F44A3">
        <w:rPr>
          <w:rFonts w:hint="cs"/>
          <w:sz w:val="18"/>
          <w:szCs w:val="24"/>
          <w:rtl/>
          <w:lang w:bidi="ar-EG"/>
        </w:rPr>
        <w:t>‍</w:t>
      </w:r>
      <w:r>
        <w:rPr>
          <w:sz w:val="18"/>
          <w:szCs w:val="24"/>
          <w:rtl/>
          <w:lang w:bidi="ar-EG"/>
        </w:rPr>
        <w:t>جنة</w:t>
      </w:r>
      <w:proofErr w:type="spellEnd"/>
      <w:r>
        <w:rPr>
          <w:sz w:val="18"/>
          <w:szCs w:val="24"/>
          <w:rtl/>
          <w:lang w:bidi="ar-EG"/>
        </w:rPr>
        <w:t xml:space="preserve"> لوائح الراديو</w:t>
      </w:r>
    </w:p>
    <w:p w:rsidR="00C0682B" w:rsidRDefault="00C0682B" w:rsidP="00C0682B">
      <w:pPr>
        <w:tabs>
          <w:tab w:val="clear" w:pos="794"/>
          <w:tab w:val="left" w:pos="425"/>
        </w:tabs>
        <w:spacing w:before="60" w:line="168" w:lineRule="auto"/>
        <w:rPr>
          <w:rtl/>
        </w:rPr>
      </w:pPr>
      <w:r>
        <w:rPr>
          <w:sz w:val="18"/>
          <w:szCs w:val="24"/>
          <w:rtl/>
          <w:lang w:bidi="ar-EG"/>
        </w:rPr>
        <w:t>-</w:t>
      </w:r>
      <w:r>
        <w:rPr>
          <w:sz w:val="18"/>
          <w:szCs w:val="24"/>
          <w:rtl/>
          <w:lang w:bidi="ar-EG"/>
        </w:rPr>
        <w:tab/>
        <w:t xml:space="preserve">الأمين العام </w:t>
      </w:r>
      <w:proofErr w:type="spellStart"/>
      <w:r>
        <w:rPr>
          <w:sz w:val="18"/>
          <w:szCs w:val="24"/>
          <w:rtl/>
          <w:lang w:bidi="ar-EG"/>
        </w:rPr>
        <w:t>للات</w:t>
      </w:r>
      <w:r w:rsidR="007F44A3">
        <w:rPr>
          <w:rFonts w:hint="cs"/>
          <w:sz w:val="18"/>
          <w:szCs w:val="24"/>
          <w:rtl/>
          <w:lang w:bidi="ar-EG"/>
        </w:rPr>
        <w:t>‍</w:t>
      </w:r>
      <w:r>
        <w:rPr>
          <w:sz w:val="18"/>
          <w:szCs w:val="24"/>
          <w:rtl/>
          <w:lang w:bidi="ar-EG"/>
        </w:rPr>
        <w:t>حاد</w:t>
      </w:r>
      <w:proofErr w:type="spellEnd"/>
      <w:r>
        <w:rPr>
          <w:sz w:val="18"/>
          <w:szCs w:val="24"/>
          <w:rtl/>
          <w:lang w:bidi="ar-EG"/>
        </w:rPr>
        <w:t xml:space="preserve"> ومدير مكتب تقييس الاتصالات ومدير مكتب تنمية الاتصالات</w:t>
      </w:r>
    </w:p>
    <w:p w:rsidR="00185E59" w:rsidRDefault="00185E59" w:rsidP="00C0682B">
      <w:pPr>
        <w:tabs>
          <w:tab w:val="clear" w:pos="794"/>
          <w:tab w:val="left" w:pos="425"/>
        </w:tabs>
        <w:spacing w:before="60" w:line="168" w:lineRule="auto"/>
        <w:rPr>
          <w:rtl/>
        </w:rPr>
      </w:pPr>
      <w:r>
        <w:rPr>
          <w:rtl/>
        </w:rPr>
        <w:br w:type="page"/>
      </w:r>
    </w:p>
    <w:p w:rsidR="00813E47" w:rsidRDefault="00813E47" w:rsidP="00E050E3">
      <w:pPr>
        <w:pStyle w:val="AnnexNo"/>
        <w:rPr>
          <w:rtl/>
          <w:lang w:bidi="ar-SA"/>
        </w:rPr>
      </w:pPr>
      <w:proofErr w:type="spellStart"/>
      <w:r w:rsidRPr="00813E47">
        <w:rPr>
          <w:rFonts w:hint="cs"/>
          <w:rtl/>
        </w:rPr>
        <w:lastRenderedPageBreak/>
        <w:t>ال‍</w:t>
      </w:r>
      <w:r w:rsidRPr="00813E47">
        <w:rPr>
          <w:rFonts w:hint="eastAsia"/>
          <w:rtl/>
        </w:rPr>
        <w:t>ملحـق</w:t>
      </w:r>
      <w:proofErr w:type="spellEnd"/>
    </w:p>
    <w:p w:rsidR="00C979A4" w:rsidRDefault="00E050E3" w:rsidP="007F6790">
      <w:pPr>
        <w:pStyle w:val="Questiontitle"/>
        <w:rPr>
          <w:rtl/>
        </w:rPr>
      </w:pPr>
      <w:r>
        <w:rPr>
          <w:rFonts w:hint="cs"/>
          <w:rtl/>
        </w:rPr>
        <w:t>عناوين وملخصات مشاريع التوصيات</w:t>
      </w:r>
    </w:p>
    <w:p w:rsidR="00E050E3" w:rsidRDefault="00E050E3" w:rsidP="00E050E3">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rFonts w:asciiTheme="minorHAnsi" w:hAnsiTheme="minorHAnsi"/>
          <w:rtl/>
        </w:rPr>
      </w:pPr>
      <w:r w:rsidRPr="004B74B4">
        <w:rPr>
          <w:rFonts w:hint="cs"/>
          <w:u w:val="single"/>
          <w:rtl/>
          <w:lang w:bidi="ar-SY"/>
        </w:rPr>
        <w:t xml:space="preserve">مشروع التوصية الجديدة </w:t>
      </w:r>
      <w:r w:rsidRPr="004B74B4">
        <w:rPr>
          <w:rFonts w:asciiTheme="minorHAnsi" w:hAnsiTheme="minorHAnsi"/>
          <w:u w:val="single"/>
        </w:rPr>
        <w:t>ITU-R SM.[I/</w:t>
      </w:r>
      <w:proofErr w:type="spellStart"/>
      <w:r w:rsidRPr="004B74B4">
        <w:rPr>
          <w:rFonts w:asciiTheme="minorHAnsi" w:hAnsiTheme="minorHAnsi"/>
          <w:u w:val="single"/>
        </w:rPr>
        <w:t>Q_</w:t>
      </w:r>
      <w:proofErr w:type="gramStart"/>
      <w:r w:rsidRPr="004B74B4">
        <w:rPr>
          <w:rFonts w:asciiTheme="minorHAnsi" w:hAnsiTheme="minorHAnsi"/>
          <w:u w:val="single"/>
        </w:rPr>
        <w:t>TIMING</w:t>
      </w:r>
      <w:proofErr w:type="spellEnd"/>
      <w:r w:rsidRPr="004B74B4">
        <w:rPr>
          <w:rFonts w:asciiTheme="minorHAnsi" w:hAnsiTheme="minorHAnsi"/>
          <w:u w:val="single"/>
        </w:rPr>
        <w:t>]</w:t>
      </w:r>
      <w:r w:rsidRPr="00E050E3">
        <w:rPr>
          <w:rtl/>
          <w:lang w:bidi="ar-SY"/>
        </w:rPr>
        <w:tab/>
      </w:r>
      <w:proofErr w:type="gramEnd"/>
      <w:r w:rsidRPr="00E050E3">
        <w:rPr>
          <w:rFonts w:hint="cs"/>
          <w:rtl/>
          <w:lang w:bidi="ar-SY"/>
        </w:rPr>
        <w:t xml:space="preserve">الوثيقة </w:t>
      </w:r>
      <w:r w:rsidRPr="00E050E3">
        <w:rPr>
          <w:rFonts w:asciiTheme="minorHAnsi" w:hAnsiTheme="minorHAnsi"/>
        </w:rPr>
        <w:t>1/163(</w:t>
      </w:r>
      <w:proofErr w:type="spellStart"/>
      <w:r w:rsidRPr="00E050E3">
        <w:rPr>
          <w:rFonts w:asciiTheme="minorHAnsi" w:hAnsiTheme="minorHAnsi"/>
        </w:rPr>
        <w:t>Rev.1</w:t>
      </w:r>
      <w:proofErr w:type="spellEnd"/>
      <w:r w:rsidRPr="00E050E3">
        <w:rPr>
          <w:rFonts w:asciiTheme="minorHAnsi" w:hAnsiTheme="minorHAnsi"/>
        </w:rPr>
        <w:t>)</w:t>
      </w:r>
    </w:p>
    <w:p w:rsidR="00E050E3" w:rsidRDefault="00E050E3" w:rsidP="004B74B4">
      <w:pPr>
        <w:pStyle w:val="Rectitle"/>
        <w:tabs>
          <w:tab w:val="left" w:pos="685"/>
          <w:tab w:val="center" w:pos="4819"/>
        </w:tabs>
        <w:spacing w:before="360"/>
        <w:rPr>
          <w:rtl/>
        </w:rPr>
      </w:pPr>
      <w:r>
        <w:rPr>
          <w:rFonts w:hint="cs"/>
          <w:rtl/>
        </w:rPr>
        <w:t>دقة معلومات التوقيت في بيانات خرج مستقبلات المراقبة</w:t>
      </w:r>
    </w:p>
    <w:p w:rsidR="00E050E3" w:rsidRDefault="00E050E3" w:rsidP="00E050E3">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rtl/>
          <w:lang w:bidi="ar-EG"/>
        </w:rPr>
      </w:pPr>
      <w:r>
        <w:rPr>
          <w:rFonts w:asciiTheme="minorHAnsi" w:hAnsiTheme="minorHAnsi" w:hint="cs"/>
          <w:rtl/>
        </w:rPr>
        <w:t>مشروع هذه التوصية الجديدة بشأن دقة معلومات التوقيت في بيانات خرج مستقبلات المراقبة</w:t>
      </w:r>
      <w:r>
        <w:rPr>
          <w:rFonts w:hint="cs"/>
          <w:rtl/>
        </w:rPr>
        <w:t>، يقدم أمثلة لطرائق القياس المحتملة لدقة معلومات التوقيت في البيانات </w:t>
      </w:r>
      <w:r>
        <w:t>I/Q</w:t>
      </w:r>
      <w:r>
        <w:rPr>
          <w:rFonts w:hint="cs"/>
          <w:rtl/>
          <w:lang w:bidi="ar-EG"/>
        </w:rPr>
        <w:t xml:space="preserve"> الخاصة بمستقبلات المراقبة. وتتضمن التوصية ملحقين:</w:t>
      </w:r>
    </w:p>
    <w:p w:rsidR="00E050E3" w:rsidRDefault="004B74B4" w:rsidP="004B74B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rtl/>
          <w:lang w:bidi="ar-EG"/>
        </w:rPr>
      </w:pPr>
      <w:r>
        <w:rPr>
          <w:rFonts w:hint="cs"/>
          <w:rtl/>
          <w:lang w:bidi="ar-EG"/>
        </w:rPr>
        <w:t>-</w:t>
      </w:r>
      <w:r>
        <w:rPr>
          <w:rFonts w:hint="cs"/>
          <w:rtl/>
          <w:lang w:bidi="ar-EG"/>
        </w:rPr>
        <w:tab/>
      </w:r>
      <w:r w:rsidR="00E050E3">
        <w:rPr>
          <w:rFonts w:hint="cs"/>
          <w:rtl/>
          <w:lang w:bidi="ar-EG"/>
        </w:rPr>
        <w:t>الملحق </w:t>
      </w:r>
      <w:r w:rsidR="00E050E3">
        <w:rPr>
          <w:lang w:bidi="ar-EG"/>
        </w:rPr>
        <w:t>1</w:t>
      </w:r>
      <w:r w:rsidR="00E050E3">
        <w:rPr>
          <w:rFonts w:hint="cs"/>
          <w:rtl/>
          <w:lang w:bidi="ar-EG"/>
        </w:rPr>
        <w:t>:</w:t>
      </w:r>
      <w:r>
        <w:rPr>
          <w:rFonts w:hint="cs"/>
          <w:rtl/>
          <w:lang w:bidi="ar-EG"/>
        </w:rPr>
        <w:t xml:space="preserve"> </w:t>
      </w:r>
      <w:r w:rsidR="00E050E3">
        <w:rPr>
          <w:rFonts w:hint="cs"/>
          <w:rtl/>
          <w:lang w:bidi="ar-EG"/>
        </w:rPr>
        <w:t>تعريف دقة خاتم التوقيت لمستقبلات المراقبة الراديوية</w:t>
      </w:r>
    </w:p>
    <w:p w:rsidR="00E050E3" w:rsidRDefault="004B74B4" w:rsidP="004B74B4">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rtl/>
          <w:lang w:bidi="ar-EG"/>
        </w:rPr>
      </w:pPr>
      <w:r>
        <w:rPr>
          <w:rFonts w:hint="cs"/>
          <w:rtl/>
          <w:lang w:bidi="ar-EG"/>
        </w:rPr>
        <w:t>-</w:t>
      </w:r>
      <w:r>
        <w:rPr>
          <w:rFonts w:hint="cs"/>
          <w:rtl/>
          <w:lang w:bidi="ar-EG"/>
        </w:rPr>
        <w:tab/>
      </w:r>
      <w:r w:rsidR="00E050E3">
        <w:rPr>
          <w:rFonts w:hint="cs"/>
          <w:rtl/>
          <w:lang w:bidi="ar-EG"/>
        </w:rPr>
        <w:t>الملحق </w:t>
      </w:r>
      <w:r w:rsidR="00E050E3">
        <w:rPr>
          <w:lang w:bidi="ar-EG"/>
        </w:rPr>
        <w:t>2</w:t>
      </w:r>
      <w:r w:rsidR="00E050E3">
        <w:rPr>
          <w:rFonts w:hint="cs"/>
          <w:rtl/>
          <w:lang w:bidi="ar-EG"/>
        </w:rPr>
        <w:t>:</w:t>
      </w:r>
      <w:r>
        <w:rPr>
          <w:rFonts w:hint="cs"/>
          <w:rtl/>
          <w:lang w:bidi="ar-EG"/>
        </w:rPr>
        <w:t xml:space="preserve"> </w:t>
      </w:r>
      <w:r w:rsidR="00E050E3">
        <w:rPr>
          <w:rFonts w:hint="cs"/>
          <w:rtl/>
          <w:lang w:bidi="ar-EG"/>
        </w:rPr>
        <w:t>أمثلة لإجراءات الاختبار لقياس دقة خاتم التوقيت لمستقبلات المراقبة الراديوية</w:t>
      </w:r>
    </w:p>
    <w:p w:rsidR="00E050E3" w:rsidRPr="000266F2" w:rsidRDefault="00E050E3" w:rsidP="000266F2">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600"/>
        <w:rPr>
          <w:rFonts w:asciiTheme="minorHAnsi" w:hAnsiTheme="minorHAnsi"/>
          <w:rtl/>
        </w:rPr>
      </w:pPr>
      <w:r w:rsidRPr="000266F2">
        <w:rPr>
          <w:rFonts w:hint="cs"/>
          <w:u w:val="single"/>
          <w:rtl/>
          <w:lang w:bidi="ar-SY"/>
        </w:rPr>
        <w:t xml:space="preserve">مشروع مراجعة التوصية </w:t>
      </w:r>
      <w:r w:rsidRPr="000266F2">
        <w:rPr>
          <w:rFonts w:asciiTheme="minorHAnsi" w:hAnsiTheme="minorHAnsi"/>
          <w:szCs w:val="24"/>
          <w:u w:val="single"/>
        </w:rPr>
        <w:t xml:space="preserve">ITU-R </w:t>
      </w:r>
      <w:proofErr w:type="spellStart"/>
      <w:r w:rsidRPr="000266F2">
        <w:rPr>
          <w:rFonts w:asciiTheme="minorHAnsi" w:hAnsiTheme="minorHAnsi"/>
          <w:szCs w:val="24"/>
          <w:u w:val="single"/>
        </w:rPr>
        <w:t>SM.</w:t>
      </w:r>
      <w:r w:rsidRPr="000266F2">
        <w:rPr>
          <w:szCs w:val="24"/>
          <w:u w:val="single"/>
        </w:rPr>
        <w:t>1880</w:t>
      </w:r>
      <w:proofErr w:type="spellEnd"/>
      <w:r w:rsidRPr="000266F2">
        <w:rPr>
          <w:szCs w:val="24"/>
          <w:u w:val="single"/>
        </w:rPr>
        <w:t>-0</w:t>
      </w:r>
      <w:r w:rsidRPr="000266F2">
        <w:rPr>
          <w:rtl/>
          <w:lang w:bidi="ar-SY"/>
        </w:rPr>
        <w:tab/>
      </w:r>
      <w:r w:rsidRPr="000266F2">
        <w:rPr>
          <w:rFonts w:hint="cs"/>
          <w:rtl/>
          <w:lang w:bidi="ar-SY"/>
        </w:rPr>
        <w:t xml:space="preserve">الوثيقة </w:t>
      </w:r>
      <w:r w:rsidRPr="000266F2">
        <w:rPr>
          <w:rFonts w:asciiTheme="minorHAnsi" w:hAnsiTheme="minorHAnsi"/>
          <w:szCs w:val="24"/>
        </w:rPr>
        <w:t>1/144(</w:t>
      </w:r>
      <w:proofErr w:type="spellStart"/>
      <w:r w:rsidRPr="000266F2">
        <w:rPr>
          <w:rFonts w:asciiTheme="minorHAnsi" w:hAnsiTheme="minorHAnsi"/>
          <w:szCs w:val="24"/>
        </w:rPr>
        <w:t>Rev.1</w:t>
      </w:r>
      <w:proofErr w:type="spellEnd"/>
      <w:r w:rsidRPr="000266F2">
        <w:rPr>
          <w:rFonts w:asciiTheme="minorHAnsi" w:hAnsiTheme="minorHAnsi"/>
          <w:szCs w:val="24"/>
        </w:rPr>
        <w:t>)</w:t>
      </w:r>
    </w:p>
    <w:p w:rsidR="00E050E3" w:rsidRDefault="00E050E3" w:rsidP="00E050E3">
      <w:pPr>
        <w:pStyle w:val="Rectitle"/>
        <w:spacing w:before="360"/>
        <w:rPr>
          <w:rtl/>
        </w:rPr>
      </w:pPr>
      <w:r>
        <w:rPr>
          <w:rFonts w:hint="cs"/>
          <w:rtl/>
        </w:rPr>
        <w:t>قياسات شغل الطيف</w:t>
      </w:r>
    </w:p>
    <w:p w:rsidR="00E050E3" w:rsidRPr="000266F2" w:rsidRDefault="00E050E3" w:rsidP="00E050E3">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rtl/>
          <w:lang w:bidi="ar-EG"/>
        </w:rPr>
      </w:pPr>
      <w:r w:rsidRPr="000266F2">
        <w:rPr>
          <w:rFonts w:asciiTheme="minorHAnsi" w:hAnsiTheme="minorHAnsi" w:hint="cs"/>
          <w:rtl/>
        </w:rPr>
        <w:t xml:space="preserve">الغرض من مشروع مراجعة التوصية </w:t>
      </w:r>
      <w:r w:rsidRPr="000266F2">
        <w:rPr>
          <w:rFonts w:asciiTheme="minorHAnsi" w:hAnsiTheme="minorHAnsi"/>
          <w:szCs w:val="24"/>
          <w:u w:val="single"/>
        </w:rPr>
        <w:t xml:space="preserve">ITU-R </w:t>
      </w:r>
      <w:proofErr w:type="spellStart"/>
      <w:r w:rsidRPr="000266F2">
        <w:rPr>
          <w:rFonts w:asciiTheme="minorHAnsi" w:hAnsiTheme="minorHAnsi"/>
          <w:szCs w:val="24"/>
          <w:u w:val="single"/>
        </w:rPr>
        <w:t>SM.</w:t>
      </w:r>
      <w:r w:rsidRPr="000266F2">
        <w:rPr>
          <w:szCs w:val="24"/>
          <w:u w:val="single"/>
        </w:rPr>
        <w:t>1880</w:t>
      </w:r>
      <w:proofErr w:type="spellEnd"/>
      <w:r w:rsidRPr="000266F2">
        <w:rPr>
          <w:szCs w:val="24"/>
          <w:u w:val="single"/>
        </w:rPr>
        <w:t>-0</w:t>
      </w:r>
      <w:r w:rsidRPr="000266F2">
        <w:rPr>
          <w:rFonts w:hint="cs"/>
          <w:rtl/>
        </w:rPr>
        <w:t xml:space="preserve"> بشكل خاص استكمال القسم </w:t>
      </w:r>
      <w:r w:rsidRPr="000266F2">
        <w:t>4.3</w:t>
      </w:r>
      <w:r w:rsidRPr="000266F2">
        <w:rPr>
          <w:rFonts w:hint="cs"/>
          <w:rtl/>
          <w:lang w:bidi="ar-EG"/>
        </w:rPr>
        <w:t xml:space="preserve"> بشأن الدقة ومستوى الثقة الإحصائية والعدد المطلوب من العينات. كما أضيفت كلمات رئيسية.</w:t>
      </w:r>
    </w:p>
    <w:p w:rsidR="00E050E3" w:rsidRPr="000266F2" w:rsidRDefault="00E050E3" w:rsidP="000266F2">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600"/>
        <w:rPr>
          <w:rFonts w:asciiTheme="minorHAnsi" w:hAnsiTheme="minorHAnsi"/>
          <w:rtl/>
        </w:rPr>
      </w:pPr>
      <w:r w:rsidRPr="000266F2">
        <w:rPr>
          <w:rFonts w:hint="cs"/>
          <w:u w:val="single"/>
          <w:rtl/>
          <w:lang w:bidi="ar-SY"/>
        </w:rPr>
        <w:t xml:space="preserve">مشروع مراجعة التوصية </w:t>
      </w:r>
      <w:r w:rsidRPr="000266F2">
        <w:rPr>
          <w:rFonts w:asciiTheme="minorHAnsi" w:hAnsiTheme="minorHAnsi"/>
          <w:szCs w:val="24"/>
          <w:u w:val="single"/>
        </w:rPr>
        <w:t xml:space="preserve">ITU-R </w:t>
      </w:r>
      <w:proofErr w:type="spellStart"/>
      <w:r w:rsidRPr="000266F2">
        <w:rPr>
          <w:rFonts w:asciiTheme="minorHAnsi" w:hAnsiTheme="minorHAnsi"/>
          <w:szCs w:val="24"/>
          <w:u w:val="single"/>
        </w:rPr>
        <w:t>SM.</w:t>
      </w:r>
      <w:r w:rsidRPr="000266F2">
        <w:rPr>
          <w:szCs w:val="24"/>
          <w:u w:val="single"/>
        </w:rPr>
        <w:t>1600</w:t>
      </w:r>
      <w:proofErr w:type="spellEnd"/>
      <w:r w:rsidRPr="000266F2">
        <w:rPr>
          <w:szCs w:val="24"/>
          <w:u w:val="single"/>
        </w:rPr>
        <w:t>-1</w:t>
      </w:r>
      <w:r w:rsidRPr="000266F2">
        <w:rPr>
          <w:rtl/>
          <w:lang w:bidi="ar-SY"/>
        </w:rPr>
        <w:tab/>
      </w:r>
      <w:r w:rsidRPr="000266F2">
        <w:rPr>
          <w:rFonts w:hint="cs"/>
          <w:rtl/>
          <w:lang w:bidi="ar-SY"/>
        </w:rPr>
        <w:t xml:space="preserve">الوثيقة </w:t>
      </w:r>
      <w:r w:rsidRPr="000266F2">
        <w:rPr>
          <w:rFonts w:asciiTheme="minorHAnsi" w:hAnsiTheme="minorHAnsi"/>
          <w:szCs w:val="24"/>
        </w:rPr>
        <w:t>1/145(</w:t>
      </w:r>
      <w:proofErr w:type="spellStart"/>
      <w:r w:rsidRPr="000266F2">
        <w:rPr>
          <w:rFonts w:asciiTheme="minorHAnsi" w:hAnsiTheme="minorHAnsi"/>
          <w:szCs w:val="24"/>
        </w:rPr>
        <w:t>Rev.1</w:t>
      </w:r>
      <w:proofErr w:type="spellEnd"/>
      <w:r w:rsidRPr="000266F2">
        <w:rPr>
          <w:rFonts w:asciiTheme="minorHAnsi" w:hAnsiTheme="minorHAnsi"/>
          <w:szCs w:val="24"/>
        </w:rPr>
        <w:t>)</w:t>
      </w:r>
    </w:p>
    <w:p w:rsidR="00E050E3" w:rsidRDefault="00E050E3" w:rsidP="00E050E3">
      <w:pPr>
        <w:pStyle w:val="Rectitle"/>
        <w:spacing w:before="360"/>
        <w:rPr>
          <w:rtl/>
        </w:rPr>
      </w:pPr>
      <w:r>
        <w:rPr>
          <w:rFonts w:hint="cs"/>
          <w:rtl/>
        </w:rPr>
        <w:t>تعرف الهوية التقني للإشارات الرقمية</w:t>
      </w:r>
    </w:p>
    <w:p w:rsidR="00E050E3" w:rsidRPr="000266F2" w:rsidRDefault="00E050E3" w:rsidP="00D479F8">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rtl/>
          <w:lang w:bidi="ar-EG"/>
        </w:rPr>
      </w:pPr>
      <w:r w:rsidRPr="000266F2">
        <w:rPr>
          <w:rFonts w:asciiTheme="minorHAnsi" w:hAnsiTheme="minorHAnsi" w:hint="cs"/>
          <w:rtl/>
        </w:rPr>
        <w:t xml:space="preserve">اعتمدت التوصية </w:t>
      </w:r>
      <w:r w:rsidRPr="00D479F8">
        <w:rPr>
          <w:rFonts w:asciiTheme="minorHAnsi" w:hAnsiTheme="minorHAnsi"/>
          <w:szCs w:val="24"/>
        </w:rPr>
        <w:t xml:space="preserve">ITU-R </w:t>
      </w:r>
      <w:proofErr w:type="spellStart"/>
      <w:r w:rsidRPr="00D479F8">
        <w:rPr>
          <w:rFonts w:asciiTheme="minorHAnsi" w:hAnsiTheme="minorHAnsi"/>
          <w:szCs w:val="24"/>
        </w:rPr>
        <w:t>SM.</w:t>
      </w:r>
      <w:r w:rsidRPr="00D479F8">
        <w:rPr>
          <w:szCs w:val="24"/>
        </w:rPr>
        <w:t>1600</w:t>
      </w:r>
      <w:proofErr w:type="spellEnd"/>
      <w:r w:rsidRPr="000266F2">
        <w:rPr>
          <w:rFonts w:hint="cs"/>
          <w:rtl/>
        </w:rPr>
        <w:t xml:space="preserve"> </w:t>
      </w:r>
      <w:r w:rsidR="007428F7" w:rsidRPr="000266F2">
        <w:rPr>
          <w:rFonts w:hint="cs"/>
          <w:rtl/>
        </w:rPr>
        <w:t>أساساً في </w:t>
      </w:r>
      <w:r w:rsidR="007428F7" w:rsidRPr="000266F2">
        <w:t>2002</w:t>
      </w:r>
      <w:r w:rsidR="007428F7" w:rsidRPr="000266F2">
        <w:rPr>
          <w:rFonts w:hint="cs"/>
          <w:rtl/>
          <w:lang w:bidi="ar-EG"/>
        </w:rPr>
        <w:t xml:space="preserve"> للتوصية بتقنيات ينبغي للإدارات النظر في استعمالها من أجل </w:t>
      </w:r>
      <w:r w:rsidR="007428F7" w:rsidRPr="000266F2">
        <w:rPr>
          <w:rFonts w:hint="cs"/>
          <w:rtl/>
        </w:rPr>
        <w:t xml:space="preserve">تعرف الهوية التقني للإشارات الرقمية. وقد خضعت التوصية لتنقيح شامل بعد جهود كبيرة خلال عدة سنوات أفضت إلى مراجعة للتوصية، أي التوصية </w:t>
      </w:r>
      <w:r w:rsidR="007428F7" w:rsidRPr="00D479F8">
        <w:rPr>
          <w:rFonts w:asciiTheme="minorHAnsi" w:hAnsiTheme="minorHAnsi"/>
          <w:szCs w:val="24"/>
        </w:rPr>
        <w:t xml:space="preserve">ITU-R </w:t>
      </w:r>
      <w:proofErr w:type="spellStart"/>
      <w:r w:rsidR="007428F7" w:rsidRPr="00D479F8">
        <w:rPr>
          <w:rFonts w:asciiTheme="minorHAnsi" w:hAnsiTheme="minorHAnsi"/>
          <w:szCs w:val="24"/>
        </w:rPr>
        <w:t>SM.</w:t>
      </w:r>
      <w:r w:rsidR="007428F7" w:rsidRPr="00D479F8">
        <w:rPr>
          <w:szCs w:val="24"/>
        </w:rPr>
        <w:t>1600</w:t>
      </w:r>
      <w:proofErr w:type="spellEnd"/>
      <w:r w:rsidR="007428F7" w:rsidRPr="00D479F8">
        <w:rPr>
          <w:szCs w:val="24"/>
        </w:rPr>
        <w:t>-1</w:t>
      </w:r>
      <w:r w:rsidR="007428F7" w:rsidRPr="000266F2">
        <w:rPr>
          <w:rFonts w:hint="cs"/>
          <w:rtl/>
          <w:lang w:bidi="ar-EG"/>
        </w:rPr>
        <w:t xml:space="preserve"> التي اعتمدت في </w:t>
      </w:r>
      <w:r w:rsidR="007428F7" w:rsidRPr="000266F2">
        <w:rPr>
          <w:lang w:bidi="ar-EG"/>
        </w:rPr>
        <w:t>2012</w:t>
      </w:r>
      <w:r w:rsidR="007428F7" w:rsidRPr="000266F2">
        <w:rPr>
          <w:rFonts w:hint="cs"/>
          <w:rtl/>
          <w:lang w:bidi="ar-EG"/>
        </w:rPr>
        <w:t>.</w:t>
      </w:r>
    </w:p>
    <w:p w:rsidR="007428F7" w:rsidRPr="000266F2" w:rsidRDefault="007428F7" w:rsidP="00D479F8">
      <w:pPr>
        <w:rPr>
          <w:rtl/>
          <w:lang w:bidi="ar-EG"/>
        </w:rPr>
      </w:pPr>
      <w:r w:rsidRPr="000266F2">
        <w:rPr>
          <w:rFonts w:hint="cs"/>
          <w:rtl/>
          <w:lang w:bidi="ar-EG"/>
        </w:rPr>
        <w:t xml:space="preserve">والغرض الأساسي من تعرف هوية الإشارة المحدد في التوصية </w:t>
      </w:r>
      <w:r w:rsidRPr="00D479F8">
        <w:rPr>
          <w:rFonts w:asciiTheme="minorHAnsi" w:hAnsiTheme="minorHAnsi"/>
          <w:szCs w:val="24"/>
        </w:rPr>
        <w:t xml:space="preserve">ITU-R </w:t>
      </w:r>
      <w:proofErr w:type="spellStart"/>
      <w:r w:rsidRPr="00D479F8">
        <w:rPr>
          <w:rFonts w:asciiTheme="minorHAnsi" w:hAnsiTheme="minorHAnsi"/>
          <w:szCs w:val="24"/>
        </w:rPr>
        <w:t>SM.</w:t>
      </w:r>
      <w:r w:rsidRPr="00D479F8">
        <w:rPr>
          <w:szCs w:val="24"/>
        </w:rPr>
        <w:t>1600</w:t>
      </w:r>
      <w:proofErr w:type="spellEnd"/>
      <w:r w:rsidRPr="00D479F8">
        <w:rPr>
          <w:szCs w:val="24"/>
        </w:rPr>
        <w:t>-1</w:t>
      </w:r>
      <w:r w:rsidRPr="000266F2">
        <w:rPr>
          <w:rFonts w:hint="cs"/>
          <w:rtl/>
        </w:rPr>
        <w:t>، تمكين هيئة التنظيم من تحديد ما إذا كان البث المرصود يستعمل نسق الإشارة المرخص به للنطاق المعني. ويشرح الملحق </w:t>
      </w:r>
      <w:r w:rsidRPr="000266F2">
        <w:t>1</w:t>
      </w:r>
      <w:r w:rsidRPr="000266F2">
        <w:rPr>
          <w:rFonts w:hint="cs"/>
          <w:rtl/>
          <w:lang w:bidi="ar-EG"/>
        </w:rPr>
        <w:t xml:space="preserve"> بالتوصية </w:t>
      </w:r>
      <w:r w:rsidRPr="00D479F8">
        <w:rPr>
          <w:rFonts w:asciiTheme="minorHAnsi" w:hAnsiTheme="minorHAnsi"/>
          <w:szCs w:val="24"/>
        </w:rPr>
        <w:t xml:space="preserve">ITU-R </w:t>
      </w:r>
      <w:proofErr w:type="spellStart"/>
      <w:r w:rsidRPr="00D479F8">
        <w:rPr>
          <w:rFonts w:asciiTheme="minorHAnsi" w:hAnsiTheme="minorHAnsi"/>
          <w:szCs w:val="24"/>
        </w:rPr>
        <w:t>SM.</w:t>
      </w:r>
      <w:r w:rsidRPr="00D479F8">
        <w:rPr>
          <w:szCs w:val="24"/>
        </w:rPr>
        <w:t>1600</w:t>
      </w:r>
      <w:proofErr w:type="spellEnd"/>
      <w:r w:rsidRPr="00D479F8">
        <w:rPr>
          <w:szCs w:val="24"/>
        </w:rPr>
        <w:t>-1</w:t>
      </w:r>
      <w:r w:rsidRPr="000266F2">
        <w:rPr>
          <w:rFonts w:hint="cs"/>
          <w:rtl/>
        </w:rPr>
        <w:t xml:space="preserve"> </w:t>
      </w:r>
      <w:r w:rsidR="007302E4" w:rsidRPr="000266F2">
        <w:rPr>
          <w:rFonts w:hint="cs"/>
          <w:rtl/>
        </w:rPr>
        <w:t>تحليل متجه الإشارة </w:t>
      </w:r>
      <w:r w:rsidR="007302E4" w:rsidRPr="000266F2">
        <w:t>(</w:t>
      </w:r>
      <w:proofErr w:type="spellStart"/>
      <w:r w:rsidR="007302E4" w:rsidRPr="000266F2">
        <w:t>VSA</w:t>
      </w:r>
      <w:proofErr w:type="spellEnd"/>
      <w:r w:rsidR="007302E4" w:rsidRPr="000266F2">
        <w:t>)</w:t>
      </w:r>
      <w:r w:rsidR="007302E4" w:rsidRPr="000266F2">
        <w:rPr>
          <w:rFonts w:hint="cs"/>
          <w:rtl/>
          <w:lang w:bidi="ar-EG"/>
        </w:rPr>
        <w:t xml:space="preserve"> لتعرف الهوية عبر خصائص شكل الموجة، حيث يفضي إلى مجموعة من القيم المقاسة من الإشارة. بيد أن التوصية</w:t>
      </w:r>
      <w:r w:rsidR="007302E4" w:rsidRPr="000266F2">
        <w:rPr>
          <w:rFonts w:hint="eastAsia"/>
          <w:rtl/>
          <w:lang w:bidi="ar-EG"/>
        </w:rPr>
        <w:t> </w:t>
      </w:r>
      <w:r w:rsidR="007302E4" w:rsidRPr="00D479F8">
        <w:rPr>
          <w:rFonts w:asciiTheme="minorHAnsi" w:hAnsiTheme="minorHAnsi"/>
          <w:szCs w:val="24"/>
        </w:rPr>
        <w:t xml:space="preserve">ITU-R </w:t>
      </w:r>
      <w:proofErr w:type="spellStart"/>
      <w:r w:rsidR="007302E4" w:rsidRPr="00D479F8">
        <w:rPr>
          <w:rFonts w:asciiTheme="minorHAnsi" w:hAnsiTheme="minorHAnsi"/>
          <w:szCs w:val="24"/>
        </w:rPr>
        <w:t>SM.</w:t>
      </w:r>
      <w:r w:rsidR="007302E4" w:rsidRPr="00D479F8">
        <w:rPr>
          <w:szCs w:val="24"/>
        </w:rPr>
        <w:t>1600</w:t>
      </w:r>
      <w:proofErr w:type="spellEnd"/>
      <w:r w:rsidR="007302E4" w:rsidRPr="00D479F8">
        <w:rPr>
          <w:szCs w:val="24"/>
        </w:rPr>
        <w:t>-1</w:t>
      </w:r>
      <w:r w:rsidR="007302E4" w:rsidRPr="000266F2">
        <w:rPr>
          <w:rFonts w:hint="cs"/>
          <w:rtl/>
        </w:rPr>
        <w:t xml:space="preserve"> لا توصي بأي طريقة يمكن من خلالها </w:t>
      </w:r>
      <w:r w:rsidR="00A71F2B" w:rsidRPr="000266F2">
        <w:rPr>
          <w:rFonts w:hint="cs"/>
          <w:rtl/>
        </w:rPr>
        <w:t>استعمال خصائص الإشارة المحددة سلفاً المقابلة لأنساق مختلفة للإشارة من جانب مشغل عادي لكي يعرف بسهولة هوية نوع إشارة محددة. ولما كان هذا الأمر هدفاً لهيئة التنظيم، تقدم في هذه المراجعة المقترحة طريقة لتعرف هوية الإشارة من نتائج تحليل متجه</w:t>
      </w:r>
      <w:r w:rsidR="00D479F8">
        <w:rPr>
          <w:rFonts w:hint="eastAsia"/>
          <w:rtl/>
        </w:rPr>
        <w:t> </w:t>
      </w:r>
      <w:r w:rsidR="00A71F2B" w:rsidRPr="000266F2">
        <w:rPr>
          <w:rFonts w:hint="cs"/>
          <w:rtl/>
        </w:rPr>
        <w:t>الإشارة.</w:t>
      </w:r>
    </w:p>
    <w:p w:rsidR="00A71F2B" w:rsidRPr="000266F2" w:rsidRDefault="00A71F2B" w:rsidP="00A71F2B">
      <w:pPr>
        <w:rPr>
          <w:rtl/>
          <w:lang w:bidi="ar-EG"/>
        </w:rPr>
      </w:pPr>
      <w:r w:rsidRPr="000266F2">
        <w:rPr>
          <w:rFonts w:hint="cs"/>
          <w:rtl/>
          <w:lang w:bidi="ar-EG"/>
        </w:rPr>
        <w:t>وينبغي لطريقة تعرف هوية الإشارة أن تمكن المشغل من أن يقرر بصورة فعالة ما إذا كانت الإشارة تتسق مع النوع المرغوب. ويمكن استعمال مكتبة لنماذج الإشارات (أو تشكيلات محددة سلفاً) لبيان أي من خصائص شكل موجة محددة ستعرف الإشارة بشكل إيجابي.</w:t>
      </w:r>
    </w:p>
    <w:p w:rsidR="00A71F2B" w:rsidRPr="000266F2" w:rsidRDefault="00C52C0A" w:rsidP="00A71F2B">
      <w:pPr>
        <w:rPr>
          <w:rtl/>
          <w:lang w:bidi="ar-EG"/>
        </w:rPr>
      </w:pPr>
      <w:r w:rsidRPr="000266F2">
        <w:rPr>
          <w:rFonts w:hint="cs"/>
          <w:rtl/>
          <w:lang w:bidi="ar-EG"/>
        </w:rPr>
        <w:lastRenderedPageBreak/>
        <w:t>ومن خلال استعمال نموذج إشارة مشكل سلفاً، يمكن للمشغل اختيار نوع الإشارة المرغوبة وأن يزود بمجموعة من القياسات والنتائج المتوقعة المناسبة للإشارة. ويمكن للمشغل بعد ذلك أن يقرر ببساطة ما إذا كانت البيانات </w:t>
      </w:r>
      <w:r w:rsidRPr="000266F2">
        <w:rPr>
          <w:lang w:bidi="ar-EG"/>
        </w:rPr>
        <w:t>I/Q</w:t>
      </w:r>
      <w:r w:rsidRPr="000266F2">
        <w:rPr>
          <w:rFonts w:hint="cs"/>
          <w:rtl/>
          <w:lang w:bidi="ar-EG"/>
        </w:rPr>
        <w:t xml:space="preserve"> المجمعة تتسق مع نوع الإشارة المرخصة للنطاق.</w:t>
      </w:r>
    </w:p>
    <w:p w:rsidR="00C52C0A" w:rsidRPr="000266F2" w:rsidRDefault="00C52C0A" w:rsidP="00A71F2B">
      <w:pPr>
        <w:rPr>
          <w:lang w:bidi="ar-EG"/>
        </w:rPr>
      </w:pPr>
      <w:r w:rsidRPr="000266F2">
        <w:rPr>
          <w:rFonts w:hint="cs"/>
          <w:rtl/>
          <w:lang w:bidi="ar-EG"/>
        </w:rPr>
        <w:t xml:space="preserve">ولم تدخل أي تغييرات على التوصية </w:t>
      </w:r>
      <w:r w:rsidRPr="000266F2">
        <w:rPr>
          <w:szCs w:val="24"/>
        </w:rPr>
        <w:t xml:space="preserve">ITU-R </w:t>
      </w:r>
      <w:proofErr w:type="spellStart"/>
      <w:r w:rsidRPr="000266F2">
        <w:rPr>
          <w:szCs w:val="24"/>
        </w:rPr>
        <w:t>SM.1600</w:t>
      </w:r>
      <w:proofErr w:type="spellEnd"/>
      <w:r w:rsidRPr="000266F2">
        <w:rPr>
          <w:szCs w:val="24"/>
        </w:rPr>
        <w:t>-1</w:t>
      </w:r>
      <w:r w:rsidRPr="000266F2">
        <w:rPr>
          <w:rFonts w:hint="cs"/>
          <w:rtl/>
        </w:rPr>
        <w:t xml:space="preserve"> بعد الفقرة الأولى من القسم </w:t>
      </w:r>
      <w:r w:rsidRPr="000266F2">
        <w:t>3</w:t>
      </w:r>
      <w:r w:rsidRPr="000266F2">
        <w:rPr>
          <w:rFonts w:hint="cs"/>
          <w:rtl/>
          <w:lang w:bidi="ar-EG"/>
        </w:rPr>
        <w:t>أ.</w:t>
      </w:r>
    </w:p>
    <w:p w:rsidR="00C52C0A" w:rsidRPr="000266F2" w:rsidRDefault="00C52C0A" w:rsidP="000266F2">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600"/>
        <w:rPr>
          <w:rFonts w:asciiTheme="minorHAnsi" w:hAnsiTheme="minorHAnsi"/>
          <w:rtl/>
        </w:rPr>
      </w:pPr>
      <w:r w:rsidRPr="000266F2">
        <w:rPr>
          <w:rFonts w:hint="cs"/>
          <w:u w:val="single"/>
          <w:rtl/>
          <w:lang w:bidi="ar-SY"/>
        </w:rPr>
        <w:t xml:space="preserve">مشروع مراجعة التوصية </w:t>
      </w:r>
      <w:r w:rsidRPr="000266F2">
        <w:rPr>
          <w:rFonts w:asciiTheme="minorHAnsi" w:hAnsiTheme="minorHAnsi"/>
          <w:szCs w:val="24"/>
          <w:u w:val="single"/>
        </w:rPr>
        <w:t xml:space="preserve">ITU-R </w:t>
      </w:r>
      <w:proofErr w:type="spellStart"/>
      <w:r w:rsidRPr="000266F2">
        <w:rPr>
          <w:rFonts w:asciiTheme="minorHAnsi" w:hAnsiTheme="minorHAnsi"/>
          <w:szCs w:val="24"/>
          <w:u w:val="single"/>
        </w:rPr>
        <w:t>SM.</w:t>
      </w:r>
      <w:r w:rsidRPr="000266F2">
        <w:rPr>
          <w:szCs w:val="24"/>
          <w:u w:val="single"/>
        </w:rPr>
        <w:t>1541</w:t>
      </w:r>
      <w:proofErr w:type="spellEnd"/>
      <w:r w:rsidRPr="000266F2">
        <w:rPr>
          <w:szCs w:val="24"/>
          <w:u w:val="single"/>
        </w:rPr>
        <w:t>-5</w:t>
      </w:r>
      <w:r w:rsidRPr="000266F2">
        <w:rPr>
          <w:rtl/>
          <w:lang w:bidi="ar-SY"/>
        </w:rPr>
        <w:tab/>
      </w:r>
      <w:r w:rsidRPr="000266F2">
        <w:rPr>
          <w:rFonts w:hint="cs"/>
          <w:rtl/>
          <w:lang w:bidi="ar-SY"/>
        </w:rPr>
        <w:t xml:space="preserve">الوثيقة </w:t>
      </w:r>
      <w:r w:rsidRPr="000266F2">
        <w:rPr>
          <w:rFonts w:asciiTheme="minorHAnsi" w:hAnsiTheme="minorHAnsi"/>
          <w:szCs w:val="24"/>
        </w:rPr>
        <w:t>1/148(</w:t>
      </w:r>
      <w:proofErr w:type="spellStart"/>
      <w:r w:rsidRPr="000266F2">
        <w:rPr>
          <w:rFonts w:asciiTheme="minorHAnsi" w:hAnsiTheme="minorHAnsi"/>
          <w:szCs w:val="24"/>
        </w:rPr>
        <w:t>Rev.1</w:t>
      </w:r>
      <w:proofErr w:type="spellEnd"/>
      <w:r w:rsidRPr="000266F2">
        <w:rPr>
          <w:rFonts w:asciiTheme="minorHAnsi" w:hAnsiTheme="minorHAnsi"/>
          <w:szCs w:val="24"/>
        </w:rPr>
        <w:t>)</w:t>
      </w:r>
    </w:p>
    <w:p w:rsidR="00C52C0A" w:rsidRDefault="00C52C0A" w:rsidP="00C52C0A">
      <w:pPr>
        <w:pStyle w:val="Rectitle"/>
        <w:spacing w:before="360"/>
        <w:rPr>
          <w:rtl/>
        </w:rPr>
      </w:pPr>
      <w:r>
        <w:rPr>
          <w:rFonts w:hint="cs"/>
          <w:rtl/>
        </w:rPr>
        <w:t>البث غير المطلوب في مجال البث خارج النطاق</w:t>
      </w:r>
    </w:p>
    <w:p w:rsidR="00C52C0A" w:rsidRPr="000266F2" w:rsidRDefault="00C52C0A" w:rsidP="00C52C0A">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rtl/>
          <w:lang w:bidi="ar-EG"/>
        </w:rPr>
      </w:pPr>
      <w:r w:rsidRPr="000266F2">
        <w:rPr>
          <w:rFonts w:asciiTheme="minorHAnsi" w:hAnsiTheme="minorHAnsi" w:hint="cs"/>
          <w:rtl/>
        </w:rPr>
        <w:t xml:space="preserve">تقدم التوصية </w:t>
      </w:r>
      <w:hyperlink r:id="rId15" w:history="1">
        <w:r w:rsidRPr="000266F2">
          <w:rPr>
            <w:rStyle w:val="Hyperlink"/>
            <w:rFonts w:asciiTheme="minorHAnsi" w:hAnsiTheme="minorHAnsi"/>
            <w:color w:val="auto"/>
            <w:szCs w:val="24"/>
          </w:rPr>
          <w:t xml:space="preserve">ITU-R </w:t>
        </w:r>
        <w:proofErr w:type="spellStart"/>
        <w:r w:rsidRPr="000266F2">
          <w:rPr>
            <w:rStyle w:val="Hyperlink"/>
            <w:rFonts w:asciiTheme="minorHAnsi" w:hAnsiTheme="minorHAnsi"/>
            <w:color w:val="auto"/>
            <w:szCs w:val="24"/>
          </w:rPr>
          <w:t>SM.1541</w:t>
        </w:r>
        <w:proofErr w:type="spellEnd"/>
        <w:r w:rsidRPr="000266F2">
          <w:rPr>
            <w:rStyle w:val="Hyperlink"/>
            <w:rFonts w:asciiTheme="minorHAnsi" w:hAnsiTheme="minorHAnsi"/>
            <w:color w:val="auto"/>
            <w:szCs w:val="24"/>
          </w:rPr>
          <w:t>-5</w:t>
        </w:r>
      </w:hyperlink>
      <w:r w:rsidRPr="000266F2">
        <w:rPr>
          <w:rFonts w:hint="cs"/>
          <w:rtl/>
        </w:rPr>
        <w:t xml:space="preserve"> حدود البث في مجال البث خارج النطاق</w:t>
      </w:r>
      <w:r w:rsidR="00D479F8">
        <w:rPr>
          <w:rFonts w:hint="eastAsia"/>
          <w:rtl/>
        </w:rPr>
        <w:t> </w:t>
      </w:r>
      <w:r w:rsidR="00D479F8">
        <w:t>(</w:t>
      </w:r>
      <w:proofErr w:type="spellStart"/>
      <w:r w:rsidR="00D479F8">
        <w:t>OoB</w:t>
      </w:r>
      <w:proofErr w:type="spellEnd"/>
      <w:r w:rsidR="00D479F8">
        <w:t>)</w:t>
      </w:r>
      <w:r w:rsidRPr="000266F2">
        <w:rPr>
          <w:rFonts w:hint="cs"/>
          <w:rtl/>
        </w:rPr>
        <w:t xml:space="preserve"> للمرسلات العاملة في مدى الترددات </w:t>
      </w:r>
      <w:r w:rsidRPr="000266F2">
        <w:t>GHz 300</w:t>
      </w:r>
      <w:r w:rsidRPr="000266F2">
        <w:noBreakHyphen/>
        <w:t>kHz 9</w:t>
      </w:r>
      <w:r w:rsidRPr="000266F2">
        <w:rPr>
          <w:rFonts w:hint="cs"/>
          <w:rtl/>
          <w:lang w:bidi="ar-EG"/>
        </w:rPr>
        <w:t>.</w:t>
      </w:r>
    </w:p>
    <w:p w:rsidR="00C52C0A" w:rsidRPr="000266F2" w:rsidRDefault="00C52C0A" w:rsidP="00C52C0A">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rtl/>
        </w:rPr>
      </w:pPr>
      <w:r w:rsidRPr="000266F2">
        <w:rPr>
          <w:rFonts w:hint="cs"/>
          <w:rtl/>
          <w:lang w:bidi="ar-EG"/>
        </w:rPr>
        <w:t>ومع مراعاة أن الإذاعة التلفزيونية الرقمية للأرض متعددة الوسائط </w:t>
      </w:r>
      <w:r w:rsidRPr="000266F2">
        <w:rPr>
          <w:lang w:bidi="ar-EG"/>
        </w:rPr>
        <w:t>(</w:t>
      </w:r>
      <w:proofErr w:type="spellStart"/>
      <w:r w:rsidRPr="000266F2">
        <w:rPr>
          <w:lang w:bidi="ar-EG"/>
        </w:rPr>
        <w:t>DTMB</w:t>
      </w:r>
      <w:proofErr w:type="spellEnd"/>
      <w:r w:rsidRPr="000266F2">
        <w:rPr>
          <w:lang w:bidi="ar-EG"/>
        </w:rPr>
        <w:t>)</w:t>
      </w:r>
      <w:r w:rsidRPr="000266F2">
        <w:rPr>
          <w:rFonts w:hint="cs"/>
          <w:rtl/>
          <w:lang w:bidi="ar-EG"/>
        </w:rPr>
        <w:t xml:space="preserve"> قد أدرجت في التوصية </w:t>
      </w:r>
      <w:r w:rsidRPr="000266F2">
        <w:rPr>
          <w:rFonts w:asciiTheme="minorHAnsi" w:hAnsiTheme="minorHAnsi"/>
          <w:szCs w:val="24"/>
        </w:rPr>
        <w:t xml:space="preserve">ITU-R </w:t>
      </w:r>
      <w:proofErr w:type="spellStart"/>
      <w:r w:rsidRPr="000266F2">
        <w:rPr>
          <w:rFonts w:asciiTheme="minorHAnsi" w:hAnsiTheme="minorHAnsi"/>
          <w:szCs w:val="24"/>
        </w:rPr>
        <w:t>BT.1306</w:t>
      </w:r>
      <w:proofErr w:type="spellEnd"/>
      <w:r w:rsidRPr="000266F2">
        <w:rPr>
          <w:rFonts w:asciiTheme="minorHAnsi" w:hAnsiTheme="minorHAnsi"/>
          <w:szCs w:val="24"/>
        </w:rPr>
        <w:t>-6</w:t>
      </w:r>
      <w:r w:rsidRPr="000266F2">
        <w:rPr>
          <w:rFonts w:hint="cs"/>
          <w:rtl/>
        </w:rPr>
        <w:t xml:space="preserve">، فإن الغرض من مشروع هذه المراجعة للتوصية </w:t>
      </w:r>
      <w:r w:rsidRPr="000266F2">
        <w:rPr>
          <w:rStyle w:val="href"/>
          <w:rFonts w:asciiTheme="minorHAnsi" w:hAnsiTheme="minorHAnsi"/>
          <w:szCs w:val="24"/>
        </w:rPr>
        <w:t xml:space="preserve">ITU-R </w:t>
      </w:r>
      <w:proofErr w:type="spellStart"/>
      <w:r w:rsidRPr="000266F2">
        <w:rPr>
          <w:rStyle w:val="href"/>
          <w:rFonts w:asciiTheme="minorHAnsi" w:hAnsiTheme="minorHAnsi"/>
          <w:szCs w:val="24"/>
        </w:rPr>
        <w:t>SM.1541</w:t>
      </w:r>
      <w:proofErr w:type="spellEnd"/>
      <w:r w:rsidRPr="000266F2">
        <w:rPr>
          <w:rStyle w:val="href"/>
          <w:rFonts w:asciiTheme="minorHAnsi" w:hAnsiTheme="minorHAnsi"/>
          <w:szCs w:val="24"/>
        </w:rPr>
        <w:t>-5</w:t>
      </w:r>
      <w:r w:rsidRPr="000266F2">
        <w:rPr>
          <w:rFonts w:hint="cs"/>
          <w:rtl/>
        </w:rPr>
        <w:t xml:space="preserve"> يتمثل في طرح أقنعة حدية طيفية للنظام </w:t>
      </w:r>
      <w:proofErr w:type="spellStart"/>
      <w:r w:rsidRPr="000266F2">
        <w:t>DTMB</w:t>
      </w:r>
      <w:proofErr w:type="spellEnd"/>
      <w:r w:rsidRPr="000266F2">
        <w:rPr>
          <w:rFonts w:hint="cs"/>
          <w:rtl/>
          <w:lang w:bidi="ar-EG"/>
        </w:rPr>
        <w:t xml:space="preserve"> في إطار عرض نطاق للقناة</w:t>
      </w:r>
      <w:r w:rsidRPr="000266F2">
        <w:rPr>
          <w:rFonts w:hint="eastAsia"/>
          <w:rtl/>
          <w:lang w:bidi="ar-EG"/>
        </w:rPr>
        <w:t> </w:t>
      </w:r>
      <w:r w:rsidRPr="000266F2">
        <w:rPr>
          <w:lang w:bidi="ar-EG"/>
        </w:rPr>
        <w:t>6</w:t>
      </w:r>
      <w:r w:rsidRPr="000266F2">
        <w:rPr>
          <w:rFonts w:hint="cs"/>
          <w:rtl/>
          <w:lang w:bidi="ar-EG"/>
        </w:rPr>
        <w:t xml:space="preserve"> و</w:t>
      </w:r>
      <w:r w:rsidRPr="000266F2">
        <w:rPr>
          <w:lang w:bidi="ar-EG"/>
        </w:rPr>
        <w:t>7</w:t>
      </w:r>
      <w:r w:rsidRPr="000266F2">
        <w:rPr>
          <w:rFonts w:hint="cs"/>
          <w:rtl/>
          <w:lang w:bidi="ar-EG"/>
        </w:rPr>
        <w:t xml:space="preserve"> و</w:t>
      </w:r>
      <w:r w:rsidRPr="000266F2">
        <w:rPr>
          <w:lang w:bidi="ar-EG"/>
        </w:rPr>
        <w:t>MHz 8</w:t>
      </w:r>
      <w:r w:rsidRPr="000266F2">
        <w:rPr>
          <w:rFonts w:hint="cs"/>
          <w:rtl/>
          <w:lang w:bidi="ar-EG"/>
        </w:rPr>
        <w:t>. ويقترح تعديل الملحق </w:t>
      </w:r>
      <w:r w:rsidRPr="000266F2">
        <w:rPr>
          <w:lang w:bidi="ar-EG"/>
        </w:rPr>
        <w:t>6</w:t>
      </w:r>
      <w:r w:rsidRPr="000266F2">
        <w:rPr>
          <w:rFonts w:hint="cs"/>
          <w:rtl/>
          <w:lang w:bidi="ar-EG"/>
        </w:rPr>
        <w:t xml:space="preserve"> بالتوصية (</w:t>
      </w:r>
      <w:r w:rsidRPr="000266F2">
        <w:rPr>
          <w:rFonts w:hint="cs"/>
          <w:rtl/>
        </w:rPr>
        <w:t>حدود البث في مجال البث خارج النطاق لأنظمة الإذاعة التلفزيونية) بناءً على ذلك.</w:t>
      </w:r>
    </w:p>
    <w:p w:rsidR="00C52C0A" w:rsidRPr="000266F2" w:rsidRDefault="00C52C0A" w:rsidP="00C52C0A">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rtl/>
          <w:lang w:bidi="ar-EG"/>
        </w:rPr>
      </w:pPr>
      <w:r w:rsidRPr="000266F2">
        <w:rPr>
          <w:rFonts w:hint="cs"/>
          <w:rtl/>
        </w:rPr>
        <w:t>ويتعلق مشروع المراجعة بالملحق </w:t>
      </w:r>
      <w:r w:rsidRPr="000266F2">
        <w:t>6</w:t>
      </w:r>
      <w:r w:rsidRPr="000266F2">
        <w:rPr>
          <w:rFonts w:hint="cs"/>
          <w:rtl/>
          <w:lang w:bidi="ar-EG"/>
        </w:rPr>
        <w:t xml:space="preserve"> بالتوصية </w:t>
      </w:r>
      <w:r w:rsidRPr="000266F2">
        <w:rPr>
          <w:rFonts w:asciiTheme="minorHAnsi" w:hAnsiTheme="minorHAnsi"/>
          <w:szCs w:val="24"/>
        </w:rPr>
        <w:t xml:space="preserve">ITU-R </w:t>
      </w:r>
      <w:proofErr w:type="spellStart"/>
      <w:r w:rsidRPr="000266F2">
        <w:rPr>
          <w:rFonts w:asciiTheme="minorHAnsi" w:hAnsiTheme="minorHAnsi"/>
          <w:szCs w:val="24"/>
        </w:rPr>
        <w:t>SM.1541</w:t>
      </w:r>
      <w:proofErr w:type="spellEnd"/>
      <w:r w:rsidRPr="000266F2">
        <w:rPr>
          <w:rFonts w:asciiTheme="minorHAnsi" w:hAnsiTheme="minorHAnsi"/>
          <w:szCs w:val="24"/>
        </w:rPr>
        <w:t>-5</w:t>
      </w:r>
      <w:r w:rsidRPr="000266F2">
        <w:rPr>
          <w:rFonts w:hint="cs"/>
          <w:rtl/>
        </w:rPr>
        <w:t xml:space="preserve"> فقط، فيما يظل باقي النص بدون تغيير.</w:t>
      </w:r>
    </w:p>
    <w:p w:rsidR="00813E47" w:rsidRPr="00813E47" w:rsidRDefault="00365BFE" w:rsidP="00365BFE">
      <w:pPr>
        <w:spacing w:before="600"/>
        <w:jc w:val="center"/>
        <w:rPr>
          <w:rtl/>
        </w:rPr>
      </w:pPr>
      <w:r>
        <w:rPr>
          <w:rtl/>
        </w:rPr>
        <w:t>___________</w:t>
      </w:r>
    </w:p>
    <w:sectPr w:rsidR="00813E47" w:rsidRPr="00813E47" w:rsidSect="007E6E52">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88" w:rsidRDefault="00FA2988" w:rsidP="00F36590">
      <w:pPr>
        <w:spacing w:before="0" w:line="240" w:lineRule="auto"/>
      </w:pPr>
      <w:r>
        <w:separator/>
      </w:r>
    </w:p>
  </w:endnote>
  <w:endnote w:type="continuationSeparator" w:id="0">
    <w:p w:rsidR="00FA2988" w:rsidRDefault="00FA2988"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84" w:rsidRDefault="001C4C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15" w:rsidRPr="001C4C84" w:rsidRDefault="00E10315" w:rsidP="001C4C84">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w:t>
    </w:r>
    <w:proofErr w:type="spellStart"/>
    <w:r w:rsidRPr="00F36590">
      <w:rPr>
        <w:rFonts w:hAnsi="Calibri"/>
        <w:color w:val="0070C0"/>
        <w:sz w:val="18"/>
        <w:szCs w:val="18"/>
        <w:lang w:val="fr-CH"/>
      </w:rPr>
      <w:t>CH</w:t>
    </w:r>
    <w:proofErr w:type="spellEnd"/>
    <w:r w:rsidRPr="00F36590">
      <w:rPr>
        <w:rFonts w:hAnsi="Calibri"/>
        <w:color w:val="0070C0"/>
        <w:sz w:val="18"/>
        <w:szCs w:val="18"/>
        <w:lang w:val="fr-CH"/>
      </w:rPr>
      <w:noBreakHyphen/>
      <w:t xml:space="preserve">1211 Geneva 20, </w:t>
    </w:r>
    <w:proofErr w:type="spellStart"/>
    <w:r w:rsidRPr="00F36590">
      <w:rPr>
        <w:rFonts w:hAnsi="Calibri"/>
        <w:color w:val="0070C0"/>
        <w:sz w:val="18"/>
        <w:szCs w:val="18"/>
        <w:lang w:val="fr-CH"/>
      </w:rPr>
      <w:t>Switzerland</w:t>
    </w:r>
    <w:proofErr w:type="spellEnd"/>
    <w:r w:rsidRPr="00F36590">
      <w:rPr>
        <w:rFonts w:hAnsi="Calibri"/>
        <w:color w:val="0070C0"/>
        <w:sz w:val="18"/>
        <w:szCs w:val="18"/>
        <w:lang w:val="fr-CH"/>
      </w:rPr>
      <w:t xml:space="preserve">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proofErr w:type="spellStart"/>
      <w:r w:rsidRPr="00F36590">
        <w:rPr>
          <w:rStyle w:val="Hyperlink"/>
          <w:rFonts w:hAnsi="Calibri"/>
          <w:color w:val="0070C0"/>
          <w:sz w:val="18"/>
          <w:szCs w:val="18"/>
          <w:lang w:val="fr-CH"/>
        </w:rPr>
        <w:t>itumail@itu.int</w:t>
      </w:r>
      <w:proofErr w:type="spellEnd"/>
    </w:hyperlink>
    <w:r w:rsidRPr="00F36590">
      <w:rPr>
        <w:rFonts w:hAnsi="Calibri"/>
        <w:color w:val="0070C0"/>
        <w:sz w:val="18"/>
        <w:szCs w:val="18"/>
        <w:lang w:val="fr-CH"/>
      </w:rPr>
      <w:t xml:space="preserve"> • </w:t>
    </w:r>
    <w:hyperlink r:id="rId2" w:history="1">
      <w:proofErr w:type="spellStart"/>
      <w:r w:rsidRPr="00F36590">
        <w:rPr>
          <w:rStyle w:val="Hyperlink"/>
          <w:rFonts w:hAnsi="Calibri"/>
          <w:color w:val="0070C0"/>
          <w:sz w:val="18"/>
          <w:szCs w:val="18"/>
          <w:lang w:val="fr-CH"/>
        </w:rPr>
        <w:t>www.itu.int</w:t>
      </w:r>
      <w:proofErr w:type="spellEnd"/>
    </w:hyperlink>
    <w:r w:rsidRPr="00F36590">
      <w:rPr>
        <w:rFonts w:hAnsi="Calibri"/>
        <w:color w:val="0070C0"/>
        <w:sz w:val="18"/>
        <w:szCs w:val="18"/>
        <w:lang w:val="fr-CH"/>
      </w:rPr>
      <w:t xml:space="preserve"> • </w:t>
    </w:r>
    <w:hyperlink r:id="rId3" w:history="1">
      <w:proofErr w:type="spellStart"/>
      <w:r w:rsidRPr="00F36590">
        <w:rPr>
          <w:rStyle w:val="Hyperlink"/>
          <w:rFonts w:hAnsi="Calibri"/>
          <w:color w:val="0070C0"/>
          <w:sz w:val="18"/>
          <w:szCs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498" w:rsidRDefault="006C2498">
      <w:r>
        <w:t>_______________</w:t>
      </w:r>
    </w:p>
  </w:footnote>
  <w:footnote w:type="continuationSeparator" w:id="0">
    <w:p w:rsidR="00FA2988" w:rsidRDefault="00FA2988"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84" w:rsidRDefault="001C4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1C4C84">
      <w:rPr>
        <w:rFonts w:cs="Calibri"/>
        <w:noProof/>
        <w:sz w:val="20"/>
        <w:szCs w:val="20"/>
        <w:lang w:val="en-GB"/>
      </w:rPr>
      <w:t>3</w:t>
    </w:r>
    <w:r w:rsidR="007E6E52" w:rsidRPr="007E6E52">
      <w:rPr>
        <w:rFonts w:cs="Calibri"/>
        <w:sz w:val="20"/>
        <w:szCs w:val="20"/>
      </w:rPr>
      <w:fldChar w:fldCharType="end"/>
    </w:r>
    <w:r>
      <w:rPr>
        <w:rFonts w:cs="Calibri"/>
        <w:sz w:val="20"/>
        <w:szCs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lang w:val="en-GB"/>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88"/>
    <w:rsid w:val="00024F5F"/>
    <w:rsid w:val="000266F2"/>
    <w:rsid w:val="000302DF"/>
    <w:rsid w:val="00053071"/>
    <w:rsid w:val="00080653"/>
    <w:rsid w:val="00090574"/>
    <w:rsid w:val="0009672D"/>
    <w:rsid w:val="000A19FD"/>
    <w:rsid w:val="000A2D48"/>
    <w:rsid w:val="000B4826"/>
    <w:rsid w:val="000B73F4"/>
    <w:rsid w:val="000C62AC"/>
    <w:rsid w:val="000D1322"/>
    <w:rsid w:val="000D4095"/>
    <w:rsid w:val="000D6E6E"/>
    <w:rsid w:val="000E54CC"/>
    <w:rsid w:val="000F23D6"/>
    <w:rsid w:val="00102531"/>
    <w:rsid w:val="00105C97"/>
    <w:rsid w:val="00116F44"/>
    <w:rsid w:val="00150E9E"/>
    <w:rsid w:val="00163E9D"/>
    <w:rsid w:val="00174F5A"/>
    <w:rsid w:val="00176467"/>
    <w:rsid w:val="00184A87"/>
    <w:rsid w:val="0018519F"/>
    <w:rsid w:val="00185E59"/>
    <w:rsid w:val="00194782"/>
    <w:rsid w:val="001A56E7"/>
    <w:rsid w:val="001B293B"/>
    <w:rsid w:val="001B4CE8"/>
    <w:rsid w:val="001C4C84"/>
    <w:rsid w:val="001D1D7B"/>
    <w:rsid w:val="001E2CA7"/>
    <w:rsid w:val="001E57E5"/>
    <w:rsid w:val="00223932"/>
    <w:rsid w:val="0023283D"/>
    <w:rsid w:val="00237596"/>
    <w:rsid w:val="00241274"/>
    <w:rsid w:val="0027419D"/>
    <w:rsid w:val="00290C28"/>
    <w:rsid w:val="002931AD"/>
    <w:rsid w:val="002978F4"/>
    <w:rsid w:val="002A5093"/>
    <w:rsid w:val="002B028D"/>
    <w:rsid w:val="002B467E"/>
    <w:rsid w:val="002D63CD"/>
    <w:rsid w:val="002E6541"/>
    <w:rsid w:val="002E721F"/>
    <w:rsid w:val="00333B74"/>
    <w:rsid w:val="00335CE7"/>
    <w:rsid w:val="003403A3"/>
    <w:rsid w:val="00341FFF"/>
    <w:rsid w:val="003428BE"/>
    <w:rsid w:val="00346715"/>
    <w:rsid w:val="00356ED8"/>
    <w:rsid w:val="00357185"/>
    <w:rsid w:val="0036465B"/>
    <w:rsid w:val="00365BFE"/>
    <w:rsid w:val="00366C26"/>
    <w:rsid w:val="00367136"/>
    <w:rsid w:val="00397CB2"/>
    <w:rsid w:val="003A71D7"/>
    <w:rsid w:val="003B65BD"/>
    <w:rsid w:val="003C22A9"/>
    <w:rsid w:val="003C3152"/>
    <w:rsid w:val="003D3DCE"/>
    <w:rsid w:val="00400D3F"/>
    <w:rsid w:val="0040525C"/>
    <w:rsid w:val="00407F6D"/>
    <w:rsid w:val="004210DD"/>
    <w:rsid w:val="0042686F"/>
    <w:rsid w:val="00434BE6"/>
    <w:rsid w:val="00435CD0"/>
    <w:rsid w:val="00443869"/>
    <w:rsid w:val="00460E82"/>
    <w:rsid w:val="004653F8"/>
    <w:rsid w:val="00465F3A"/>
    <w:rsid w:val="004716C5"/>
    <w:rsid w:val="00471963"/>
    <w:rsid w:val="00477B1F"/>
    <w:rsid w:val="0048022E"/>
    <w:rsid w:val="00484419"/>
    <w:rsid w:val="00485E78"/>
    <w:rsid w:val="00496CDF"/>
    <w:rsid w:val="004A19EB"/>
    <w:rsid w:val="004A2E9E"/>
    <w:rsid w:val="004B2504"/>
    <w:rsid w:val="004B52E9"/>
    <w:rsid w:val="004B74B4"/>
    <w:rsid w:val="004C72F6"/>
    <w:rsid w:val="004D1C48"/>
    <w:rsid w:val="004D704B"/>
    <w:rsid w:val="004E4AEC"/>
    <w:rsid w:val="004E5D7D"/>
    <w:rsid w:val="0054112E"/>
    <w:rsid w:val="005430BF"/>
    <w:rsid w:val="00547B9C"/>
    <w:rsid w:val="0055516A"/>
    <w:rsid w:val="0056291A"/>
    <w:rsid w:val="0058149E"/>
    <w:rsid w:val="005A2A86"/>
    <w:rsid w:val="005A4C01"/>
    <w:rsid w:val="005A535D"/>
    <w:rsid w:val="005B35FE"/>
    <w:rsid w:val="005B3A62"/>
    <w:rsid w:val="005B758F"/>
    <w:rsid w:val="005D7CA8"/>
    <w:rsid w:val="005E1291"/>
    <w:rsid w:val="005E3AF1"/>
    <w:rsid w:val="005F4897"/>
    <w:rsid w:val="006060B9"/>
    <w:rsid w:val="0061127E"/>
    <w:rsid w:val="00620CF0"/>
    <w:rsid w:val="00622B1D"/>
    <w:rsid w:val="00632780"/>
    <w:rsid w:val="006541C5"/>
    <w:rsid w:val="006713B8"/>
    <w:rsid w:val="00673D18"/>
    <w:rsid w:val="00686CA9"/>
    <w:rsid w:val="00690D0E"/>
    <w:rsid w:val="006A070A"/>
    <w:rsid w:val="006A361B"/>
    <w:rsid w:val="006C2498"/>
    <w:rsid w:val="006E04BB"/>
    <w:rsid w:val="006E1CFD"/>
    <w:rsid w:val="006E6DD8"/>
    <w:rsid w:val="006F63F7"/>
    <w:rsid w:val="00703BEA"/>
    <w:rsid w:val="007040CC"/>
    <w:rsid w:val="00706426"/>
    <w:rsid w:val="00706D7A"/>
    <w:rsid w:val="00714C7B"/>
    <w:rsid w:val="00720788"/>
    <w:rsid w:val="007244AD"/>
    <w:rsid w:val="007302E4"/>
    <w:rsid w:val="00733D09"/>
    <w:rsid w:val="007354BC"/>
    <w:rsid w:val="00737459"/>
    <w:rsid w:val="007428F7"/>
    <w:rsid w:val="00754CE4"/>
    <w:rsid w:val="00762153"/>
    <w:rsid w:val="007825FE"/>
    <w:rsid w:val="00796C82"/>
    <w:rsid w:val="007C035B"/>
    <w:rsid w:val="007C11AE"/>
    <w:rsid w:val="007C19E7"/>
    <w:rsid w:val="007D2736"/>
    <w:rsid w:val="007E6E52"/>
    <w:rsid w:val="007E7BEB"/>
    <w:rsid w:val="007F2885"/>
    <w:rsid w:val="007F44A3"/>
    <w:rsid w:val="007F56E6"/>
    <w:rsid w:val="007F6790"/>
    <w:rsid w:val="007F7D0A"/>
    <w:rsid w:val="00805CD5"/>
    <w:rsid w:val="00813E47"/>
    <w:rsid w:val="008235CD"/>
    <w:rsid w:val="0082787E"/>
    <w:rsid w:val="00836C2F"/>
    <w:rsid w:val="008464E0"/>
    <w:rsid w:val="008504D0"/>
    <w:rsid w:val="008513CB"/>
    <w:rsid w:val="00866DC4"/>
    <w:rsid w:val="00871DFD"/>
    <w:rsid w:val="00877C60"/>
    <w:rsid w:val="00877CE7"/>
    <w:rsid w:val="00886638"/>
    <w:rsid w:val="008974D8"/>
    <w:rsid w:val="008A172E"/>
    <w:rsid w:val="008C2AC9"/>
    <w:rsid w:val="008C5F3B"/>
    <w:rsid w:val="008C6818"/>
    <w:rsid w:val="008F150C"/>
    <w:rsid w:val="009061B4"/>
    <w:rsid w:val="00912325"/>
    <w:rsid w:val="00932BD6"/>
    <w:rsid w:val="009426B4"/>
    <w:rsid w:val="00951EBA"/>
    <w:rsid w:val="00964B4D"/>
    <w:rsid w:val="00967460"/>
    <w:rsid w:val="00977417"/>
    <w:rsid w:val="00982B28"/>
    <w:rsid w:val="00992E98"/>
    <w:rsid w:val="00994005"/>
    <w:rsid w:val="009D56BF"/>
    <w:rsid w:val="009E0252"/>
    <w:rsid w:val="009E212A"/>
    <w:rsid w:val="009E311D"/>
    <w:rsid w:val="009E7839"/>
    <w:rsid w:val="00A0706D"/>
    <w:rsid w:val="00A15795"/>
    <w:rsid w:val="00A23BEA"/>
    <w:rsid w:val="00A25B74"/>
    <w:rsid w:val="00A36182"/>
    <w:rsid w:val="00A40425"/>
    <w:rsid w:val="00A71F2B"/>
    <w:rsid w:val="00A77ED3"/>
    <w:rsid w:val="00A97F94"/>
    <w:rsid w:val="00AA4518"/>
    <w:rsid w:val="00AA79E5"/>
    <w:rsid w:val="00AB7C7F"/>
    <w:rsid w:val="00AB7CE2"/>
    <w:rsid w:val="00AD1278"/>
    <w:rsid w:val="00AE3489"/>
    <w:rsid w:val="00AF42CE"/>
    <w:rsid w:val="00AF620C"/>
    <w:rsid w:val="00AF785E"/>
    <w:rsid w:val="00B02FE4"/>
    <w:rsid w:val="00B06E78"/>
    <w:rsid w:val="00B11105"/>
    <w:rsid w:val="00B11A37"/>
    <w:rsid w:val="00B13E8A"/>
    <w:rsid w:val="00B35D6D"/>
    <w:rsid w:val="00B53992"/>
    <w:rsid w:val="00B5527F"/>
    <w:rsid w:val="00B64FEA"/>
    <w:rsid w:val="00BD382B"/>
    <w:rsid w:val="00BE49A3"/>
    <w:rsid w:val="00BF4EB5"/>
    <w:rsid w:val="00C00E59"/>
    <w:rsid w:val="00C038F4"/>
    <w:rsid w:val="00C0682B"/>
    <w:rsid w:val="00C412F8"/>
    <w:rsid w:val="00C464CC"/>
    <w:rsid w:val="00C52C0A"/>
    <w:rsid w:val="00C56E77"/>
    <w:rsid w:val="00C63305"/>
    <w:rsid w:val="00C674FE"/>
    <w:rsid w:val="00C75633"/>
    <w:rsid w:val="00C8334F"/>
    <w:rsid w:val="00C92289"/>
    <w:rsid w:val="00C979A4"/>
    <w:rsid w:val="00CA1308"/>
    <w:rsid w:val="00CB0867"/>
    <w:rsid w:val="00CC2CF0"/>
    <w:rsid w:val="00CC3648"/>
    <w:rsid w:val="00CD7702"/>
    <w:rsid w:val="00CE2EE1"/>
    <w:rsid w:val="00CE4711"/>
    <w:rsid w:val="00CE59C1"/>
    <w:rsid w:val="00CF3FFD"/>
    <w:rsid w:val="00D0401C"/>
    <w:rsid w:val="00D3119E"/>
    <w:rsid w:val="00D468D6"/>
    <w:rsid w:val="00D479F8"/>
    <w:rsid w:val="00D55D91"/>
    <w:rsid w:val="00D57CF2"/>
    <w:rsid w:val="00D757B5"/>
    <w:rsid w:val="00D77BF7"/>
    <w:rsid w:val="00D77D0F"/>
    <w:rsid w:val="00D85082"/>
    <w:rsid w:val="00DA1CF0"/>
    <w:rsid w:val="00DB24F8"/>
    <w:rsid w:val="00DC24B4"/>
    <w:rsid w:val="00DC63FF"/>
    <w:rsid w:val="00DF16DC"/>
    <w:rsid w:val="00DF7021"/>
    <w:rsid w:val="00E02604"/>
    <w:rsid w:val="00E0307E"/>
    <w:rsid w:val="00E03795"/>
    <w:rsid w:val="00E050E3"/>
    <w:rsid w:val="00E10315"/>
    <w:rsid w:val="00E16C72"/>
    <w:rsid w:val="00E177B4"/>
    <w:rsid w:val="00E17E8C"/>
    <w:rsid w:val="00E25C41"/>
    <w:rsid w:val="00E4033D"/>
    <w:rsid w:val="00E45211"/>
    <w:rsid w:val="00E64F8E"/>
    <w:rsid w:val="00E74595"/>
    <w:rsid w:val="00E90FD3"/>
    <w:rsid w:val="00E92423"/>
    <w:rsid w:val="00EA0DAC"/>
    <w:rsid w:val="00EB1EBD"/>
    <w:rsid w:val="00EB536E"/>
    <w:rsid w:val="00EC1109"/>
    <w:rsid w:val="00EC7BC9"/>
    <w:rsid w:val="00ED224B"/>
    <w:rsid w:val="00F0176C"/>
    <w:rsid w:val="00F04353"/>
    <w:rsid w:val="00F36590"/>
    <w:rsid w:val="00F84366"/>
    <w:rsid w:val="00F85089"/>
    <w:rsid w:val="00F90E0E"/>
    <w:rsid w:val="00FA1E49"/>
    <w:rsid w:val="00FA2988"/>
    <w:rsid w:val="00FB3C66"/>
    <w:rsid w:val="00FB69C2"/>
    <w:rsid w:val="00FD0D44"/>
    <w:rsid w:val="00FD1037"/>
    <w:rsid w:val="00FE39C3"/>
    <w:rsid w:val="00FF0C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E8D6C0DD-AB79-4FF1-9E70-C7B29ADA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978F4"/>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9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536E"/>
    <w:rPr>
      <w:color w:val="0000FA"/>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Normalaftertitle0">
    <w:name w:val="Normal_after_title"/>
    <w:basedOn w:val="Normal"/>
    <w:next w:val="Normal"/>
    <w:rsid w:val="004B250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Times New Roman"/>
      <w:lang w:eastAsia="en-US" w:bidi="ar-EG"/>
    </w:rPr>
  </w:style>
  <w:style w:type="paragraph" w:customStyle="1" w:styleId="Tablehead0">
    <w:name w:val="Table_head"/>
    <w:basedOn w:val="Normal"/>
    <w:next w:val="Tabletext"/>
    <w:rsid w:val="00AF620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lang w:eastAsia="en-US" w:bidi="ar-EG"/>
    </w:rPr>
  </w:style>
  <w:style w:type="paragraph" w:customStyle="1" w:styleId="Tabletext">
    <w:name w:val="Table_text"/>
    <w:basedOn w:val="Normal"/>
    <w:rsid w:val="00AF62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lang w:eastAsia="en-US" w:bidi="ar-EG"/>
    </w:rPr>
  </w:style>
  <w:style w:type="paragraph" w:customStyle="1" w:styleId="QuestionNoBR">
    <w:name w:val="Question_No_BR"/>
    <w:basedOn w:val="Normal"/>
    <w:next w:val="Normal"/>
    <w:rsid w:val="00BE49A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aps/>
      <w:sz w:val="28"/>
      <w:lang w:val="en-GB" w:eastAsia="en-US"/>
    </w:rPr>
  </w:style>
  <w:style w:type="paragraph" w:customStyle="1" w:styleId="Questiontitle">
    <w:name w:val="Question_title"/>
    <w:basedOn w:val="Resolutiontitle"/>
    <w:next w:val="Normal"/>
    <w:rsid w:val="007F6790"/>
  </w:style>
  <w:style w:type="paragraph" w:customStyle="1" w:styleId="QuestionNo">
    <w:name w:val="Question No"/>
    <w:basedOn w:val="RecNo"/>
    <w:qFormat/>
    <w:rsid w:val="007F6790"/>
    <w:rPr>
      <w:lang w:bidi="ar-EG"/>
    </w:rPr>
  </w:style>
  <w:style w:type="character" w:customStyle="1" w:styleId="href">
    <w:name w:val="href"/>
    <w:basedOn w:val="DefaultParagraphFont"/>
    <w:rsid w:val="00C5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1-C-0163/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md/R12-SG01-C-0148/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1-C-0145/en" TargetMode="External"/><Relationship Id="rId5" Type="http://schemas.openxmlformats.org/officeDocument/2006/relationships/webSettings" Target="webSettings.xml"/><Relationship Id="rId15" Type="http://schemas.openxmlformats.org/officeDocument/2006/relationships/hyperlink" Target="http://www.itu.int/rec/R-REC-SM.1541/en" TargetMode="External"/><Relationship Id="rId23" Type="http://schemas.openxmlformats.org/officeDocument/2006/relationships/theme" Target="theme/theme1.xml"/><Relationship Id="rId10" Type="http://schemas.openxmlformats.org/officeDocument/2006/relationships/hyperlink" Target="http://www.itu.int/md/R12-SG01-C-0144/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1-C/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B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BB5F0-BAD9-4D14-B530-8246DCDB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PA_BR_Letter.dotx</Template>
  <TotalTime>297</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Song, Xiaojing</cp:lastModifiedBy>
  <cp:revision>16</cp:revision>
  <cp:lastPrinted>2015-06-22T13:12:00Z</cp:lastPrinted>
  <dcterms:created xsi:type="dcterms:W3CDTF">2015-06-22T08:49:00Z</dcterms:created>
  <dcterms:modified xsi:type="dcterms:W3CDTF">2015-06-23T07:59:00Z</dcterms:modified>
</cp:coreProperties>
</file>