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395350" w:rsidTr="00EA15B3">
        <w:tc>
          <w:tcPr>
            <w:tcW w:w="9889" w:type="dxa"/>
            <w:gridSpan w:val="3"/>
            <w:shd w:val="clear" w:color="auto" w:fill="auto"/>
          </w:tcPr>
          <w:p w:rsidR="00EA15B3" w:rsidRPr="00395350" w:rsidRDefault="00287856" w:rsidP="00287856">
            <w:pPr>
              <w:spacing w:before="0"/>
              <w:jc w:val="left"/>
              <w:rPr>
                <w:rFonts w:cstheme="minorHAnsi"/>
                <w:b/>
                <w:bCs/>
                <w:color w:val="808080"/>
                <w:sz w:val="28"/>
                <w:szCs w:val="28"/>
                <w:lang w:val="es-ES"/>
              </w:rPr>
            </w:pPr>
            <w:r w:rsidRPr="00395350">
              <w:rPr>
                <w:rFonts w:cstheme="minorHAnsi"/>
                <w:b/>
                <w:bCs/>
                <w:color w:val="808080"/>
                <w:sz w:val="28"/>
                <w:szCs w:val="28"/>
                <w:lang w:val="es-ES"/>
              </w:rPr>
              <w:t xml:space="preserve">Oficina de </w:t>
            </w:r>
            <w:r w:rsidR="008E38B4" w:rsidRPr="00395350">
              <w:rPr>
                <w:rFonts w:cstheme="minorHAnsi"/>
                <w:b/>
                <w:bCs/>
                <w:color w:val="808080"/>
                <w:sz w:val="28"/>
                <w:szCs w:val="28"/>
                <w:lang w:val="es-ES"/>
              </w:rPr>
              <w:t>Radiocomunica</w:t>
            </w:r>
            <w:r w:rsidRPr="00395350">
              <w:rPr>
                <w:rFonts w:cstheme="minorHAnsi"/>
                <w:b/>
                <w:bCs/>
                <w:color w:val="808080"/>
                <w:sz w:val="28"/>
                <w:szCs w:val="28"/>
                <w:lang w:val="es-ES"/>
              </w:rPr>
              <w:t>c</w:t>
            </w:r>
            <w:r w:rsidR="008E38B4" w:rsidRPr="00395350">
              <w:rPr>
                <w:rFonts w:cstheme="minorHAnsi"/>
                <w:b/>
                <w:bCs/>
                <w:color w:val="808080"/>
                <w:sz w:val="28"/>
                <w:szCs w:val="28"/>
                <w:lang w:val="es-ES"/>
              </w:rPr>
              <w:t>ion</w:t>
            </w:r>
            <w:r w:rsidRPr="00395350">
              <w:rPr>
                <w:rFonts w:cstheme="minorHAnsi"/>
                <w:b/>
                <w:bCs/>
                <w:color w:val="808080"/>
                <w:sz w:val="28"/>
                <w:szCs w:val="28"/>
                <w:lang w:val="es-ES"/>
              </w:rPr>
              <w:t>es</w:t>
            </w:r>
            <w:r w:rsidR="00AF70DA" w:rsidRPr="00395350">
              <w:rPr>
                <w:rFonts w:cstheme="minorHAnsi"/>
                <w:b/>
                <w:bCs/>
                <w:color w:val="808080"/>
                <w:sz w:val="28"/>
                <w:szCs w:val="28"/>
                <w:lang w:val="es-ES"/>
              </w:rPr>
              <w:t xml:space="preserve"> (BR)</w:t>
            </w:r>
          </w:p>
          <w:p w:rsidR="008E38B4" w:rsidRPr="00395350" w:rsidRDefault="008E38B4" w:rsidP="00117282">
            <w:pPr>
              <w:spacing w:before="0"/>
              <w:jc w:val="left"/>
              <w:rPr>
                <w:rFonts w:cstheme="minorHAnsi"/>
                <w:b/>
                <w:bCs/>
                <w:color w:val="808080"/>
                <w:sz w:val="28"/>
                <w:szCs w:val="28"/>
                <w:lang w:val="es-ES"/>
              </w:rPr>
            </w:pPr>
          </w:p>
          <w:p w:rsidR="008E38B4" w:rsidRPr="00395350" w:rsidRDefault="008E38B4" w:rsidP="00117282">
            <w:pPr>
              <w:spacing w:before="0"/>
              <w:jc w:val="left"/>
              <w:rPr>
                <w:rFonts w:cs="Times New Roman Bold"/>
                <w:b/>
                <w:bCs/>
                <w:color w:val="808080"/>
                <w:sz w:val="28"/>
                <w:szCs w:val="28"/>
                <w:lang w:val="es-ES"/>
              </w:rPr>
            </w:pPr>
          </w:p>
        </w:tc>
      </w:tr>
      <w:tr w:rsidR="00651777" w:rsidRPr="00395350" w:rsidTr="00034340">
        <w:tc>
          <w:tcPr>
            <w:tcW w:w="7054" w:type="dxa"/>
            <w:gridSpan w:val="2"/>
            <w:shd w:val="clear" w:color="auto" w:fill="auto"/>
          </w:tcPr>
          <w:p w:rsidR="00C76D7F" w:rsidRPr="00395350" w:rsidRDefault="00287856" w:rsidP="00287856">
            <w:pPr>
              <w:spacing w:before="0"/>
              <w:jc w:val="left"/>
              <w:rPr>
                <w:rFonts w:asciiTheme="minorHAnsi" w:hAnsiTheme="minorHAnsi"/>
                <w:sz w:val="24"/>
                <w:szCs w:val="24"/>
                <w:lang w:val="es-ES"/>
              </w:rPr>
            </w:pPr>
            <w:r w:rsidRPr="00395350">
              <w:rPr>
                <w:rFonts w:asciiTheme="minorHAnsi" w:hAnsiTheme="minorHAnsi"/>
                <w:sz w:val="24"/>
                <w:szCs w:val="24"/>
                <w:lang w:val="es-ES"/>
              </w:rPr>
              <w:t>Circular Administrativa</w:t>
            </w:r>
          </w:p>
          <w:p w:rsidR="00651777" w:rsidRPr="00395350" w:rsidRDefault="00E17344" w:rsidP="005F3C19">
            <w:pPr>
              <w:spacing w:before="0"/>
              <w:jc w:val="left"/>
              <w:rPr>
                <w:rFonts w:asciiTheme="minorHAnsi" w:hAnsiTheme="minorHAnsi"/>
                <w:b/>
                <w:bCs/>
                <w:sz w:val="24"/>
                <w:szCs w:val="24"/>
                <w:lang w:val="es-ES"/>
              </w:rPr>
            </w:pPr>
            <w:r w:rsidRPr="00395350">
              <w:rPr>
                <w:rFonts w:asciiTheme="minorHAnsi" w:hAnsiTheme="minorHAnsi"/>
                <w:b/>
                <w:bCs/>
                <w:sz w:val="24"/>
                <w:szCs w:val="24"/>
                <w:lang w:val="es-ES"/>
              </w:rPr>
              <w:t>CA</w:t>
            </w:r>
            <w:r w:rsidR="005F3C19" w:rsidRPr="00395350">
              <w:rPr>
                <w:rFonts w:asciiTheme="minorHAnsi" w:hAnsiTheme="minorHAnsi"/>
                <w:b/>
                <w:bCs/>
                <w:sz w:val="24"/>
                <w:szCs w:val="24"/>
                <w:lang w:val="es-ES"/>
              </w:rPr>
              <w:t>CE</w:t>
            </w:r>
            <w:r w:rsidR="003836D4" w:rsidRPr="00395350">
              <w:rPr>
                <w:rFonts w:asciiTheme="minorHAnsi" w:hAnsiTheme="minorHAnsi"/>
                <w:b/>
                <w:bCs/>
                <w:sz w:val="24"/>
                <w:szCs w:val="24"/>
                <w:lang w:val="es-ES"/>
              </w:rPr>
              <w:t>/</w:t>
            </w:r>
            <w:r w:rsidR="005F3C19" w:rsidRPr="00395350">
              <w:rPr>
                <w:rFonts w:asciiTheme="minorHAnsi" w:hAnsiTheme="minorHAnsi"/>
                <w:b/>
                <w:bCs/>
                <w:sz w:val="24"/>
                <w:szCs w:val="24"/>
                <w:lang w:val="es-ES"/>
              </w:rPr>
              <w:t>730</w:t>
            </w:r>
          </w:p>
        </w:tc>
        <w:tc>
          <w:tcPr>
            <w:tcW w:w="2835" w:type="dxa"/>
            <w:shd w:val="clear" w:color="auto" w:fill="auto"/>
          </w:tcPr>
          <w:p w:rsidR="00651777" w:rsidRPr="00395350" w:rsidRDefault="005F3C19" w:rsidP="005F3C19">
            <w:pPr>
              <w:spacing w:before="0"/>
              <w:jc w:val="right"/>
              <w:rPr>
                <w:rFonts w:asciiTheme="minorHAnsi" w:hAnsiTheme="minorHAnsi"/>
                <w:sz w:val="24"/>
                <w:szCs w:val="24"/>
                <w:lang w:val="es-ES"/>
              </w:rPr>
            </w:pPr>
            <w:r w:rsidRPr="00395350">
              <w:rPr>
                <w:rFonts w:asciiTheme="minorHAnsi" w:hAnsiTheme="minorHAnsi"/>
                <w:sz w:val="24"/>
                <w:szCs w:val="24"/>
                <w:lang w:val="es-ES"/>
              </w:rPr>
              <w:t>5</w:t>
            </w:r>
            <w:r w:rsidR="00133CDB" w:rsidRPr="00395350">
              <w:rPr>
                <w:rFonts w:asciiTheme="minorHAnsi" w:hAnsiTheme="minorHAnsi"/>
                <w:sz w:val="24"/>
                <w:szCs w:val="24"/>
                <w:lang w:val="es-ES"/>
              </w:rPr>
              <w:t xml:space="preserve"> </w:t>
            </w:r>
            <w:r w:rsidR="00287856" w:rsidRPr="00395350">
              <w:rPr>
                <w:rFonts w:asciiTheme="minorHAnsi" w:hAnsiTheme="minorHAnsi"/>
                <w:sz w:val="24"/>
                <w:szCs w:val="24"/>
                <w:lang w:val="es-ES"/>
              </w:rPr>
              <w:t xml:space="preserve">de </w:t>
            </w:r>
            <w:r w:rsidRPr="00395350">
              <w:rPr>
                <w:rFonts w:asciiTheme="minorHAnsi" w:hAnsiTheme="minorHAnsi"/>
                <w:sz w:val="24"/>
                <w:szCs w:val="24"/>
                <w:lang w:val="es-ES"/>
              </w:rPr>
              <w:t>junio</w:t>
            </w:r>
            <w:r w:rsidR="00287856" w:rsidRPr="00395350">
              <w:rPr>
                <w:rFonts w:asciiTheme="minorHAnsi" w:hAnsiTheme="minorHAnsi"/>
                <w:sz w:val="24"/>
                <w:szCs w:val="24"/>
                <w:lang w:val="es-ES"/>
              </w:rPr>
              <w:t xml:space="preserve"> de</w:t>
            </w:r>
            <w:r w:rsidR="00133CDB" w:rsidRPr="00395350">
              <w:rPr>
                <w:rFonts w:asciiTheme="minorHAnsi" w:hAnsiTheme="minorHAnsi"/>
                <w:sz w:val="24"/>
                <w:szCs w:val="24"/>
                <w:lang w:val="es-ES"/>
              </w:rPr>
              <w:t xml:space="preserve"> 2015</w:t>
            </w:r>
          </w:p>
        </w:tc>
      </w:tr>
      <w:tr w:rsidR="0037309C" w:rsidRPr="00395350" w:rsidTr="0056294C">
        <w:tc>
          <w:tcPr>
            <w:tcW w:w="9889" w:type="dxa"/>
            <w:gridSpan w:val="3"/>
            <w:shd w:val="clear" w:color="auto" w:fill="auto"/>
          </w:tcPr>
          <w:p w:rsidR="0037309C" w:rsidRPr="00395350" w:rsidRDefault="0037309C" w:rsidP="006047E5">
            <w:pPr>
              <w:spacing w:before="0"/>
              <w:jc w:val="left"/>
              <w:rPr>
                <w:rFonts w:asciiTheme="minorHAnsi" w:hAnsiTheme="minorHAnsi" w:cs="Arial"/>
                <w:sz w:val="24"/>
                <w:szCs w:val="24"/>
                <w:lang w:val="es-ES"/>
              </w:rPr>
            </w:pPr>
          </w:p>
        </w:tc>
      </w:tr>
      <w:tr w:rsidR="0037309C" w:rsidRPr="00395350" w:rsidTr="0056294C">
        <w:tc>
          <w:tcPr>
            <w:tcW w:w="9889" w:type="dxa"/>
            <w:gridSpan w:val="3"/>
            <w:shd w:val="clear" w:color="auto" w:fill="auto"/>
          </w:tcPr>
          <w:p w:rsidR="0037309C" w:rsidRPr="00395350" w:rsidRDefault="0037309C" w:rsidP="0056294C">
            <w:pPr>
              <w:spacing w:before="0"/>
              <w:jc w:val="left"/>
              <w:rPr>
                <w:rFonts w:asciiTheme="minorHAnsi" w:hAnsiTheme="minorHAnsi"/>
                <w:sz w:val="24"/>
                <w:szCs w:val="24"/>
                <w:lang w:val="es-ES"/>
              </w:rPr>
            </w:pPr>
          </w:p>
        </w:tc>
      </w:tr>
      <w:tr w:rsidR="0037309C" w:rsidRPr="001179ED" w:rsidTr="0056294C">
        <w:tc>
          <w:tcPr>
            <w:tcW w:w="9889" w:type="dxa"/>
            <w:gridSpan w:val="3"/>
            <w:shd w:val="clear" w:color="auto" w:fill="auto"/>
          </w:tcPr>
          <w:p w:rsidR="00D21694" w:rsidRPr="00395350" w:rsidRDefault="00287856" w:rsidP="00287856">
            <w:pPr>
              <w:spacing w:before="0"/>
              <w:jc w:val="left"/>
              <w:rPr>
                <w:rFonts w:asciiTheme="minorHAnsi" w:hAnsiTheme="minorHAnsi"/>
                <w:b/>
                <w:bCs/>
                <w:sz w:val="24"/>
                <w:szCs w:val="24"/>
                <w:lang w:val="es-ES"/>
              </w:rPr>
            </w:pPr>
            <w:r w:rsidRPr="00395350">
              <w:rPr>
                <w:rFonts w:asciiTheme="minorHAnsi" w:hAnsiTheme="minorHAnsi"/>
                <w:b/>
                <w:bCs/>
                <w:sz w:val="24"/>
                <w:szCs w:val="24"/>
                <w:lang w:val="es-ES"/>
              </w:rPr>
              <w:t>A las</w:t>
            </w:r>
            <w:r w:rsidR="0037309C" w:rsidRPr="00395350">
              <w:rPr>
                <w:rFonts w:asciiTheme="minorHAnsi" w:hAnsiTheme="minorHAnsi"/>
                <w:b/>
                <w:bCs/>
                <w:sz w:val="24"/>
                <w:szCs w:val="24"/>
                <w:lang w:val="es-ES"/>
              </w:rPr>
              <w:t xml:space="preserve"> Administra</w:t>
            </w:r>
            <w:r w:rsidRPr="00395350">
              <w:rPr>
                <w:rFonts w:asciiTheme="minorHAnsi" w:hAnsiTheme="minorHAnsi"/>
                <w:b/>
                <w:bCs/>
                <w:sz w:val="24"/>
                <w:szCs w:val="24"/>
                <w:lang w:val="es-ES"/>
              </w:rPr>
              <w:t>c</w:t>
            </w:r>
            <w:r w:rsidR="0037309C" w:rsidRPr="00395350">
              <w:rPr>
                <w:rFonts w:asciiTheme="minorHAnsi" w:hAnsiTheme="minorHAnsi"/>
                <w:b/>
                <w:bCs/>
                <w:sz w:val="24"/>
                <w:szCs w:val="24"/>
                <w:lang w:val="es-ES"/>
              </w:rPr>
              <w:t>ion</w:t>
            </w:r>
            <w:r w:rsidRPr="00395350">
              <w:rPr>
                <w:rFonts w:asciiTheme="minorHAnsi" w:hAnsiTheme="minorHAnsi"/>
                <w:b/>
                <w:bCs/>
                <w:sz w:val="24"/>
                <w:szCs w:val="24"/>
                <w:lang w:val="es-ES"/>
              </w:rPr>
              <w:t>e</w:t>
            </w:r>
            <w:r w:rsidR="0037309C" w:rsidRPr="00395350">
              <w:rPr>
                <w:rFonts w:asciiTheme="minorHAnsi" w:hAnsiTheme="minorHAnsi"/>
                <w:b/>
                <w:bCs/>
                <w:sz w:val="24"/>
                <w:szCs w:val="24"/>
                <w:lang w:val="es-ES"/>
              </w:rPr>
              <w:t xml:space="preserve">s </w:t>
            </w:r>
            <w:r w:rsidRPr="00395350">
              <w:rPr>
                <w:rFonts w:asciiTheme="minorHAnsi" w:hAnsiTheme="minorHAnsi"/>
                <w:b/>
                <w:bCs/>
                <w:sz w:val="24"/>
                <w:szCs w:val="24"/>
                <w:lang w:val="es-ES"/>
              </w:rPr>
              <w:t>de los Estad</w:t>
            </w:r>
            <w:r w:rsidR="0037309C" w:rsidRPr="00395350">
              <w:rPr>
                <w:rFonts w:asciiTheme="minorHAnsi" w:hAnsiTheme="minorHAnsi"/>
                <w:b/>
                <w:bCs/>
                <w:sz w:val="24"/>
                <w:szCs w:val="24"/>
                <w:lang w:val="es-ES"/>
              </w:rPr>
              <w:t>o</w:t>
            </w:r>
            <w:r w:rsidRPr="00395350">
              <w:rPr>
                <w:rFonts w:asciiTheme="minorHAnsi" w:hAnsiTheme="minorHAnsi"/>
                <w:b/>
                <w:bCs/>
                <w:sz w:val="24"/>
                <w:szCs w:val="24"/>
                <w:lang w:val="es-ES"/>
              </w:rPr>
              <w:t>s</w:t>
            </w:r>
            <w:r w:rsidR="0037309C" w:rsidRPr="00395350">
              <w:rPr>
                <w:rFonts w:asciiTheme="minorHAnsi" w:hAnsiTheme="minorHAnsi"/>
                <w:b/>
                <w:bCs/>
                <w:sz w:val="24"/>
                <w:szCs w:val="24"/>
                <w:lang w:val="es-ES"/>
              </w:rPr>
              <w:t xml:space="preserve"> M</w:t>
            </w:r>
            <w:r w:rsidRPr="00395350">
              <w:rPr>
                <w:rFonts w:asciiTheme="minorHAnsi" w:hAnsiTheme="minorHAnsi"/>
                <w:b/>
                <w:bCs/>
                <w:sz w:val="24"/>
                <w:szCs w:val="24"/>
                <w:lang w:val="es-ES"/>
              </w:rPr>
              <w:t>iembros</w:t>
            </w:r>
            <w:r w:rsidR="0037309C" w:rsidRPr="00395350">
              <w:rPr>
                <w:rFonts w:asciiTheme="minorHAnsi" w:hAnsiTheme="minorHAnsi"/>
                <w:b/>
                <w:bCs/>
                <w:sz w:val="24"/>
                <w:szCs w:val="24"/>
                <w:lang w:val="es-ES"/>
              </w:rPr>
              <w:t xml:space="preserve"> </w:t>
            </w:r>
            <w:r w:rsidRPr="00395350">
              <w:rPr>
                <w:rFonts w:asciiTheme="minorHAnsi" w:hAnsiTheme="minorHAnsi"/>
                <w:b/>
                <w:bCs/>
                <w:sz w:val="24"/>
                <w:szCs w:val="24"/>
                <w:lang w:val="es-ES"/>
              </w:rPr>
              <w:t xml:space="preserve">de la UIT y a los </w:t>
            </w:r>
            <w:r w:rsidRPr="00395350">
              <w:rPr>
                <w:rFonts w:asciiTheme="minorHAnsi" w:hAnsiTheme="minorHAnsi"/>
                <w:b/>
                <w:bCs/>
                <w:sz w:val="24"/>
                <w:szCs w:val="24"/>
                <w:lang w:val="es-ES"/>
              </w:rPr>
              <w:br/>
              <w:t xml:space="preserve">Miembros del Sector de </w:t>
            </w:r>
            <w:r w:rsidR="006639A1" w:rsidRPr="00395350">
              <w:rPr>
                <w:rFonts w:asciiTheme="minorHAnsi" w:hAnsiTheme="minorHAnsi"/>
                <w:b/>
                <w:bCs/>
                <w:sz w:val="24"/>
                <w:szCs w:val="24"/>
                <w:lang w:val="es-ES"/>
              </w:rPr>
              <w:t>Radiocomunica</w:t>
            </w:r>
            <w:r w:rsidRPr="00395350">
              <w:rPr>
                <w:rFonts w:asciiTheme="minorHAnsi" w:hAnsiTheme="minorHAnsi"/>
                <w:b/>
                <w:bCs/>
                <w:sz w:val="24"/>
                <w:szCs w:val="24"/>
                <w:lang w:val="es-ES"/>
              </w:rPr>
              <w:t>c</w:t>
            </w:r>
            <w:r w:rsidR="006639A1" w:rsidRPr="00395350">
              <w:rPr>
                <w:rFonts w:asciiTheme="minorHAnsi" w:hAnsiTheme="minorHAnsi"/>
                <w:b/>
                <w:bCs/>
                <w:sz w:val="24"/>
                <w:szCs w:val="24"/>
                <w:lang w:val="es-ES"/>
              </w:rPr>
              <w:t>iones</w:t>
            </w:r>
          </w:p>
          <w:p w:rsidR="00D21694" w:rsidRPr="00395350" w:rsidRDefault="00D21694" w:rsidP="006047E5">
            <w:pPr>
              <w:spacing w:before="0"/>
              <w:jc w:val="left"/>
              <w:rPr>
                <w:rFonts w:asciiTheme="minorHAnsi" w:hAnsiTheme="minorHAnsi"/>
                <w:b/>
                <w:bCs/>
                <w:sz w:val="24"/>
                <w:szCs w:val="24"/>
                <w:lang w:val="es-ES"/>
              </w:rPr>
            </w:pPr>
          </w:p>
        </w:tc>
      </w:tr>
      <w:tr w:rsidR="0037309C" w:rsidRPr="001179ED" w:rsidTr="0056294C">
        <w:tc>
          <w:tcPr>
            <w:tcW w:w="9889" w:type="dxa"/>
            <w:gridSpan w:val="3"/>
            <w:shd w:val="clear" w:color="auto" w:fill="auto"/>
          </w:tcPr>
          <w:p w:rsidR="0037309C" w:rsidRPr="00395350" w:rsidRDefault="0037309C" w:rsidP="006047E5">
            <w:pPr>
              <w:spacing w:before="0"/>
              <w:jc w:val="left"/>
              <w:rPr>
                <w:rFonts w:asciiTheme="minorHAnsi" w:hAnsiTheme="minorHAnsi"/>
                <w:sz w:val="24"/>
                <w:szCs w:val="24"/>
                <w:lang w:val="es-ES"/>
              </w:rPr>
            </w:pPr>
          </w:p>
        </w:tc>
      </w:tr>
      <w:tr w:rsidR="0037309C" w:rsidRPr="001179ED" w:rsidTr="0056294C">
        <w:tc>
          <w:tcPr>
            <w:tcW w:w="9889" w:type="dxa"/>
            <w:gridSpan w:val="3"/>
            <w:shd w:val="clear" w:color="auto" w:fill="auto"/>
          </w:tcPr>
          <w:p w:rsidR="0037309C" w:rsidRPr="00395350" w:rsidRDefault="0037309C" w:rsidP="006047E5">
            <w:pPr>
              <w:spacing w:before="0"/>
              <w:jc w:val="left"/>
              <w:rPr>
                <w:rFonts w:asciiTheme="minorHAnsi" w:hAnsiTheme="minorHAnsi"/>
                <w:sz w:val="24"/>
                <w:szCs w:val="24"/>
                <w:lang w:val="es-ES"/>
              </w:rPr>
            </w:pPr>
          </w:p>
        </w:tc>
      </w:tr>
      <w:tr w:rsidR="00B4054B" w:rsidRPr="001179ED" w:rsidTr="0037309C">
        <w:tc>
          <w:tcPr>
            <w:tcW w:w="1526" w:type="dxa"/>
            <w:shd w:val="clear" w:color="auto" w:fill="auto"/>
          </w:tcPr>
          <w:p w:rsidR="00B4054B" w:rsidRPr="00395350" w:rsidRDefault="00287856" w:rsidP="0056294C">
            <w:pPr>
              <w:spacing w:before="0"/>
              <w:jc w:val="left"/>
              <w:rPr>
                <w:rFonts w:asciiTheme="minorHAnsi" w:hAnsiTheme="minorHAnsi"/>
                <w:sz w:val="24"/>
                <w:szCs w:val="24"/>
                <w:lang w:val="es-ES"/>
              </w:rPr>
            </w:pPr>
            <w:r w:rsidRPr="00395350">
              <w:rPr>
                <w:rFonts w:asciiTheme="minorHAnsi" w:hAnsiTheme="minorHAnsi"/>
                <w:sz w:val="24"/>
                <w:szCs w:val="24"/>
                <w:lang w:val="es-ES"/>
              </w:rPr>
              <w:t>Objeto</w:t>
            </w:r>
            <w:r w:rsidR="00B4054B" w:rsidRPr="00395350">
              <w:rPr>
                <w:rFonts w:asciiTheme="minorHAnsi" w:hAnsiTheme="minorHAnsi"/>
                <w:sz w:val="24"/>
                <w:szCs w:val="24"/>
                <w:lang w:val="es-ES"/>
              </w:rPr>
              <w:t>:</w:t>
            </w:r>
          </w:p>
        </w:tc>
        <w:tc>
          <w:tcPr>
            <w:tcW w:w="8363" w:type="dxa"/>
            <w:gridSpan w:val="2"/>
            <w:vMerge w:val="restart"/>
            <w:shd w:val="clear" w:color="auto" w:fill="auto"/>
          </w:tcPr>
          <w:p w:rsidR="00B4054B" w:rsidRPr="00395350" w:rsidRDefault="005F3C19" w:rsidP="00287856">
            <w:pPr>
              <w:spacing w:before="0"/>
              <w:jc w:val="left"/>
              <w:rPr>
                <w:rFonts w:asciiTheme="minorHAnsi" w:hAnsiTheme="minorHAnsi"/>
                <w:b/>
                <w:bCs/>
                <w:sz w:val="24"/>
                <w:szCs w:val="24"/>
                <w:lang w:val="es-ES"/>
              </w:rPr>
            </w:pPr>
            <w:r w:rsidRPr="00395350">
              <w:rPr>
                <w:b/>
                <w:bCs/>
                <w:sz w:val="24"/>
                <w:szCs w:val="24"/>
                <w:lang w:val="es-ES"/>
              </w:rPr>
              <w:t>Notificación del segundo intercalar del 30 de junio de 2015</w:t>
            </w:r>
          </w:p>
        </w:tc>
      </w:tr>
      <w:tr w:rsidR="00B4054B" w:rsidRPr="001179ED" w:rsidTr="0056294C">
        <w:tc>
          <w:tcPr>
            <w:tcW w:w="1526" w:type="dxa"/>
            <w:shd w:val="clear" w:color="auto" w:fill="auto"/>
          </w:tcPr>
          <w:p w:rsidR="00B4054B" w:rsidRPr="00395350" w:rsidRDefault="00B4054B" w:rsidP="0056294C">
            <w:pPr>
              <w:spacing w:before="0"/>
              <w:jc w:val="left"/>
              <w:rPr>
                <w:rFonts w:asciiTheme="minorHAnsi" w:hAnsiTheme="minorHAnsi"/>
                <w:b/>
                <w:bCs/>
                <w:sz w:val="24"/>
                <w:szCs w:val="24"/>
                <w:lang w:val="es-ES"/>
              </w:rPr>
            </w:pPr>
          </w:p>
        </w:tc>
        <w:tc>
          <w:tcPr>
            <w:tcW w:w="8363" w:type="dxa"/>
            <w:gridSpan w:val="2"/>
            <w:vMerge/>
            <w:shd w:val="clear" w:color="auto" w:fill="auto"/>
          </w:tcPr>
          <w:p w:rsidR="00B4054B" w:rsidRPr="00395350" w:rsidRDefault="00B4054B" w:rsidP="0056294C">
            <w:pPr>
              <w:spacing w:before="0"/>
              <w:rPr>
                <w:rFonts w:asciiTheme="minorHAnsi" w:hAnsiTheme="minorHAnsi"/>
                <w:b/>
                <w:bCs/>
                <w:sz w:val="24"/>
                <w:szCs w:val="24"/>
                <w:lang w:val="es-ES"/>
              </w:rPr>
            </w:pPr>
          </w:p>
        </w:tc>
      </w:tr>
      <w:tr w:rsidR="00B4054B" w:rsidRPr="001179ED" w:rsidTr="0056294C">
        <w:tc>
          <w:tcPr>
            <w:tcW w:w="1526" w:type="dxa"/>
            <w:shd w:val="clear" w:color="auto" w:fill="auto"/>
          </w:tcPr>
          <w:p w:rsidR="00B4054B" w:rsidRPr="00395350" w:rsidRDefault="00B4054B" w:rsidP="0056294C">
            <w:pPr>
              <w:spacing w:before="0"/>
              <w:jc w:val="left"/>
              <w:rPr>
                <w:rFonts w:asciiTheme="minorHAnsi" w:hAnsiTheme="minorHAnsi"/>
                <w:b/>
                <w:bCs/>
                <w:sz w:val="24"/>
                <w:szCs w:val="24"/>
                <w:lang w:val="es-ES"/>
              </w:rPr>
            </w:pPr>
          </w:p>
        </w:tc>
        <w:tc>
          <w:tcPr>
            <w:tcW w:w="8363" w:type="dxa"/>
            <w:gridSpan w:val="2"/>
            <w:vMerge/>
            <w:shd w:val="clear" w:color="auto" w:fill="auto"/>
          </w:tcPr>
          <w:p w:rsidR="00B4054B" w:rsidRPr="00395350" w:rsidRDefault="00B4054B" w:rsidP="0056294C">
            <w:pPr>
              <w:spacing w:before="0"/>
              <w:rPr>
                <w:rFonts w:asciiTheme="minorHAnsi" w:hAnsiTheme="minorHAnsi"/>
                <w:b/>
                <w:bCs/>
                <w:sz w:val="24"/>
                <w:szCs w:val="24"/>
                <w:lang w:val="es-ES"/>
              </w:rPr>
            </w:pPr>
          </w:p>
        </w:tc>
      </w:tr>
    </w:tbl>
    <w:p w:rsidR="00EE48E9" w:rsidRPr="00395350" w:rsidRDefault="00EE48E9" w:rsidP="00EE48E9">
      <w:pPr>
        <w:spacing w:before="0"/>
        <w:rPr>
          <w:rFonts w:cs="Times New Roman"/>
          <w:sz w:val="24"/>
          <w:szCs w:val="24"/>
          <w:lang w:val="es-ES" w:eastAsia="zh-CN"/>
        </w:rPr>
      </w:pPr>
    </w:p>
    <w:p w:rsidR="008772CB" w:rsidRPr="00395350" w:rsidRDefault="005F3C19" w:rsidP="008772CB">
      <w:pPr>
        <w:rPr>
          <w:sz w:val="24"/>
          <w:szCs w:val="24"/>
          <w:lang w:val="es-ES" w:eastAsia="zh-CN"/>
        </w:rPr>
      </w:pPr>
      <w:r w:rsidRPr="00395350">
        <w:rPr>
          <w:sz w:val="24"/>
          <w:szCs w:val="24"/>
          <w:lang w:val="es-ES" w:eastAsia="zh-CN"/>
        </w:rPr>
        <w:t xml:space="preserve">La definición y difusión de la escala de tiempo internacional es un elemento importante que se requiere para el adecuado funcionamiento de los sistemas de telecomunicaciones. La escala de tiempo internacional conocida como tiempo universal coordinado (UTC) es una escala de tiempo atómico transmitida en todo el mundo. La Unión Internacional de Telecomunicaciones (UIT) define el UTC en su Recomendación UIT-R TF.460-6, y de su mantenimiento se encarga la Oficina Internacional de Pesos y Medidas (BIPM) en cooperación con el Servicio Internacional de Rotación de la Tierra y </w:t>
      </w:r>
      <w:r w:rsidR="00E9153B">
        <w:rPr>
          <w:sz w:val="24"/>
          <w:szCs w:val="24"/>
          <w:lang w:val="es-ES" w:eastAsia="zh-CN"/>
        </w:rPr>
        <w:t xml:space="preserve">Sistemas de Referencia (IERS). </w:t>
      </w:r>
      <w:r w:rsidR="008772CB" w:rsidRPr="00395350">
        <w:rPr>
          <w:sz w:val="24"/>
          <w:szCs w:val="24"/>
          <w:lang w:val="es-ES" w:eastAsia="zh-CN"/>
        </w:rPr>
        <w:t>Las mediciones aportadas por los centros de señales horarias de todo el mundo se utilizan para determinar el UTC, el cual se ajusta en 0,9 segundos al tiempo de rotación de la Tierra (UT1), según los valores del ángulo de rotación de la Tierra determinados por el IERS. Los ajustes, realizados en lapsos de un segundo conocidos como segundos intercalares, se implementaron por primera vez en 1972 para poder recuperar el UT1 de los valores de radiodifusión del UTC para la navegación astronómica. Ha habido constantes deliberaciones en la UIT sobre la posibilidad de modificar la definición de UTC para convertirlo en una escala de tiempo continua.</w:t>
      </w:r>
    </w:p>
    <w:p w:rsidR="00AE54AF" w:rsidRDefault="008772CB" w:rsidP="003E67E9">
      <w:pPr>
        <w:rPr>
          <w:sz w:val="24"/>
          <w:szCs w:val="24"/>
          <w:lang w:val="es-ES" w:eastAsia="zh-CN"/>
        </w:rPr>
      </w:pPr>
      <w:r w:rsidRPr="00395350">
        <w:rPr>
          <w:sz w:val="24"/>
          <w:szCs w:val="24"/>
          <w:lang w:val="es-ES" w:eastAsia="zh-CN"/>
        </w:rPr>
        <w:t xml:space="preserve">La cuestión del estudio de la </w:t>
      </w:r>
      <w:r w:rsidRPr="00E9153B">
        <w:rPr>
          <w:i/>
          <w:iCs/>
          <w:sz w:val="24"/>
          <w:szCs w:val="24"/>
          <w:lang w:val="es-ES" w:eastAsia="zh-CN"/>
        </w:rPr>
        <w:t>posibilidad de establecer una escala de tiempo de referencia continua, ya sea a través de la modificación del tiempo universal coordinado (UTC) o mediante cualquier otro método</w:t>
      </w:r>
      <w:r w:rsidRPr="00395350">
        <w:rPr>
          <w:sz w:val="24"/>
          <w:szCs w:val="24"/>
          <w:lang w:val="es-ES" w:eastAsia="zh-CN"/>
        </w:rPr>
        <w:t xml:space="preserve"> figura en el orden del día de la Conferencia Mundial de Radiocomunicaciones de noviembre de 2015. Una cuestión básica es saber si se quiere hacer de UTC una escala de tiempo continua en lugar de la escala de tiempo atómico progresiva que se utiliza en la actualidad, o bien utilizar otro método. En su reciente reunión del 26 de mayo de 2015, la Comisión de Estudio</w:t>
      </w:r>
      <w:r w:rsidR="003E67E9" w:rsidRPr="00395350">
        <w:rPr>
          <w:sz w:val="24"/>
          <w:szCs w:val="24"/>
          <w:lang w:val="es-ES" w:eastAsia="zh-CN"/>
        </w:rPr>
        <w:t xml:space="preserve"> 7 del UIT-R (Servicios científicos) señaló que se iba a presentar una oportunidad para seguir analizando la cuestión con la próxima inserción de un segundo intercalar el día 30 de junio de 2015 (UTC). </w:t>
      </w:r>
    </w:p>
    <w:p w:rsidR="00AE54AF" w:rsidRDefault="00AE54AF">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val="es-ES" w:eastAsia="zh-CN"/>
        </w:rPr>
      </w:pPr>
      <w:r>
        <w:rPr>
          <w:sz w:val="24"/>
          <w:szCs w:val="24"/>
          <w:lang w:val="es-ES" w:eastAsia="zh-CN"/>
        </w:rPr>
        <w:br w:type="page"/>
      </w:r>
    </w:p>
    <w:p w:rsidR="008772CB" w:rsidRPr="00395350" w:rsidRDefault="003E67E9" w:rsidP="00AE54AF">
      <w:pPr>
        <w:rPr>
          <w:sz w:val="24"/>
          <w:szCs w:val="24"/>
          <w:lang w:val="es-ES" w:eastAsia="zh-CN"/>
        </w:rPr>
      </w:pPr>
      <w:r w:rsidRPr="00395350">
        <w:rPr>
          <w:sz w:val="24"/>
          <w:szCs w:val="24"/>
          <w:lang w:val="es-ES" w:eastAsia="zh-CN"/>
        </w:rPr>
        <w:lastRenderedPageBreak/>
        <w:t>La Comisión de Estudio 7 del UIT-R me pidió que señalara este hecho a su atención y a la de las organizaciones interesadas que figuran en la lista del Anexo, en caso de que ello pudiera ayudar a su deliberación de la cuestión durante la próxima Conferencia Mundial de Radiocomunicaciones.</w:t>
      </w:r>
    </w:p>
    <w:p w:rsidR="00EE48E9" w:rsidRPr="00395350" w:rsidRDefault="00EE48E9" w:rsidP="00AE74E5">
      <w:pPr>
        <w:spacing w:before="1300" w:line="276" w:lineRule="auto"/>
        <w:jc w:val="left"/>
        <w:rPr>
          <w:rFonts w:asciiTheme="minorHAnsi" w:hAnsiTheme="minorHAnsi" w:cstheme="minorHAnsi"/>
          <w:sz w:val="24"/>
          <w:szCs w:val="24"/>
          <w:lang w:val="es-ES"/>
        </w:rPr>
      </w:pPr>
      <w:r w:rsidRPr="00395350">
        <w:rPr>
          <w:sz w:val="24"/>
          <w:szCs w:val="24"/>
          <w:lang w:val="es-ES"/>
        </w:rPr>
        <w:t>François</w:t>
      </w:r>
      <w:r w:rsidRPr="00395350">
        <w:rPr>
          <w:rFonts w:asciiTheme="minorHAnsi" w:hAnsiTheme="minorHAnsi" w:cstheme="minorHAnsi"/>
          <w:sz w:val="24"/>
          <w:szCs w:val="24"/>
          <w:lang w:val="es-ES"/>
        </w:rPr>
        <w:t xml:space="preserve"> </w:t>
      </w:r>
      <w:proofErr w:type="spellStart"/>
      <w:r w:rsidRPr="00395350">
        <w:rPr>
          <w:rFonts w:asciiTheme="minorHAnsi" w:hAnsiTheme="minorHAnsi" w:cstheme="minorHAnsi"/>
          <w:sz w:val="24"/>
          <w:szCs w:val="24"/>
          <w:lang w:val="es-ES"/>
        </w:rPr>
        <w:t>Rancy</w:t>
      </w:r>
      <w:proofErr w:type="spellEnd"/>
      <w:r w:rsidR="00AE74E5">
        <w:rPr>
          <w:rFonts w:asciiTheme="minorHAnsi" w:hAnsiTheme="minorHAnsi" w:cstheme="minorHAnsi"/>
          <w:sz w:val="24"/>
          <w:szCs w:val="24"/>
          <w:lang w:val="es-ES"/>
        </w:rPr>
        <w:br/>
      </w:r>
      <w:r w:rsidRPr="00395350">
        <w:rPr>
          <w:rFonts w:asciiTheme="minorHAnsi" w:hAnsiTheme="minorHAnsi" w:cstheme="minorHAnsi"/>
          <w:sz w:val="24"/>
          <w:szCs w:val="24"/>
          <w:lang w:val="es-ES"/>
        </w:rPr>
        <w:t>Director</w:t>
      </w:r>
    </w:p>
    <w:p w:rsidR="00EE48E9" w:rsidRPr="00395350" w:rsidRDefault="00EE48E9" w:rsidP="00AE54AF">
      <w:pPr>
        <w:spacing w:before="1440" w:line="276" w:lineRule="auto"/>
        <w:jc w:val="left"/>
        <w:rPr>
          <w:rFonts w:asciiTheme="minorHAnsi" w:hAnsiTheme="minorHAnsi" w:cstheme="minorHAnsi"/>
          <w:sz w:val="24"/>
          <w:szCs w:val="24"/>
          <w:lang w:val="es-ES"/>
        </w:rPr>
      </w:pPr>
      <w:r w:rsidRPr="00395350">
        <w:rPr>
          <w:rFonts w:asciiTheme="minorHAnsi" w:hAnsiTheme="minorHAnsi" w:cstheme="minorHAnsi"/>
          <w:b/>
          <w:bCs/>
          <w:sz w:val="24"/>
          <w:szCs w:val="24"/>
          <w:lang w:val="es-ES"/>
        </w:rPr>
        <w:t>Anex</w:t>
      </w:r>
      <w:r w:rsidR="004F44AE" w:rsidRPr="00395350">
        <w:rPr>
          <w:rFonts w:asciiTheme="minorHAnsi" w:hAnsiTheme="minorHAnsi" w:cstheme="minorHAnsi"/>
          <w:b/>
          <w:bCs/>
          <w:sz w:val="24"/>
          <w:szCs w:val="24"/>
          <w:lang w:val="es-ES"/>
        </w:rPr>
        <w:t>o</w:t>
      </w:r>
      <w:r w:rsidRPr="00395350">
        <w:rPr>
          <w:rFonts w:asciiTheme="minorHAnsi" w:hAnsiTheme="minorHAnsi" w:cstheme="minorHAnsi"/>
          <w:sz w:val="24"/>
          <w:szCs w:val="24"/>
          <w:lang w:val="es-ES"/>
        </w:rPr>
        <w:t>: 1</w:t>
      </w:r>
    </w:p>
    <w:p w:rsidR="00AE74E5" w:rsidRDefault="00AE74E5" w:rsidP="00D263C0">
      <w:pPr>
        <w:tabs>
          <w:tab w:val="left" w:pos="284"/>
          <w:tab w:val="left" w:pos="568"/>
        </w:tabs>
        <w:spacing w:before="480" w:line="240" w:lineRule="auto"/>
        <w:jc w:val="left"/>
        <w:rPr>
          <w:b/>
          <w:bCs/>
          <w:sz w:val="18"/>
          <w:szCs w:val="18"/>
          <w:lang w:val="es-ES"/>
        </w:rPr>
      </w:pPr>
    </w:p>
    <w:p w:rsidR="00AE74E5" w:rsidRDefault="00AE74E5" w:rsidP="00D263C0">
      <w:pPr>
        <w:tabs>
          <w:tab w:val="left" w:pos="284"/>
          <w:tab w:val="left" w:pos="568"/>
        </w:tabs>
        <w:spacing w:before="480" w:line="240" w:lineRule="auto"/>
        <w:jc w:val="left"/>
        <w:rPr>
          <w:b/>
          <w:bCs/>
          <w:sz w:val="18"/>
          <w:szCs w:val="18"/>
          <w:lang w:val="es-ES"/>
        </w:rPr>
      </w:pPr>
    </w:p>
    <w:p w:rsidR="00EE48E9" w:rsidRPr="00395350" w:rsidRDefault="00A3524F" w:rsidP="00D263C0">
      <w:pPr>
        <w:tabs>
          <w:tab w:val="left" w:pos="284"/>
          <w:tab w:val="left" w:pos="568"/>
        </w:tabs>
        <w:spacing w:before="480" w:line="240" w:lineRule="auto"/>
        <w:jc w:val="left"/>
        <w:rPr>
          <w:b/>
          <w:bCs/>
          <w:sz w:val="18"/>
          <w:szCs w:val="18"/>
          <w:lang w:val="es-ES"/>
        </w:rPr>
      </w:pPr>
      <w:r w:rsidRPr="00395350">
        <w:rPr>
          <w:b/>
          <w:bCs/>
          <w:sz w:val="18"/>
          <w:szCs w:val="18"/>
          <w:lang w:val="es-ES"/>
        </w:rPr>
        <w:t>Distribución</w:t>
      </w:r>
      <w:r w:rsidR="00EE48E9" w:rsidRPr="00395350">
        <w:rPr>
          <w:b/>
          <w:bCs/>
          <w:sz w:val="18"/>
          <w:szCs w:val="18"/>
          <w:lang w:val="es-ES"/>
        </w:rPr>
        <w:t>:</w:t>
      </w:r>
    </w:p>
    <w:p w:rsidR="00EE48E9" w:rsidRPr="00395350" w:rsidRDefault="00EE48E9" w:rsidP="0039405F">
      <w:pPr>
        <w:tabs>
          <w:tab w:val="left" w:pos="284"/>
        </w:tabs>
        <w:spacing w:line="240" w:lineRule="auto"/>
        <w:ind w:left="284" w:hanging="284"/>
        <w:jc w:val="left"/>
        <w:rPr>
          <w:sz w:val="18"/>
          <w:szCs w:val="18"/>
          <w:lang w:val="es-ES"/>
        </w:rPr>
      </w:pPr>
      <w:r w:rsidRPr="00395350">
        <w:rPr>
          <w:sz w:val="18"/>
          <w:szCs w:val="18"/>
          <w:lang w:val="es-ES"/>
        </w:rPr>
        <w:t>–</w:t>
      </w:r>
      <w:r w:rsidRPr="00395350">
        <w:rPr>
          <w:sz w:val="18"/>
          <w:szCs w:val="18"/>
          <w:lang w:val="es-ES"/>
        </w:rPr>
        <w:tab/>
      </w:r>
      <w:r w:rsidR="00A3524F" w:rsidRPr="00395350">
        <w:rPr>
          <w:sz w:val="18"/>
          <w:szCs w:val="18"/>
          <w:lang w:val="es-ES"/>
        </w:rPr>
        <w:t>Administraciones de los Estados Miembros de la UIT</w:t>
      </w:r>
      <w:r w:rsidR="003E67E9" w:rsidRPr="00395350">
        <w:rPr>
          <w:sz w:val="18"/>
          <w:szCs w:val="18"/>
          <w:lang w:val="es-ES"/>
        </w:rPr>
        <w:t xml:space="preserve"> y Miembros del Sector de Radiocomunicaciones </w:t>
      </w:r>
    </w:p>
    <w:p w:rsidR="00EE48E9" w:rsidRPr="00395350" w:rsidRDefault="00EE48E9" w:rsidP="0039405F">
      <w:pPr>
        <w:tabs>
          <w:tab w:val="left" w:pos="284"/>
        </w:tabs>
        <w:spacing w:before="0" w:line="240" w:lineRule="auto"/>
        <w:ind w:left="284" w:hanging="284"/>
        <w:jc w:val="left"/>
        <w:rPr>
          <w:sz w:val="18"/>
          <w:szCs w:val="18"/>
          <w:lang w:val="es-ES"/>
        </w:rPr>
      </w:pPr>
      <w:r w:rsidRPr="00395350">
        <w:rPr>
          <w:sz w:val="18"/>
          <w:szCs w:val="18"/>
          <w:lang w:val="es-ES"/>
        </w:rPr>
        <w:t>–</w:t>
      </w:r>
      <w:r w:rsidRPr="00395350">
        <w:rPr>
          <w:sz w:val="18"/>
          <w:szCs w:val="18"/>
          <w:lang w:val="es-ES"/>
        </w:rPr>
        <w:tab/>
      </w:r>
      <w:r w:rsidR="00DE6960" w:rsidRPr="00395350">
        <w:rPr>
          <w:sz w:val="18"/>
          <w:szCs w:val="18"/>
          <w:lang w:val="es-ES"/>
        </w:rPr>
        <w:t xml:space="preserve">Presidentes y Vicepresidentes de las Comisiones de Estudio </w:t>
      </w:r>
      <w:r w:rsidR="003E67E9" w:rsidRPr="00395350">
        <w:rPr>
          <w:sz w:val="18"/>
          <w:szCs w:val="18"/>
          <w:lang w:val="es-ES"/>
        </w:rPr>
        <w:t xml:space="preserve">de Radiocomunicaciones </w:t>
      </w:r>
      <w:r w:rsidR="00DE6960" w:rsidRPr="00395350">
        <w:rPr>
          <w:sz w:val="18"/>
          <w:szCs w:val="18"/>
          <w:lang w:val="es-ES"/>
        </w:rPr>
        <w:t>y de la Comisión Especial para asuntos reglamentarios y de procedimiento</w:t>
      </w:r>
    </w:p>
    <w:p w:rsidR="00DE6960" w:rsidRPr="00395350" w:rsidRDefault="00DE6960" w:rsidP="0039405F">
      <w:pPr>
        <w:tabs>
          <w:tab w:val="left" w:pos="284"/>
        </w:tabs>
        <w:spacing w:before="0" w:line="240" w:lineRule="auto"/>
        <w:ind w:left="284" w:hanging="284"/>
        <w:jc w:val="left"/>
        <w:rPr>
          <w:sz w:val="18"/>
          <w:szCs w:val="18"/>
          <w:lang w:val="es-ES"/>
        </w:rPr>
      </w:pPr>
      <w:r w:rsidRPr="00395350">
        <w:rPr>
          <w:sz w:val="18"/>
          <w:szCs w:val="18"/>
          <w:lang w:val="es-ES"/>
        </w:rPr>
        <w:sym w:font="Symbol" w:char="F02D"/>
      </w:r>
      <w:r w:rsidRPr="00395350">
        <w:rPr>
          <w:sz w:val="18"/>
          <w:szCs w:val="18"/>
          <w:lang w:val="es-ES"/>
        </w:rPr>
        <w:tab/>
        <w:t>Presidente y Vicepresidentes de la Reunión Preparatoria de la Conferencia</w:t>
      </w:r>
    </w:p>
    <w:p w:rsidR="00EE48E9" w:rsidRPr="00395350" w:rsidRDefault="00EE48E9" w:rsidP="003E67E9">
      <w:pPr>
        <w:tabs>
          <w:tab w:val="left" w:pos="284"/>
        </w:tabs>
        <w:spacing w:before="0" w:line="240" w:lineRule="auto"/>
        <w:ind w:left="284" w:hanging="284"/>
        <w:jc w:val="left"/>
        <w:rPr>
          <w:sz w:val="18"/>
          <w:szCs w:val="18"/>
          <w:lang w:val="es-ES"/>
        </w:rPr>
      </w:pPr>
      <w:r w:rsidRPr="00395350">
        <w:rPr>
          <w:sz w:val="18"/>
          <w:szCs w:val="18"/>
          <w:lang w:val="es-ES"/>
        </w:rPr>
        <w:t>–</w:t>
      </w:r>
      <w:r w:rsidRPr="00395350">
        <w:rPr>
          <w:sz w:val="18"/>
          <w:szCs w:val="18"/>
          <w:lang w:val="es-ES"/>
        </w:rPr>
        <w:tab/>
        <w:t>Secretar</w:t>
      </w:r>
      <w:r w:rsidR="00DE6960" w:rsidRPr="00395350">
        <w:rPr>
          <w:sz w:val="18"/>
          <w:szCs w:val="18"/>
          <w:lang w:val="es-ES"/>
        </w:rPr>
        <w:t xml:space="preserve">io </w:t>
      </w:r>
      <w:r w:rsidRPr="00395350">
        <w:rPr>
          <w:sz w:val="18"/>
          <w:szCs w:val="18"/>
          <w:lang w:val="es-ES"/>
        </w:rPr>
        <w:t xml:space="preserve">General </w:t>
      </w:r>
      <w:r w:rsidR="00DE6960" w:rsidRPr="00395350">
        <w:rPr>
          <w:sz w:val="18"/>
          <w:szCs w:val="18"/>
          <w:lang w:val="es-ES"/>
        </w:rPr>
        <w:t>de la UIT</w:t>
      </w:r>
      <w:r w:rsidRPr="00395350">
        <w:rPr>
          <w:sz w:val="18"/>
          <w:szCs w:val="18"/>
          <w:lang w:val="es-ES"/>
        </w:rPr>
        <w:t xml:space="preserve">, Director </w:t>
      </w:r>
      <w:r w:rsidR="00DE6960" w:rsidRPr="00395350">
        <w:rPr>
          <w:sz w:val="18"/>
          <w:szCs w:val="18"/>
          <w:lang w:val="es-ES"/>
        </w:rPr>
        <w:t>de la Oficina de Normalización de las Telecomunicaciones</w:t>
      </w:r>
      <w:r w:rsidRPr="00395350">
        <w:rPr>
          <w:sz w:val="18"/>
          <w:szCs w:val="18"/>
          <w:lang w:val="es-ES"/>
        </w:rPr>
        <w:t xml:space="preserve">, Director </w:t>
      </w:r>
      <w:r w:rsidR="00DE6960" w:rsidRPr="00395350">
        <w:rPr>
          <w:sz w:val="18"/>
          <w:szCs w:val="18"/>
          <w:lang w:val="es-ES"/>
        </w:rPr>
        <w:t>de la Oficina de Desarrollo de las Telecomunicaciones</w:t>
      </w:r>
    </w:p>
    <w:p w:rsidR="003E67E9" w:rsidRPr="00395350" w:rsidRDefault="003E67E9" w:rsidP="003E67E9">
      <w:pPr>
        <w:tabs>
          <w:tab w:val="left" w:pos="284"/>
        </w:tabs>
        <w:spacing w:before="0" w:line="240" w:lineRule="auto"/>
        <w:ind w:left="284" w:hanging="284"/>
        <w:jc w:val="left"/>
        <w:rPr>
          <w:sz w:val="18"/>
          <w:szCs w:val="18"/>
          <w:lang w:val="es-ES"/>
        </w:rPr>
      </w:pPr>
      <w:r w:rsidRPr="00395350">
        <w:rPr>
          <w:sz w:val="18"/>
          <w:szCs w:val="18"/>
          <w:lang w:val="es-ES"/>
        </w:rPr>
        <w:t>–</w:t>
      </w:r>
      <w:r w:rsidRPr="00395350">
        <w:rPr>
          <w:sz w:val="18"/>
          <w:szCs w:val="18"/>
          <w:lang w:val="es-ES"/>
        </w:rPr>
        <w:tab/>
        <w:t>Organizaciones citadas en el Anexo</w:t>
      </w:r>
    </w:p>
    <w:p w:rsidR="006B5BE7" w:rsidRPr="00395350" w:rsidRDefault="006B5BE7" w:rsidP="0039405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lang w:val="es-ES"/>
        </w:rPr>
      </w:pPr>
      <w:r w:rsidRPr="00395350">
        <w:rPr>
          <w:rFonts w:asciiTheme="minorHAnsi" w:hAnsiTheme="minorHAnsi" w:cstheme="minorHAnsi"/>
          <w:lang w:val="es-ES"/>
        </w:rPr>
        <w:br w:type="page"/>
      </w:r>
    </w:p>
    <w:p w:rsidR="00395350" w:rsidRPr="00E9153B" w:rsidRDefault="00395350" w:rsidP="00AE74E5">
      <w:pPr>
        <w:pStyle w:val="AnnexNoTitle"/>
        <w:rPr>
          <w:sz w:val="28"/>
          <w:szCs w:val="28"/>
          <w:lang w:val="es-ES"/>
        </w:rPr>
      </w:pPr>
      <w:r w:rsidRPr="00E9153B">
        <w:rPr>
          <w:sz w:val="28"/>
          <w:szCs w:val="28"/>
          <w:lang w:val="es-ES"/>
        </w:rPr>
        <w:lastRenderedPageBreak/>
        <w:t>Anexo</w:t>
      </w:r>
      <w:r w:rsidR="00AE74E5" w:rsidRPr="00E9153B">
        <w:rPr>
          <w:sz w:val="28"/>
          <w:szCs w:val="28"/>
          <w:lang w:val="es-ES"/>
        </w:rPr>
        <w:br/>
      </w:r>
      <w:r w:rsidR="00AE74E5" w:rsidRPr="00E9153B">
        <w:rPr>
          <w:sz w:val="28"/>
          <w:szCs w:val="28"/>
          <w:lang w:val="es-ES"/>
        </w:rPr>
        <w:br/>
        <w:t>Lista de distribución adicional</w:t>
      </w:r>
    </w:p>
    <w:p w:rsidR="00AE74E5" w:rsidRPr="00395350" w:rsidRDefault="00AE74E5" w:rsidP="00AE74E5">
      <w:pPr>
        <w:rPr>
          <w:lang w:val="es-ES"/>
        </w:rPr>
      </w:pPr>
    </w:p>
    <w:p w:rsidR="00395350" w:rsidRPr="00395350" w:rsidRDefault="00395350" w:rsidP="00395350">
      <w:pPr>
        <w:pStyle w:val="enumlev1"/>
        <w:spacing w:before="120"/>
        <w:jc w:val="left"/>
        <w:rPr>
          <w:rFonts w:asciiTheme="minorHAnsi" w:hAnsiTheme="minorHAnsi"/>
          <w:sz w:val="24"/>
          <w:szCs w:val="24"/>
          <w:lang w:val="es-ES"/>
        </w:rPr>
      </w:pPr>
      <w:r w:rsidRPr="00395350">
        <w:rPr>
          <w:rFonts w:asciiTheme="minorHAnsi" w:hAnsiTheme="minorHAnsi"/>
          <w:sz w:val="24"/>
          <w:szCs w:val="24"/>
          <w:lang w:val="es-ES"/>
        </w:rPr>
        <w:t xml:space="preserve">Oficina Internacional de Pesos y Medidas </w:t>
      </w:r>
    </w:p>
    <w:p w:rsidR="00395350" w:rsidRPr="00395350" w:rsidRDefault="00395350" w:rsidP="0085576C">
      <w:pPr>
        <w:pStyle w:val="enumlev1"/>
        <w:spacing w:before="240"/>
        <w:jc w:val="left"/>
        <w:rPr>
          <w:rFonts w:asciiTheme="minorHAnsi" w:hAnsiTheme="minorHAnsi"/>
          <w:sz w:val="24"/>
          <w:szCs w:val="24"/>
          <w:lang w:val="es-ES"/>
        </w:rPr>
      </w:pPr>
      <w:r w:rsidRPr="00395350">
        <w:rPr>
          <w:rFonts w:asciiTheme="minorHAnsi" w:hAnsiTheme="minorHAnsi"/>
          <w:sz w:val="24"/>
          <w:szCs w:val="24"/>
          <w:lang w:val="es-ES"/>
        </w:rPr>
        <w:t>Comité Consultivo de Tiempo y Frecuencia (CCTF)</w:t>
      </w:r>
    </w:p>
    <w:p w:rsidR="00395350" w:rsidRPr="00395350" w:rsidRDefault="00395350" w:rsidP="0085576C">
      <w:pPr>
        <w:pStyle w:val="enumlev1"/>
        <w:spacing w:before="240"/>
        <w:jc w:val="left"/>
        <w:rPr>
          <w:rFonts w:asciiTheme="minorHAnsi" w:hAnsiTheme="minorHAnsi"/>
          <w:sz w:val="24"/>
          <w:szCs w:val="24"/>
          <w:lang w:val="es-ES"/>
        </w:rPr>
      </w:pPr>
      <w:r w:rsidRPr="00395350">
        <w:rPr>
          <w:rFonts w:asciiTheme="minorHAnsi" w:hAnsiTheme="minorHAnsi"/>
          <w:sz w:val="24"/>
          <w:szCs w:val="24"/>
          <w:lang w:val="es-ES"/>
        </w:rPr>
        <w:t>IUGG - Unión Internacional de Geodesia y Geofísica</w:t>
      </w:r>
    </w:p>
    <w:p w:rsidR="00395350" w:rsidRPr="00395350" w:rsidRDefault="00395350" w:rsidP="0085576C">
      <w:pPr>
        <w:pStyle w:val="enumlev1"/>
        <w:spacing w:before="240"/>
        <w:jc w:val="left"/>
        <w:rPr>
          <w:rFonts w:asciiTheme="minorHAnsi" w:hAnsiTheme="minorHAnsi"/>
          <w:sz w:val="24"/>
          <w:szCs w:val="24"/>
          <w:lang w:val="es-ES"/>
        </w:rPr>
      </w:pPr>
      <w:r w:rsidRPr="00395350">
        <w:rPr>
          <w:rFonts w:asciiTheme="minorHAnsi" w:hAnsiTheme="minorHAnsi"/>
          <w:sz w:val="24"/>
          <w:szCs w:val="24"/>
          <w:lang w:val="es-ES"/>
        </w:rPr>
        <w:t>Unión Internacional Astronómica (IAU)</w:t>
      </w:r>
    </w:p>
    <w:p w:rsidR="00395350" w:rsidRPr="00395350" w:rsidRDefault="00395350" w:rsidP="0085576C">
      <w:pPr>
        <w:spacing w:before="240"/>
        <w:ind w:left="794" w:hanging="794"/>
        <w:jc w:val="left"/>
        <w:rPr>
          <w:lang w:val="es-ES"/>
        </w:rPr>
      </w:pPr>
      <w:r w:rsidRPr="00395350">
        <w:rPr>
          <w:sz w:val="24"/>
          <w:szCs w:val="24"/>
          <w:lang w:val="es-ES"/>
        </w:rPr>
        <w:t>Comité de Investigación Espacial (COSPAR)</w:t>
      </w:r>
    </w:p>
    <w:p w:rsidR="00395350" w:rsidRPr="00395350" w:rsidRDefault="00395350" w:rsidP="0085576C">
      <w:pPr>
        <w:pStyle w:val="enumlev1"/>
        <w:spacing w:before="240"/>
        <w:jc w:val="left"/>
        <w:rPr>
          <w:rFonts w:asciiTheme="minorHAnsi" w:hAnsiTheme="minorHAnsi"/>
          <w:sz w:val="24"/>
          <w:szCs w:val="24"/>
          <w:lang w:val="es-ES"/>
        </w:rPr>
      </w:pPr>
      <w:r w:rsidRPr="00395350">
        <w:rPr>
          <w:rFonts w:asciiTheme="minorHAnsi" w:hAnsiTheme="minorHAnsi"/>
          <w:sz w:val="24"/>
          <w:szCs w:val="24"/>
          <w:lang w:val="es-ES"/>
        </w:rPr>
        <w:t xml:space="preserve">Unión </w:t>
      </w:r>
      <w:proofErr w:type="spellStart"/>
      <w:r w:rsidRPr="00395350">
        <w:rPr>
          <w:rFonts w:asciiTheme="minorHAnsi" w:hAnsiTheme="minorHAnsi"/>
          <w:sz w:val="24"/>
          <w:szCs w:val="24"/>
          <w:lang w:val="es-ES"/>
        </w:rPr>
        <w:t>Rad</w:t>
      </w:r>
      <w:bookmarkStart w:id="0" w:name="_GoBack"/>
      <w:bookmarkEnd w:id="0"/>
      <w:r w:rsidRPr="00395350">
        <w:rPr>
          <w:rFonts w:asciiTheme="minorHAnsi" w:hAnsiTheme="minorHAnsi"/>
          <w:sz w:val="24"/>
          <w:szCs w:val="24"/>
          <w:lang w:val="es-ES"/>
        </w:rPr>
        <w:t>iocientífica</w:t>
      </w:r>
      <w:proofErr w:type="spellEnd"/>
      <w:r w:rsidRPr="00395350">
        <w:rPr>
          <w:rFonts w:asciiTheme="minorHAnsi" w:hAnsiTheme="minorHAnsi"/>
          <w:sz w:val="24"/>
          <w:szCs w:val="24"/>
          <w:lang w:val="es-ES"/>
        </w:rPr>
        <w:t xml:space="preserve"> Internacional (URSI) </w:t>
      </w:r>
    </w:p>
    <w:p w:rsidR="00395350" w:rsidRPr="00395350" w:rsidRDefault="00395350" w:rsidP="0085576C">
      <w:pPr>
        <w:pStyle w:val="enumlev1"/>
        <w:spacing w:before="240"/>
        <w:jc w:val="left"/>
        <w:rPr>
          <w:rFonts w:asciiTheme="minorHAnsi" w:hAnsiTheme="minorHAnsi"/>
          <w:sz w:val="24"/>
          <w:szCs w:val="24"/>
          <w:lang w:val="es-ES"/>
        </w:rPr>
      </w:pPr>
      <w:r w:rsidRPr="00395350">
        <w:rPr>
          <w:rFonts w:asciiTheme="minorHAnsi" w:hAnsiTheme="minorHAnsi"/>
          <w:sz w:val="24"/>
          <w:szCs w:val="24"/>
          <w:lang w:val="es-ES"/>
        </w:rPr>
        <w:t>Servicio Internacional de Rotación de la Tierra y Sistemas de Referencia (IERS)</w:t>
      </w:r>
    </w:p>
    <w:p w:rsidR="00395350" w:rsidRPr="00395350" w:rsidRDefault="00395350" w:rsidP="0085576C">
      <w:pPr>
        <w:pStyle w:val="enumlev1"/>
        <w:spacing w:before="240"/>
        <w:jc w:val="left"/>
        <w:rPr>
          <w:rFonts w:asciiTheme="minorHAnsi" w:hAnsiTheme="minorHAnsi"/>
          <w:sz w:val="24"/>
          <w:szCs w:val="24"/>
          <w:lang w:val="es-ES"/>
        </w:rPr>
      </w:pPr>
      <w:r>
        <w:rPr>
          <w:rFonts w:asciiTheme="minorHAnsi" w:hAnsiTheme="minorHAnsi"/>
          <w:sz w:val="24"/>
          <w:szCs w:val="24"/>
          <w:lang w:val="es-ES"/>
        </w:rPr>
        <w:t>P</w:t>
      </w:r>
      <w:r w:rsidRPr="00395350">
        <w:rPr>
          <w:rFonts w:asciiTheme="minorHAnsi" w:hAnsiTheme="minorHAnsi"/>
          <w:sz w:val="24"/>
          <w:szCs w:val="24"/>
          <w:lang w:val="es-ES"/>
        </w:rPr>
        <w:t>rogram</w:t>
      </w:r>
      <w:r>
        <w:rPr>
          <w:rFonts w:asciiTheme="minorHAnsi" w:hAnsiTheme="minorHAnsi"/>
          <w:sz w:val="24"/>
          <w:szCs w:val="24"/>
          <w:lang w:val="es-ES"/>
        </w:rPr>
        <w:t>a</w:t>
      </w:r>
      <w:r w:rsidRPr="00395350">
        <w:rPr>
          <w:rFonts w:asciiTheme="minorHAnsi" w:hAnsiTheme="minorHAnsi"/>
          <w:sz w:val="24"/>
          <w:szCs w:val="24"/>
          <w:lang w:val="es-ES"/>
        </w:rPr>
        <w:t xml:space="preserve"> Galileo </w:t>
      </w:r>
      <w:r>
        <w:rPr>
          <w:rFonts w:asciiTheme="minorHAnsi" w:hAnsiTheme="minorHAnsi"/>
          <w:sz w:val="24"/>
          <w:szCs w:val="24"/>
          <w:lang w:val="es-ES"/>
        </w:rPr>
        <w:t>–</w:t>
      </w:r>
      <w:r w:rsidRPr="00395350">
        <w:rPr>
          <w:rFonts w:asciiTheme="minorHAnsi" w:hAnsiTheme="minorHAnsi"/>
          <w:sz w:val="24"/>
          <w:szCs w:val="24"/>
          <w:lang w:val="es-ES"/>
        </w:rPr>
        <w:t xml:space="preserve"> </w:t>
      </w:r>
      <w:r>
        <w:rPr>
          <w:rFonts w:asciiTheme="minorHAnsi" w:hAnsiTheme="minorHAnsi"/>
          <w:sz w:val="24"/>
          <w:szCs w:val="24"/>
          <w:lang w:val="es-ES"/>
        </w:rPr>
        <w:t xml:space="preserve">Sede de la </w:t>
      </w:r>
      <w:r w:rsidRPr="00395350">
        <w:rPr>
          <w:rFonts w:asciiTheme="minorHAnsi" w:hAnsiTheme="minorHAnsi"/>
          <w:sz w:val="24"/>
          <w:szCs w:val="24"/>
          <w:lang w:val="es-ES"/>
        </w:rPr>
        <w:t xml:space="preserve">ESA </w:t>
      </w:r>
    </w:p>
    <w:p w:rsidR="00395350" w:rsidRPr="00395350" w:rsidRDefault="00395350" w:rsidP="0085576C">
      <w:pPr>
        <w:pStyle w:val="enumlev1"/>
        <w:spacing w:before="240"/>
        <w:ind w:left="0" w:firstLine="0"/>
        <w:jc w:val="left"/>
        <w:rPr>
          <w:rFonts w:asciiTheme="minorHAnsi" w:hAnsiTheme="minorHAnsi"/>
          <w:sz w:val="24"/>
          <w:szCs w:val="24"/>
          <w:lang w:val="es-ES"/>
        </w:rPr>
      </w:pPr>
      <w:r w:rsidRPr="00395350">
        <w:rPr>
          <w:rFonts w:asciiTheme="minorHAnsi" w:hAnsiTheme="minorHAnsi"/>
          <w:sz w:val="24"/>
          <w:szCs w:val="24"/>
          <w:lang w:val="es-ES"/>
        </w:rPr>
        <w:t>Unión Internacional de Física Pura y Aplicada (IUPAP)</w:t>
      </w:r>
      <w:r w:rsidRPr="00395350">
        <w:rPr>
          <w:rFonts w:asciiTheme="minorHAnsi" w:hAnsiTheme="minorHAnsi"/>
          <w:sz w:val="24"/>
          <w:szCs w:val="24"/>
          <w:lang w:val="es-ES"/>
        </w:rPr>
        <w:br/>
      </w:r>
      <w:r>
        <w:rPr>
          <w:rFonts w:asciiTheme="minorHAnsi" w:hAnsiTheme="minorHAnsi"/>
          <w:sz w:val="24"/>
          <w:szCs w:val="24"/>
          <w:lang w:val="es-ES"/>
        </w:rPr>
        <w:t>Secretaría Ejecutiva del IGEB</w:t>
      </w:r>
    </w:p>
    <w:p w:rsidR="00395350" w:rsidRPr="00395350" w:rsidRDefault="00395350" w:rsidP="0085576C">
      <w:pPr>
        <w:pStyle w:val="enumlev1"/>
        <w:spacing w:before="240"/>
        <w:jc w:val="left"/>
        <w:rPr>
          <w:rFonts w:asciiTheme="minorHAnsi" w:hAnsiTheme="minorHAnsi"/>
          <w:sz w:val="24"/>
          <w:szCs w:val="24"/>
          <w:lang w:val="es-ES"/>
        </w:rPr>
      </w:pPr>
      <w:r w:rsidRPr="00395350">
        <w:rPr>
          <w:rFonts w:asciiTheme="minorHAnsi" w:hAnsiTheme="minorHAnsi"/>
          <w:sz w:val="24"/>
          <w:szCs w:val="24"/>
          <w:lang w:val="es-ES"/>
        </w:rPr>
        <w:t>Comité Internacional de Pesos y Medidas (CIPM)</w:t>
      </w:r>
    </w:p>
    <w:p w:rsidR="00395350" w:rsidRPr="00395350" w:rsidRDefault="00395350" w:rsidP="001179ED">
      <w:pPr>
        <w:pStyle w:val="enumlev1"/>
        <w:spacing w:before="240"/>
        <w:ind w:left="0" w:firstLine="0"/>
        <w:jc w:val="left"/>
        <w:rPr>
          <w:rFonts w:asciiTheme="minorHAnsi" w:hAnsiTheme="minorHAnsi"/>
          <w:sz w:val="24"/>
          <w:szCs w:val="24"/>
          <w:lang w:val="es-ES"/>
        </w:rPr>
      </w:pPr>
      <w:r w:rsidRPr="00395350">
        <w:rPr>
          <w:rFonts w:asciiTheme="minorHAnsi" w:hAnsiTheme="minorHAnsi"/>
          <w:sz w:val="24"/>
          <w:szCs w:val="24"/>
          <w:lang w:val="es-ES"/>
        </w:rPr>
        <w:t>Consejo Internacional de Uniones Científicas (</w:t>
      </w:r>
      <w:r>
        <w:rPr>
          <w:rFonts w:asciiTheme="minorHAnsi" w:hAnsiTheme="minorHAnsi"/>
          <w:sz w:val="24"/>
          <w:szCs w:val="24"/>
          <w:lang w:val="es-ES"/>
        </w:rPr>
        <w:t>CIUC</w:t>
      </w:r>
      <w:r w:rsidRPr="00395350">
        <w:rPr>
          <w:rFonts w:asciiTheme="minorHAnsi" w:hAnsiTheme="minorHAnsi"/>
          <w:sz w:val="24"/>
          <w:szCs w:val="24"/>
          <w:lang w:val="es-ES"/>
        </w:rPr>
        <w:t>)</w:t>
      </w:r>
      <w:r w:rsidRPr="00395350">
        <w:rPr>
          <w:rFonts w:asciiTheme="minorHAnsi" w:hAnsiTheme="minorHAnsi"/>
          <w:sz w:val="24"/>
          <w:szCs w:val="24"/>
          <w:lang w:val="es-ES"/>
        </w:rPr>
        <w:br/>
      </w:r>
      <w:r w:rsidR="001179ED">
        <w:rPr>
          <w:rFonts w:asciiTheme="minorHAnsi" w:hAnsiTheme="minorHAnsi"/>
          <w:sz w:val="24"/>
          <w:szCs w:val="24"/>
          <w:lang w:val="es-ES"/>
        </w:rPr>
        <w:t>Administración Nacional de la Aeronáutica y del Espacio</w:t>
      </w:r>
      <w:r w:rsidRPr="00395350">
        <w:rPr>
          <w:rFonts w:asciiTheme="minorHAnsi" w:hAnsiTheme="minorHAnsi"/>
          <w:sz w:val="24"/>
          <w:szCs w:val="24"/>
          <w:lang w:val="es-ES"/>
        </w:rPr>
        <w:t xml:space="preserve"> </w:t>
      </w:r>
    </w:p>
    <w:p w:rsidR="00395350" w:rsidRPr="00395350" w:rsidRDefault="00DC2586" w:rsidP="0085576C">
      <w:pPr>
        <w:pStyle w:val="enumlev1"/>
        <w:spacing w:before="240"/>
        <w:jc w:val="left"/>
        <w:rPr>
          <w:rFonts w:asciiTheme="minorHAnsi" w:hAnsiTheme="minorHAnsi"/>
          <w:sz w:val="24"/>
          <w:szCs w:val="24"/>
          <w:lang w:val="es-ES"/>
        </w:rPr>
      </w:pPr>
      <w:r>
        <w:rPr>
          <w:rFonts w:asciiTheme="minorHAnsi" w:hAnsiTheme="minorHAnsi"/>
          <w:sz w:val="24"/>
          <w:szCs w:val="24"/>
          <w:lang w:val="es-ES"/>
        </w:rPr>
        <w:t>Agencia Espacial Rusa</w:t>
      </w:r>
    </w:p>
    <w:p w:rsidR="00395350" w:rsidRDefault="00DC2586" w:rsidP="0085576C">
      <w:pPr>
        <w:pStyle w:val="enumlev1"/>
        <w:spacing w:before="240"/>
        <w:jc w:val="left"/>
        <w:rPr>
          <w:rFonts w:asciiTheme="minorHAnsi" w:hAnsiTheme="minorHAnsi"/>
          <w:sz w:val="24"/>
          <w:szCs w:val="24"/>
          <w:lang w:val="es-ES"/>
        </w:rPr>
      </w:pPr>
      <w:r>
        <w:rPr>
          <w:rFonts w:asciiTheme="minorHAnsi" w:hAnsiTheme="minorHAnsi"/>
          <w:sz w:val="24"/>
          <w:szCs w:val="24"/>
          <w:lang w:val="es-ES"/>
        </w:rPr>
        <w:t xml:space="preserve">Organización Meteorológica Mundial </w:t>
      </w:r>
      <w:r w:rsidR="00395350" w:rsidRPr="00395350">
        <w:rPr>
          <w:rFonts w:asciiTheme="minorHAnsi" w:hAnsiTheme="minorHAnsi"/>
          <w:sz w:val="24"/>
          <w:szCs w:val="24"/>
          <w:lang w:val="es-ES"/>
        </w:rPr>
        <w:t>(</w:t>
      </w:r>
      <w:r>
        <w:rPr>
          <w:rFonts w:asciiTheme="minorHAnsi" w:hAnsiTheme="minorHAnsi"/>
          <w:sz w:val="24"/>
          <w:szCs w:val="24"/>
          <w:lang w:val="es-ES"/>
        </w:rPr>
        <w:t>OMM</w:t>
      </w:r>
      <w:r w:rsidR="00395350" w:rsidRPr="00395350">
        <w:rPr>
          <w:rFonts w:asciiTheme="minorHAnsi" w:hAnsiTheme="minorHAnsi"/>
          <w:sz w:val="24"/>
          <w:szCs w:val="24"/>
          <w:lang w:val="es-ES"/>
        </w:rPr>
        <w:t>)</w:t>
      </w:r>
    </w:p>
    <w:p w:rsidR="00395350" w:rsidRPr="00395350" w:rsidRDefault="00DC2586" w:rsidP="0085576C">
      <w:pPr>
        <w:spacing w:before="240"/>
        <w:ind w:left="794" w:hanging="794"/>
        <w:jc w:val="left"/>
        <w:rPr>
          <w:rFonts w:asciiTheme="minorHAnsi" w:hAnsiTheme="minorHAnsi"/>
          <w:sz w:val="24"/>
          <w:szCs w:val="24"/>
          <w:lang w:val="es-ES"/>
        </w:rPr>
      </w:pPr>
      <w:r>
        <w:rPr>
          <w:rFonts w:asciiTheme="minorHAnsi" w:hAnsiTheme="minorHAnsi"/>
          <w:sz w:val="24"/>
          <w:szCs w:val="24"/>
          <w:lang w:val="es-ES"/>
        </w:rPr>
        <w:t xml:space="preserve">Oficina </w:t>
      </w:r>
      <w:r w:rsidR="00E9153B">
        <w:rPr>
          <w:rFonts w:asciiTheme="minorHAnsi" w:hAnsiTheme="minorHAnsi"/>
          <w:sz w:val="24"/>
          <w:szCs w:val="24"/>
          <w:lang w:val="es-ES"/>
        </w:rPr>
        <w:t>Hidrográfica Internacional</w:t>
      </w:r>
    </w:p>
    <w:p w:rsidR="00D46F47" w:rsidRPr="00395350" w:rsidRDefault="00D46F47" w:rsidP="007952CB">
      <w:pPr>
        <w:spacing w:before="600"/>
        <w:jc w:val="center"/>
        <w:rPr>
          <w:sz w:val="24"/>
          <w:szCs w:val="24"/>
          <w:lang w:val="es-ES"/>
        </w:rPr>
      </w:pPr>
      <w:r w:rsidRPr="00395350">
        <w:rPr>
          <w:sz w:val="24"/>
          <w:szCs w:val="24"/>
          <w:lang w:val="es-ES"/>
        </w:rPr>
        <w:t>______________</w:t>
      </w:r>
    </w:p>
    <w:p w:rsidR="00D46F47" w:rsidRPr="00395350" w:rsidRDefault="00D46F47" w:rsidP="00D46F47">
      <w:pPr>
        <w:spacing w:after="120"/>
        <w:jc w:val="left"/>
        <w:rPr>
          <w:rFonts w:asciiTheme="minorHAnsi" w:hAnsiTheme="minorHAnsi"/>
          <w:iCs/>
          <w:sz w:val="24"/>
          <w:szCs w:val="24"/>
          <w:lang w:val="es-ES"/>
        </w:rPr>
      </w:pPr>
    </w:p>
    <w:sectPr w:rsidR="00D46F47" w:rsidRPr="00395350" w:rsidSect="00953C69">
      <w:headerReference w:type="even" r:id="rId8"/>
      <w:headerReference w:type="default" r:id="rId9"/>
      <w:footerReference w:type="even" r:id="rId10"/>
      <w:headerReference w:type="first" r:id="rId11"/>
      <w:footerReference w:type="first" r:id="rId12"/>
      <w:pgSz w:w="11907" w:h="16834" w:code="9"/>
      <w:pgMar w:top="1418" w:right="1134" w:bottom="1418"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50" w:rsidRDefault="00395350">
      <w:r>
        <w:separator/>
      </w:r>
    </w:p>
  </w:endnote>
  <w:endnote w:type="continuationSeparator" w:id="0">
    <w:p w:rsidR="00395350" w:rsidRDefault="0039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50" w:rsidRPr="009437B0" w:rsidRDefault="00395350" w:rsidP="009437B0">
    <w:pPr>
      <w:pStyle w:val="Footer"/>
      <w:rPr>
        <w:lang w:val="es-ES_tradnl"/>
      </w:rPr>
    </w:pPr>
    <w:r w:rsidRPr="009437B0">
      <w:rPr>
        <w:sz w:val="16"/>
        <w:szCs w:val="16"/>
      </w:rPr>
      <w:fldChar w:fldCharType="begin"/>
    </w:r>
    <w:r w:rsidRPr="009437B0">
      <w:rPr>
        <w:sz w:val="16"/>
        <w:szCs w:val="16"/>
        <w:lang w:val="es-ES_tradnl"/>
      </w:rPr>
      <w:instrText xml:space="preserve"> FILENAME \p  \* MERGEFORMAT </w:instrText>
    </w:r>
    <w:r w:rsidRPr="009437B0">
      <w:rPr>
        <w:sz w:val="16"/>
        <w:szCs w:val="16"/>
      </w:rPr>
      <w:fldChar w:fldCharType="separate"/>
    </w:r>
    <w:r w:rsidR="001179ED">
      <w:rPr>
        <w:noProof/>
        <w:sz w:val="16"/>
        <w:szCs w:val="16"/>
        <w:lang w:val="es-ES_tradnl"/>
      </w:rPr>
      <w:t>Y:\APP\BR\CIRCS_DMS\CACE\700\730\730s.docx</w:t>
    </w:r>
    <w:r w:rsidRPr="009437B0">
      <w:rPr>
        <w:noProof/>
        <w:sz w:val="16"/>
        <w:szCs w:val="16"/>
      </w:rPr>
      <w:fldChar w:fldCharType="end"/>
    </w:r>
    <w:r w:rsidRPr="009437B0">
      <w:rPr>
        <w:noProof/>
        <w:sz w:val="16"/>
        <w:szCs w:val="16"/>
        <w:lang w:val="es-ES_tradnl"/>
      </w:rPr>
      <w:t xml:space="preserve"> (380034)</w:t>
    </w:r>
    <w:r w:rsidRPr="009437B0">
      <w:rPr>
        <w:sz w:val="16"/>
        <w:szCs w:val="16"/>
        <w:lang w:val="es-ES_tradnl"/>
      </w:rPr>
      <w:tab/>
    </w:r>
    <w:r w:rsidRPr="009437B0">
      <w:rPr>
        <w:sz w:val="16"/>
        <w:szCs w:val="16"/>
      </w:rPr>
      <w:fldChar w:fldCharType="begin"/>
    </w:r>
    <w:r w:rsidRPr="009437B0">
      <w:rPr>
        <w:sz w:val="16"/>
        <w:szCs w:val="16"/>
      </w:rPr>
      <w:instrText xml:space="preserve"> SAVEDATE \@ DD.MM.YY </w:instrText>
    </w:r>
    <w:r w:rsidRPr="009437B0">
      <w:rPr>
        <w:sz w:val="16"/>
        <w:szCs w:val="16"/>
      </w:rPr>
      <w:fldChar w:fldCharType="separate"/>
    </w:r>
    <w:r w:rsidR="001179ED">
      <w:rPr>
        <w:noProof/>
        <w:sz w:val="16"/>
        <w:szCs w:val="16"/>
      </w:rPr>
      <w:t>04.06.15</w:t>
    </w:r>
    <w:r w:rsidRPr="009437B0">
      <w:rPr>
        <w:sz w:val="16"/>
        <w:szCs w:val="16"/>
      </w:rPr>
      <w:fldChar w:fldCharType="end"/>
    </w:r>
    <w:r w:rsidRPr="009437B0">
      <w:rPr>
        <w:sz w:val="16"/>
        <w:szCs w:val="16"/>
        <w:lang w:val="es-ES_tradnl"/>
      </w:rPr>
      <w:tab/>
    </w:r>
    <w:r w:rsidRPr="009437B0">
      <w:rPr>
        <w:sz w:val="16"/>
        <w:szCs w:val="16"/>
      </w:rPr>
      <w:fldChar w:fldCharType="begin"/>
    </w:r>
    <w:r w:rsidRPr="009437B0">
      <w:rPr>
        <w:sz w:val="16"/>
        <w:szCs w:val="16"/>
      </w:rPr>
      <w:instrText xml:space="preserve"> PRINTDATE \@ DD.MM.YY </w:instrText>
    </w:r>
    <w:r w:rsidRPr="009437B0">
      <w:rPr>
        <w:sz w:val="16"/>
        <w:szCs w:val="16"/>
      </w:rPr>
      <w:fldChar w:fldCharType="separate"/>
    </w:r>
    <w:r w:rsidR="001179ED">
      <w:rPr>
        <w:noProof/>
        <w:sz w:val="16"/>
        <w:szCs w:val="16"/>
      </w:rPr>
      <w:t>04.06.15</w:t>
    </w:r>
    <w:r w:rsidRPr="009437B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50" w:rsidRPr="00953C69" w:rsidRDefault="00395350" w:rsidP="00953C69">
    <w:pPr>
      <w:pStyle w:val="FirstFooter"/>
      <w:spacing w:line="240" w:lineRule="auto"/>
      <w:ind w:left="-397" w:right="-397"/>
      <w:jc w:val="center"/>
      <w:rPr>
        <w:color w:val="3E8EDE"/>
        <w:sz w:val="18"/>
        <w:szCs w:val="18"/>
        <w:lang w:val="es-ES_tradnl"/>
      </w:rPr>
    </w:pPr>
    <w:r w:rsidRPr="00953C69">
      <w:rPr>
        <w:color w:val="3E8EDE"/>
        <w:sz w:val="18"/>
        <w:szCs w:val="18"/>
        <w:lang w:val="es-ES_tradnl"/>
      </w:rPr>
      <w:t xml:space="preserve">Unión Internacional de Telecomunicaciones • Place des </w:t>
    </w:r>
    <w:proofErr w:type="spellStart"/>
    <w:r w:rsidRPr="00953C69">
      <w:rPr>
        <w:color w:val="3E8EDE"/>
        <w:sz w:val="18"/>
        <w:szCs w:val="18"/>
        <w:lang w:val="es-ES_tradnl"/>
      </w:rPr>
      <w:t>Nations</w:t>
    </w:r>
    <w:proofErr w:type="spellEnd"/>
    <w:r w:rsidRPr="00953C69">
      <w:rPr>
        <w:color w:val="3E8EDE"/>
        <w:sz w:val="18"/>
        <w:szCs w:val="18"/>
        <w:lang w:val="es-ES_tradnl"/>
      </w:rPr>
      <w:t>, CH</w:t>
    </w:r>
    <w:r w:rsidRPr="00953C69">
      <w:rPr>
        <w:color w:val="3E8EDE"/>
        <w:sz w:val="18"/>
        <w:szCs w:val="18"/>
        <w:lang w:val="es-ES_tradnl"/>
      </w:rPr>
      <w:noBreakHyphen/>
      <w:t>1211 Ginebra 20, Suiza</w:t>
    </w:r>
    <w:r w:rsidRPr="00953C69">
      <w:rPr>
        <w:color w:val="3E8EDE"/>
        <w:sz w:val="18"/>
        <w:szCs w:val="18"/>
        <w:lang w:val="es-ES_tradnl"/>
      </w:rPr>
      <w:br/>
      <w:t xml:space="preserve">Tel: +41 22 730 5111 • Fax: +41 22 733 7256 • </w:t>
    </w:r>
    <w:r w:rsidRPr="00953C69">
      <w:rPr>
        <w:color w:val="3E8EDE"/>
        <w:sz w:val="18"/>
        <w:szCs w:val="18"/>
        <w:lang w:val="es-ES_tradnl"/>
      </w:rPr>
      <w:br/>
      <w:t xml:space="preserve">Correo-e: </w:t>
    </w:r>
    <w:hyperlink r:id="rId1" w:history="1">
      <w:r w:rsidRPr="00953C69">
        <w:rPr>
          <w:color w:val="3E8EDE"/>
          <w:sz w:val="18"/>
          <w:szCs w:val="18"/>
          <w:lang w:val="es-ES_tradnl"/>
        </w:rPr>
        <w:t>itumail@itu.int</w:t>
      </w:r>
    </w:hyperlink>
    <w:r w:rsidRPr="00953C69">
      <w:rPr>
        <w:color w:val="3E8EDE"/>
        <w:sz w:val="18"/>
        <w:szCs w:val="18"/>
        <w:lang w:val="es-ES_tradnl"/>
      </w:rPr>
      <w:t xml:space="preserve"> • </w:t>
    </w:r>
    <w:hyperlink r:id="rId2" w:history="1">
      <w:r w:rsidRPr="00953C69">
        <w:rPr>
          <w:color w:val="3E8EDE"/>
          <w:sz w:val="18"/>
          <w:szCs w:val="18"/>
          <w:lang w:val="es-ES_tradnl"/>
        </w:rPr>
        <w:t>www.itu.int</w:t>
      </w:r>
    </w:hyperlink>
    <w:r w:rsidRPr="00953C69">
      <w:rPr>
        <w:color w:val="3E8EDE"/>
        <w:sz w:val="18"/>
        <w:szCs w:val="18"/>
        <w:lang w:val="es-ES_tradnl"/>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50" w:rsidRDefault="00395350">
      <w:r>
        <w:t>____________________</w:t>
      </w:r>
    </w:p>
  </w:footnote>
  <w:footnote w:type="continuationSeparator" w:id="0">
    <w:p w:rsidR="00395350" w:rsidRDefault="0039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50" w:rsidRPr="00402460" w:rsidRDefault="00395350" w:rsidP="0094796F">
    <w:pPr>
      <w:pStyle w:val="Header"/>
      <w:tabs>
        <w:tab w:val="clear" w:pos="794"/>
        <w:tab w:val="clear" w:pos="4820"/>
        <w:tab w:val="clear" w:pos="9639"/>
      </w:tabs>
      <w:jc w:val="center"/>
      <w:rPr>
        <w:sz w:val="18"/>
        <w:szCs w:val="18"/>
      </w:rPr>
    </w:pPr>
    <w:r w:rsidRPr="00EF60FD">
      <w:rPr>
        <w:sz w:val="18"/>
        <w:szCs w:val="18"/>
      </w:rPr>
      <w:fldChar w:fldCharType="begin"/>
    </w:r>
    <w:r w:rsidRPr="00EF60FD">
      <w:rPr>
        <w:sz w:val="18"/>
        <w:szCs w:val="18"/>
      </w:rPr>
      <w:instrText xml:space="preserve"> PAGE   \* MERGEFORMAT </w:instrText>
    </w:r>
    <w:r w:rsidRPr="00EF60FD">
      <w:rPr>
        <w:sz w:val="18"/>
        <w:szCs w:val="18"/>
      </w:rPr>
      <w:fldChar w:fldCharType="separate"/>
    </w:r>
    <w:r>
      <w:rPr>
        <w:noProof/>
        <w:sz w:val="18"/>
        <w:szCs w:val="18"/>
      </w:rPr>
      <w:t>2</w:t>
    </w:r>
    <w:r w:rsidRPr="00EF60FD">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50" w:rsidRPr="002569F7" w:rsidRDefault="00395350" w:rsidP="00945C5E">
    <w:pPr>
      <w:pStyle w:val="Header"/>
      <w:tabs>
        <w:tab w:val="clear" w:pos="794"/>
      </w:tabs>
      <w:jc w:val="center"/>
      <w:rPr>
        <w:sz w:val="18"/>
        <w:szCs w:val="16"/>
      </w:rPr>
    </w:pPr>
    <w:r>
      <w:rPr>
        <w:rStyle w:val="PageNumbe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179ED">
      <w:rPr>
        <w:rStyle w:val="PageNumber"/>
        <w:noProof/>
        <w:sz w:val="18"/>
        <w:szCs w:val="16"/>
      </w:rPr>
      <w:t>2</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395350" w:rsidTr="0056294C">
      <w:tc>
        <w:tcPr>
          <w:tcW w:w="4889" w:type="dxa"/>
        </w:tcPr>
        <w:p w:rsidR="00395350" w:rsidRDefault="00395350" w:rsidP="00F47850">
          <w:pPr>
            <w:pStyle w:val="Header"/>
            <w:tabs>
              <w:tab w:val="clear" w:pos="794"/>
              <w:tab w:val="clear" w:pos="4820"/>
            </w:tabs>
            <w:spacing w:before="120" w:line="360" w:lineRule="auto"/>
          </w:pPr>
          <w:r>
            <w:rPr>
              <w:b/>
              <w:bCs/>
              <w:noProof/>
              <w:lang w:val="en-GB" w:eastAsia="zh-CN"/>
            </w:rPr>
            <w:drawing>
              <wp:inline distT="0" distB="0" distL="0" distR="0" wp14:anchorId="28183D27" wp14:editId="44EED7EF">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395350" w:rsidRDefault="00395350" w:rsidP="00F47850">
          <w:pPr>
            <w:pStyle w:val="Header"/>
            <w:tabs>
              <w:tab w:val="clear" w:pos="794"/>
              <w:tab w:val="clear" w:pos="4820"/>
            </w:tabs>
            <w:spacing w:line="360" w:lineRule="auto"/>
            <w:jc w:val="right"/>
          </w:pPr>
          <w:r>
            <w:rPr>
              <w:noProof/>
              <w:lang w:val="en-GB" w:eastAsia="zh-CN"/>
            </w:rPr>
            <w:drawing>
              <wp:inline distT="0" distB="0" distL="0" distR="0" wp14:anchorId="19DED2B4" wp14:editId="144605EE">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395350" w:rsidRPr="00BA072F" w:rsidRDefault="00395350" w:rsidP="009437B0">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23567A"/>
    <w:multiLevelType w:val="hybridMultilevel"/>
    <w:tmpl w:val="A4C6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C1EEE"/>
    <w:multiLevelType w:val="hybridMultilevel"/>
    <w:tmpl w:val="9B3607E8"/>
    <w:lvl w:ilvl="0" w:tplc="75629354">
      <w:start w:val="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90512"/>
    <w:multiLevelType w:val="hybridMultilevel"/>
    <w:tmpl w:val="4AC6E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639A1"/>
    <w:rsid w:val="00000A01"/>
    <w:rsid w:val="000053C5"/>
    <w:rsid w:val="0000542C"/>
    <w:rsid w:val="00006A31"/>
    <w:rsid w:val="00006C82"/>
    <w:rsid w:val="00010E30"/>
    <w:rsid w:val="00015C76"/>
    <w:rsid w:val="00021423"/>
    <w:rsid w:val="00022ECB"/>
    <w:rsid w:val="00026CF8"/>
    <w:rsid w:val="00030BD7"/>
    <w:rsid w:val="00031E64"/>
    <w:rsid w:val="00034340"/>
    <w:rsid w:val="000358ED"/>
    <w:rsid w:val="00045A8D"/>
    <w:rsid w:val="0005167A"/>
    <w:rsid w:val="000531C8"/>
    <w:rsid w:val="00053E40"/>
    <w:rsid w:val="00054E5D"/>
    <w:rsid w:val="00061505"/>
    <w:rsid w:val="00070258"/>
    <w:rsid w:val="0007323C"/>
    <w:rsid w:val="00086D03"/>
    <w:rsid w:val="000916EE"/>
    <w:rsid w:val="000A096A"/>
    <w:rsid w:val="000A375E"/>
    <w:rsid w:val="000A6BAF"/>
    <w:rsid w:val="000A7051"/>
    <w:rsid w:val="000A7FDF"/>
    <w:rsid w:val="000B0AF6"/>
    <w:rsid w:val="000B0E9B"/>
    <w:rsid w:val="000B1BBB"/>
    <w:rsid w:val="000B2CAE"/>
    <w:rsid w:val="000B3980"/>
    <w:rsid w:val="000B52CD"/>
    <w:rsid w:val="000C03C7"/>
    <w:rsid w:val="000C1FDE"/>
    <w:rsid w:val="000C2AD0"/>
    <w:rsid w:val="000D27E2"/>
    <w:rsid w:val="000D34CB"/>
    <w:rsid w:val="000E3DEE"/>
    <w:rsid w:val="000E3FDF"/>
    <w:rsid w:val="00100B72"/>
    <w:rsid w:val="00101F7D"/>
    <w:rsid w:val="00103C76"/>
    <w:rsid w:val="0011265F"/>
    <w:rsid w:val="00117282"/>
    <w:rsid w:val="00117389"/>
    <w:rsid w:val="001179ED"/>
    <w:rsid w:val="00121C2D"/>
    <w:rsid w:val="001243AE"/>
    <w:rsid w:val="00130876"/>
    <w:rsid w:val="00133CDB"/>
    <w:rsid w:val="00134404"/>
    <w:rsid w:val="00140C82"/>
    <w:rsid w:val="00143831"/>
    <w:rsid w:val="00144DFB"/>
    <w:rsid w:val="00145C49"/>
    <w:rsid w:val="00187CA3"/>
    <w:rsid w:val="00192C6B"/>
    <w:rsid w:val="00196710"/>
    <w:rsid w:val="00197324"/>
    <w:rsid w:val="001A038D"/>
    <w:rsid w:val="001B351B"/>
    <w:rsid w:val="001C06DB"/>
    <w:rsid w:val="001C6971"/>
    <w:rsid w:val="001D2785"/>
    <w:rsid w:val="001D7070"/>
    <w:rsid w:val="001E10BE"/>
    <w:rsid w:val="001F2170"/>
    <w:rsid w:val="001F3948"/>
    <w:rsid w:val="001F3F32"/>
    <w:rsid w:val="001F5A49"/>
    <w:rsid w:val="00201097"/>
    <w:rsid w:val="00201B6E"/>
    <w:rsid w:val="00202F8A"/>
    <w:rsid w:val="00205B51"/>
    <w:rsid w:val="00211EFE"/>
    <w:rsid w:val="00225764"/>
    <w:rsid w:val="002302B3"/>
    <w:rsid w:val="00230C66"/>
    <w:rsid w:val="00235A29"/>
    <w:rsid w:val="00241526"/>
    <w:rsid w:val="002443A2"/>
    <w:rsid w:val="00246A32"/>
    <w:rsid w:val="002509E7"/>
    <w:rsid w:val="0026490D"/>
    <w:rsid w:val="0026563B"/>
    <w:rsid w:val="00266E74"/>
    <w:rsid w:val="002678F1"/>
    <w:rsid w:val="00283C3B"/>
    <w:rsid w:val="00284DD1"/>
    <w:rsid w:val="002861E6"/>
    <w:rsid w:val="00286EA3"/>
    <w:rsid w:val="00287856"/>
    <w:rsid w:val="00287D18"/>
    <w:rsid w:val="002A2618"/>
    <w:rsid w:val="002A5DD7"/>
    <w:rsid w:val="002A69F5"/>
    <w:rsid w:val="002B0CAC"/>
    <w:rsid w:val="002C31B2"/>
    <w:rsid w:val="002D5A15"/>
    <w:rsid w:val="002D5BDD"/>
    <w:rsid w:val="002E3D27"/>
    <w:rsid w:val="002F0890"/>
    <w:rsid w:val="002F2531"/>
    <w:rsid w:val="002F38F8"/>
    <w:rsid w:val="002F4967"/>
    <w:rsid w:val="002F6FB4"/>
    <w:rsid w:val="003051CF"/>
    <w:rsid w:val="00316935"/>
    <w:rsid w:val="00317A36"/>
    <w:rsid w:val="00322E93"/>
    <w:rsid w:val="003266ED"/>
    <w:rsid w:val="003370B8"/>
    <w:rsid w:val="00345D38"/>
    <w:rsid w:val="00352097"/>
    <w:rsid w:val="003666FF"/>
    <w:rsid w:val="0037309C"/>
    <w:rsid w:val="0037604A"/>
    <w:rsid w:val="00380A6E"/>
    <w:rsid w:val="00382293"/>
    <w:rsid w:val="003836D4"/>
    <w:rsid w:val="0039405F"/>
    <w:rsid w:val="00395350"/>
    <w:rsid w:val="003A1F49"/>
    <w:rsid w:val="003A5D52"/>
    <w:rsid w:val="003A71CF"/>
    <w:rsid w:val="003B1716"/>
    <w:rsid w:val="003B2BDA"/>
    <w:rsid w:val="003B55EC"/>
    <w:rsid w:val="003C27B2"/>
    <w:rsid w:val="003C2EA7"/>
    <w:rsid w:val="003C3611"/>
    <w:rsid w:val="003C406D"/>
    <w:rsid w:val="003C4471"/>
    <w:rsid w:val="003C7D41"/>
    <w:rsid w:val="003D3762"/>
    <w:rsid w:val="003D4A69"/>
    <w:rsid w:val="003D6030"/>
    <w:rsid w:val="003E1F03"/>
    <w:rsid w:val="003E504F"/>
    <w:rsid w:val="003E67E9"/>
    <w:rsid w:val="003E78D6"/>
    <w:rsid w:val="00400573"/>
    <w:rsid w:val="004007A3"/>
    <w:rsid w:val="00402460"/>
    <w:rsid w:val="00406D71"/>
    <w:rsid w:val="004225F1"/>
    <w:rsid w:val="00425F43"/>
    <w:rsid w:val="004326DB"/>
    <w:rsid w:val="0043682E"/>
    <w:rsid w:val="004425DC"/>
    <w:rsid w:val="00447ECB"/>
    <w:rsid w:val="004623F7"/>
    <w:rsid w:val="00472BFD"/>
    <w:rsid w:val="00480A10"/>
    <w:rsid w:val="00480F51"/>
    <w:rsid w:val="00481124"/>
    <w:rsid w:val="004815EB"/>
    <w:rsid w:val="00487569"/>
    <w:rsid w:val="00487BA4"/>
    <w:rsid w:val="00496864"/>
    <w:rsid w:val="00496920"/>
    <w:rsid w:val="0049785B"/>
    <w:rsid w:val="004A36F7"/>
    <w:rsid w:val="004A4496"/>
    <w:rsid w:val="004B11AB"/>
    <w:rsid w:val="004B1CB8"/>
    <w:rsid w:val="004B1D8E"/>
    <w:rsid w:val="004B7C9A"/>
    <w:rsid w:val="004C6779"/>
    <w:rsid w:val="004D47BC"/>
    <w:rsid w:val="004D733B"/>
    <w:rsid w:val="004E0DC4"/>
    <w:rsid w:val="004E0DE0"/>
    <w:rsid w:val="004E0FB5"/>
    <w:rsid w:val="004E43BB"/>
    <w:rsid w:val="004E460D"/>
    <w:rsid w:val="004F178E"/>
    <w:rsid w:val="004F44AE"/>
    <w:rsid w:val="004F4543"/>
    <w:rsid w:val="004F57BB"/>
    <w:rsid w:val="005046BD"/>
    <w:rsid w:val="00505309"/>
    <w:rsid w:val="0050789B"/>
    <w:rsid w:val="00507BEA"/>
    <w:rsid w:val="005224A1"/>
    <w:rsid w:val="00530AEE"/>
    <w:rsid w:val="00534372"/>
    <w:rsid w:val="00543DF8"/>
    <w:rsid w:val="00546101"/>
    <w:rsid w:val="0055012F"/>
    <w:rsid w:val="00553DD7"/>
    <w:rsid w:val="0056051D"/>
    <w:rsid w:val="00561F2B"/>
    <w:rsid w:val="0056294C"/>
    <w:rsid w:val="005638CF"/>
    <w:rsid w:val="0056741E"/>
    <w:rsid w:val="0057325A"/>
    <w:rsid w:val="0057469A"/>
    <w:rsid w:val="005759CD"/>
    <w:rsid w:val="00580814"/>
    <w:rsid w:val="005821B3"/>
    <w:rsid w:val="00583A0B"/>
    <w:rsid w:val="00586F28"/>
    <w:rsid w:val="005A03A3"/>
    <w:rsid w:val="005A149F"/>
    <w:rsid w:val="005A2B92"/>
    <w:rsid w:val="005A79E9"/>
    <w:rsid w:val="005B214C"/>
    <w:rsid w:val="005B657B"/>
    <w:rsid w:val="005D0AB9"/>
    <w:rsid w:val="005D3669"/>
    <w:rsid w:val="005E53F1"/>
    <w:rsid w:val="005E5EB3"/>
    <w:rsid w:val="005F3C19"/>
    <w:rsid w:val="005F3CB6"/>
    <w:rsid w:val="005F657C"/>
    <w:rsid w:val="00602D53"/>
    <w:rsid w:val="006047E5"/>
    <w:rsid w:val="00615A05"/>
    <w:rsid w:val="0061712E"/>
    <w:rsid w:val="00626FF2"/>
    <w:rsid w:val="006373BF"/>
    <w:rsid w:val="0064371D"/>
    <w:rsid w:val="00645493"/>
    <w:rsid w:val="00650B2A"/>
    <w:rsid w:val="00651777"/>
    <w:rsid w:val="006550F8"/>
    <w:rsid w:val="00656226"/>
    <w:rsid w:val="006639A1"/>
    <w:rsid w:val="006829F3"/>
    <w:rsid w:val="006904A3"/>
    <w:rsid w:val="00691C39"/>
    <w:rsid w:val="00691E13"/>
    <w:rsid w:val="006A518B"/>
    <w:rsid w:val="006B0590"/>
    <w:rsid w:val="006B49DA"/>
    <w:rsid w:val="006B5BE7"/>
    <w:rsid w:val="006C53F8"/>
    <w:rsid w:val="006C7CDE"/>
    <w:rsid w:val="006D4571"/>
    <w:rsid w:val="006E251C"/>
    <w:rsid w:val="006E73AE"/>
    <w:rsid w:val="007234B1"/>
    <w:rsid w:val="00723D08"/>
    <w:rsid w:val="00725FDA"/>
    <w:rsid w:val="00727816"/>
    <w:rsid w:val="00730B9A"/>
    <w:rsid w:val="00743A13"/>
    <w:rsid w:val="007460DB"/>
    <w:rsid w:val="0075053F"/>
    <w:rsid w:val="00750CFA"/>
    <w:rsid w:val="007551B0"/>
    <w:rsid w:val="00755307"/>
    <w:rsid w:val="007553DA"/>
    <w:rsid w:val="00755E7B"/>
    <w:rsid w:val="00782354"/>
    <w:rsid w:val="007921A7"/>
    <w:rsid w:val="0079427D"/>
    <w:rsid w:val="007952CB"/>
    <w:rsid w:val="007A54A8"/>
    <w:rsid w:val="007B220E"/>
    <w:rsid w:val="007B3DB1"/>
    <w:rsid w:val="007C316B"/>
    <w:rsid w:val="007D183E"/>
    <w:rsid w:val="007D1A53"/>
    <w:rsid w:val="007D43D0"/>
    <w:rsid w:val="007E1833"/>
    <w:rsid w:val="007E2CF9"/>
    <w:rsid w:val="007E3F13"/>
    <w:rsid w:val="007E4790"/>
    <w:rsid w:val="007F751A"/>
    <w:rsid w:val="00800012"/>
    <w:rsid w:val="0080261F"/>
    <w:rsid w:val="00806160"/>
    <w:rsid w:val="008143A4"/>
    <w:rsid w:val="00814884"/>
    <w:rsid w:val="0081513E"/>
    <w:rsid w:val="00825326"/>
    <w:rsid w:val="008260C5"/>
    <w:rsid w:val="008409CC"/>
    <w:rsid w:val="008515EA"/>
    <w:rsid w:val="00854131"/>
    <w:rsid w:val="0085432A"/>
    <w:rsid w:val="0085576C"/>
    <w:rsid w:val="0085652D"/>
    <w:rsid w:val="00856872"/>
    <w:rsid w:val="00856E62"/>
    <w:rsid w:val="00856FE4"/>
    <w:rsid w:val="00862424"/>
    <w:rsid w:val="0087694B"/>
    <w:rsid w:val="008772CB"/>
    <w:rsid w:val="00880F4D"/>
    <w:rsid w:val="00884FC2"/>
    <w:rsid w:val="008874E5"/>
    <w:rsid w:val="0089275B"/>
    <w:rsid w:val="008A49FC"/>
    <w:rsid w:val="008A61CE"/>
    <w:rsid w:val="008B35A3"/>
    <w:rsid w:val="008B37E1"/>
    <w:rsid w:val="008B45F8"/>
    <w:rsid w:val="008B59A5"/>
    <w:rsid w:val="008C2E74"/>
    <w:rsid w:val="008D5409"/>
    <w:rsid w:val="008D613C"/>
    <w:rsid w:val="008E006D"/>
    <w:rsid w:val="008E38B4"/>
    <w:rsid w:val="008E73DB"/>
    <w:rsid w:val="008F4F21"/>
    <w:rsid w:val="008F5AD0"/>
    <w:rsid w:val="00904D4A"/>
    <w:rsid w:val="009151BA"/>
    <w:rsid w:val="00916E06"/>
    <w:rsid w:val="0092098C"/>
    <w:rsid w:val="00925023"/>
    <w:rsid w:val="00926D16"/>
    <w:rsid w:val="00926F55"/>
    <w:rsid w:val="009277BC"/>
    <w:rsid w:val="00927D57"/>
    <w:rsid w:val="00931A51"/>
    <w:rsid w:val="009437B0"/>
    <w:rsid w:val="00945999"/>
    <w:rsid w:val="00945C5E"/>
    <w:rsid w:val="00947185"/>
    <w:rsid w:val="0094796F"/>
    <w:rsid w:val="00947D2B"/>
    <w:rsid w:val="009518B3"/>
    <w:rsid w:val="00953C69"/>
    <w:rsid w:val="009551A8"/>
    <w:rsid w:val="009572BB"/>
    <w:rsid w:val="00963D9D"/>
    <w:rsid w:val="009741CF"/>
    <w:rsid w:val="0098013E"/>
    <w:rsid w:val="00981B54"/>
    <w:rsid w:val="009842C3"/>
    <w:rsid w:val="009A009A"/>
    <w:rsid w:val="009A3840"/>
    <w:rsid w:val="009A5F98"/>
    <w:rsid w:val="009A6BB6"/>
    <w:rsid w:val="009B3F43"/>
    <w:rsid w:val="009B5CFA"/>
    <w:rsid w:val="009C161F"/>
    <w:rsid w:val="009C56B4"/>
    <w:rsid w:val="009D26AE"/>
    <w:rsid w:val="009D51A2"/>
    <w:rsid w:val="009D60C6"/>
    <w:rsid w:val="009E04A8"/>
    <w:rsid w:val="009E4AEC"/>
    <w:rsid w:val="009E572B"/>
    <w:rsid w:val="009E5BD8"/>
    <w:rsid w:val="009E681E"/>
    <w:rsid w:val="009F73F3"/>
    <w:rsid w:val="00A119E6"/>
    <w:rsid w:val="00A20FBC"/>
    <w:rsid w:val="00A23BCF"/>
    <w:rsid w:val="00A31370"/>
    <w:rsid w:val="00A34D6F"/>
    <w:rsid w:val="00A3524F"/>
    <w:rsid w:val="00A41783"/>
    <w:rsid w:val="00A41F91"/>
    <w:rsid w:val="00A514D0"/>
    <w:rsid w:val="00A63355"/>
    <w:rsid w:val="00A675C3"/>
    <w:rsid w:val="00A7596D"/>
    <w:rsid w:val="00A92DB3"/>
    <w:rsid w:val="00A94D35"/>
    <w:rsid w:val="00A963DF"/>
    <w:rsid w:val="00AA7073"/>
    <w:rsid w:val="00AB703D"/>
    <w:rsid w:val="00AC0C22"/>
    <w:rsid w:val="00AC3896"/>
    <w:rsid w:val="00AD2CF2"/>
    <w:rsid w:val="00AD6019"/>
    <w:rsid w:val="00AE2D88"/>
    <w:rsid w:val="00AE54AF"/>
    <w:rsid w:val="00AE6F6F"/>
    <w:rsid w:val="00AE74E5"/>
    <w:rsid w:val="00AF3325"/>
    <w:rsid w:val="00AF34D9"/>
    <w:rsid w:val="00AF651B"/>
    <w:rsid w:val="00AF70DA"/>
    <w:rsid w:val="00B005D8"/>
    <w:rsid w:val="00B019D3"/>
    <w:rsid w:val="00B34CF9"/>
    <w:rsid w:val="00B37559"/>
    <w:rsid w:val="00B4054B"/>
    <w:rsid w:val="00B579B0"/>
    <w:rsid w:val="00B57D11"/>
    <w:rsid w:val="00B609C2"/>
    <w:rsid w:val="00B649D7"/>
    <w:rsid w:val="00B723B2"/>
    <w:rsid w:val="00B81840"/>
    <w:rsid w:val="00B81C2F"/>
    <w:rsid w:val="00B90743"/>
    <w:rsid w:val="00B90C45"/>
    <w:rsid w:val="00B9335F"/>
    <w:rsid w:val="00B933BE"/>
    <w:rsid w:val="00BA435A"/>
    <w:rsid w:val="00BB640F"/>
    <w:rsid w:val="00BD5AE2"/>
    <w:rsid w:val="00BD6738"/>
    <w:rsid w:val="00BD7E5E"/>
    <w:rsid w:val="00BE63DB"/>
    <w:rsid w:val="00BE6574"/>
    <w:rsid w:val="00BF3AFE"/>
    <w:rsid w:val="00BF7FC6"/>
    <w:rsid w:val="00C07319"/>
    <w:rsid w:val="00C16FD2"/>
    <w:rsid w:val="00C35400"/>
    <w:rsid w:val="00C418FD"/>
    <w:rsid w:val="00C4395E"/>
    <w:rsid w:val="00C47FFD"/>
    <w:rsid w:val="00C51E92"/>
    <w:rsid w:val="00C57E2C"/>
    <w:rsid w:val="00C608B7"/>
    <w:rsid w:val="00C66F24"/>
    <w:rsid w:val="00C6706A"/>
    <w:rsid w:val="00C76D7F"/>
    <w:rsid w:val="00C778E6"/>
    <w:rsid w:val="00C813AA"/>
    <w:rsid w:val="00C818D7"/>
    <w:rsid w:val="00C85C93"/>
    <w:rsid w:val="00C9291E"/>
    <w:rsid w:val="00CA3F44"/>
    <w:rsid w:val="00CA4E58"/>
    <w:rsid w:val="00CA4FB3"/>
    <w:rsid w:val="00CB3771"/>
    <w:rsid w:val="00CB44BF"/>
    <w:rsid w:val="00CB5153"/>
    <w:rsid w:val="00CE076A"/>
    <w:rsid w:val="00CE4356"/>
    <w:rsid w:val="00CE463D"/>
    <w:rsid w:val="00CF51C9"/>
    <w:rsid w:val="00D10BA0"/>
    <w:rsid w:val="00D146B1"/>
    <w:rsid w:val="00D21694"/>
    <w:rsid w:val="00D24EB5"/>
    <w:rsid w:val="00D263C0"/>
    <w:rsid w:val="00D350CD"/>
    <w:rsid w:val="00D35AB9"/>
    <w:rsid w:val="00D40D8B"/>
    <w:rsid w:val="00D41571"/>
    <w:rsid w:val="00D416A0"/>
    <w:rsid w:val="00D46F47"/>
    <w:rsid w:val="00D47672"/>
    <w:rsid w:val="00D5123C"/>
    <w:rsid w:val="00D55560"/>
    <w:rsid w:val="00D61C5A"/>
    <w:rsid w:val="00D6790C"/>
    <w:rsid w:val="00D73277"/>
    <w:rsid w:val="00D76586"/>
    <w:rsid w:val="00D82657"/>
    <w:rsid w:val="00D82ADE"/>
    <w:rsid w:val="00D83C6B"/>
    <w:rsid w:val="00D84BF7"/>
    <w:rsid w:val="00D87E20"/>
    <w:rsid w:val="00DA4037"/>
    <w:rsid w:val="00DB4E75"/>
    <w:rsid w:val="00DC2586"/>
    <w:rsid w:val="00DE66A5"/>
    <w:rsid w:val="00DE6960"/>
    <w:rsid w:val="00DF2B50"/>
    <w:rsid w:val="00E02429"/>
    <w:rsid w:val="00E04C86"/>
    <w:rsid w:val="00E17344"/>
    <w:rsid w:val="00E20F30"/>
    <w:rsid w:val="00E2189C"/>
    <w:rsid w:val="00E234D1"/>
    <w:rsid w:val="00E24B23"/>
    <w:rsid w:val="00E25BB1"/>
    <w:rsid w:val="00E27BBA"/>
    <w:rsid w:val="00E30E3F"/>
    <w:rsid w:val="00E3316F"/>
    <w:rsid w:val="00E35E8F"/>
    <w:rsid w:val="00E428AB"/>
    <w:rsid w:val="00E438E8"/>
    <w:rsid w:val="00E453A3"/>
    <w:rsid w:val="00E45B29"/>
    <w:rsid w:val="00E520E2"/>
    <w:rsid w:val="00E530C4"/>
    <w:rsid w:val="00E55996"/>
    <w:rsid w:val="00E626C1"/>
    <w:rsid w:val="00E6406E"/>
    <w:rsid w:val="00E64254"/>
    <w:rsid w:val="00E67928"/>
    <w:rsid w:val="00E70FB5"/>
    <w:rsid w:val="00E9153B"/>
    <w:rsid w:val="00E915AF"/>
    <w:rsid w:val="00E93816"/>
    <w:rsid w:val="00E96415"/>
    <w:rsid w:val="00E96F17"/>
    <w:rsid w:val="00E97AB3"/>
    <w:rsid w:val="00EA15B3"/>
    <w:rsid w:val="00EA3506"/>
    <w:rsid w:val="00EB2358"/>
    <w:rsid w:val="00EB3EB8"/>
    <w:rsid w:val="00EB7C80"/>
    <w:rsid w:val="00EC02FE"/>
    <w:rsid w:val="00EC4A96"/>
    <w:rsid w:val="00ED2545"/>
    <w:rsid w:val="00EE48E9"/>
    <w:rsid w:val="00EE7601"/>
    <w:rsid w:val="00EF1817"/>
    <w:rsid w:val="00EF26EB"/>
    <w:rsid w:val="00EF60FD"/>
    <w:rsid w:val="00EF7E55"/>
    <w:rsid w:val="00F005A8"/>
    <w:rsid w:val="00F133E2"/>
    <w:rsid w:val="00F171CA"/>
    <w:rsid w:val="00F37B8F"/>
    <w:rsid w:val="00F424BF"/>
    <w:rsid w:val="00F44FC3"/>
    <w:rsid w:val="00F46107"/>
    <w:rsid w:val="00F468C5"/>
    <w:rsid w:val="00F4754F"/>
    <w:rsid w:val="00F47850"/>
    <w:rsid w:val="00F52F39"/>
    <w:rsid w:val="00F6184F"/>
    <w:rsid w:val="00F64FF4"/>
    <w:rsid w:val="00F76C79"/>
    <w:rsid w:val="00F8310E"/>
    <w:rsid w:val="00F903FF"/>
    <w:rsid w:val="00F914DD"/>
    <w:rsid w:val="00FA2358"/>
    <w:rsid w:val="00FB1A98"/>
    <w:rsid w:val="00FB2294"/>
    <w:rsid w:val="00FB2592"/>
    <w:rsid w:val="00FB2810"/>
    <w:rsid w:val="00FB7A2C"/>
    <w:rsid w:val="00FC14E7"/>
    <w:rsid w:val="00FC1C2A"/>
    <w:rsid w:val="00FC2947"/>
    <w:rsid w:val="00FC6E08"/>
    <w:rsid w:val="00FE0818"/>
    <w:rsid w:val="00FE2430"/>
    <w:rsid w:val="00FE6FB1"/>
    <w:rsid w:val="00FF02E2"/>
    <w:rsid w:val="00FF1F8F"/>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E19F457-7148-433D-BCC6-36A97497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erChar">
    <w:name w:val="Header Char"/>
    <w:basedOn w:val="DefaultParagraphFont"/>
    <w:link w:val="Header"/>
    <w:rsid w:val="0094796F"/>
    <w:rPr>
      <w:sz w:val="22"/>
      <w:szCs w:val="22"/>
      <w:lang w:val="en-US" w:eastAsia="en-US"/>
    </w:rPr>
  </w:style>
  <w:style w:type="character" w:customStyle="1" w:styleId="FooterChar">
    <w:name w:val="Footer Char"/>
    <w:basedOn w:val="DefaultParagraphFont"/>
    <w:link w:val="Footer"/>
    <w:uiPriority w:val="99"/>
    <w:rsid w:val="0061712E"/>
    <w:rPr>
      <w:sz w:val="22"/>
      <w:szCs w:val="22"/>
      <w:lang w:val="en-US" w:eastAsia="en-US"/>
    </w:rPr>
  </w:style>
  <w:style w:type="character" w:styleId="FollowedHyperlink">
    <w:name w:val="FollowedHyperlink"/>
    <w:basedOn w:val="DefaultParagraphFont"/>
    <w:rsid w:val="00DB4E75"/>
    <w:rPr>
      <w:color w:val="800080" w:themeColor="followedHyperlink"/>
      <w:u w:val="single"/>
    </w:rPr>
  </w:style>
  <w:style w:type="paragraph" w:styleId="ListParagraph">
    <w:name w:val="List Paragraph"/>
    <w:basedOn w:val="Normal"/>
    <w:uiPriority w:val="34"/>
    <w:qFormat/>
    <w:rsid w:val="001243AE"/>
    <w:pPr>
      <w:ind w:left="720"/>
      <w:contextualSpacing/>
    </w:pPr>
  </w:style>
  <w:style w:type="table" w:styleId="TableGrid">
    <w:name w:val="Table Grid"/>
    <w:basedOn w:val="TableNormal"/>
    <w:rsid w:val="00F4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EE48E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EDBE-D64D-4B25-9AAC-3E6F7D0C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604</Words>
  <Characters>3361</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3958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Jimenez, Virginia</cp:lastModifiedBy>
  <cp:revision>5</cp:revision>
  <cp:lastPrinted>2015-06-04T12:52:00Z</cp:lastPrinted>
  <dcterms:created xsi:type="dcterms:W3CDTF">2015-06-04T09:50:00Z</dcterms:created>
  <dcterms:modified xsi:type="dcterms:W3CDTF">2015-06-04T12:52:00Z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