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FB22F9">
            <w:pPr>
              <w:spacing w:before="0"/>
              <w:jc w:val="left"/>
              <w:rPr>
                <w:b/>
                <w:bCs/>
                <w:szCs w:val="24"/>
                <w:lang w:val="fr-CH"/>
              </w:rPr>
            </w:pPr>
            <w:r w:rsidRPr="0033029C">
              <w:rPr>
                <w:b/>
                <w:bCs/>
                <w:szCs w:val="24"/>
                <w:lang w:val="fr-CH"/>
              </w:rPr>
              <w:t>CA</w:t>
            </w:r>
            <w:r w:rsidR="00FB22F9">
              <w:rPr>
                <w:b/>
                <w:bCs/>
                <w:szCs w:val="24"/>
                <w:lang w:val="fr-CH"/>
              </w:rPr>
              <w:t>CE/729</w:t>
            </w:r>
          </w:p>
        </w:tc>
        <w:tc>
          <w:tcPr>
            <w:tcW w:w="2835" w:type="dxa"/>
            <w:shd w:val="clear" w:color="auto" w:fill="auto"/>
          </w:tcPr>
          <w:p w:rsidR="00E53DCE" w:rsidRPr="0033029C" w:rsidRDefault="00E74E2F" w:rsidP="003E3E8A">
            <w:pPr>
              <w:spacing w:before="0"/>
              <w:jc w:val="right"/>
              <w:rPr>
                <w:szCs w:val="24"/>
                <w:lang w:val="en-GB"/>
              </w:rPr>
            </w:pPr>
            <w:r>
              <w:rPr>
                <w:bCs/>
                <w:szCs w:val="24"/>
              </w:rPr>
              <w:t>5</w:t>
            </w:r>
            <w:r w:rsidR="00A96D3A" w:rsidRPr="0033029C">
              <w:rPr>
                <w:bCs/>
                <w:szCs w:val="24"/>
              </w:rPr>
              <w:t xml:space="preserve"> de </w:t>
            </w:r>
            <w:r w:rsidR="003E3E8A">
              <w:rPr>
                <w:bCs/>
                <w:szCs w:val="24"/>
              </w:rPr>
              <w:t>junio</w:t>
            </w:r>
            <w:r w:rsidR="00A96D3A" w:rsidRPr="0033029C">
              <w:rPr>
                <w:bCs/>
                <w:szCs w:val="24"/>
              </w:rPr>
              <w:t xml:space="preserve"> de 201</w:t>
            </w:r>
            <w:r>
              <w:rPr>
                <w:bCs/>
                <w:szCs w:val="24"/>
              </w:rPr>
              <w:t>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B02EAF" w:rsidTr="00306452">
        <w:trPr>
          <w:jc w:val="center"/>
        </w:trPr>
        <w:tc>
          <w:tcPr>
            <w:tcW w:w="9889" w:type="dxa"/>
            <w:gridSpan w:val="3"/>
            <w:shd w:val="clear" w:color="auto" w:fill="auto"/>
          </w:tcPr>
          <w:p w:rsidR="00E53DCE" w:rsidRPr="00FB22F9" w:rsidRDefault="00FB22F9" w:rsidP="00FB22F9">
            <w:pPr>
              <w:spacing w:before="0"/>
              <w:jc w:val="left"/>
              <w:rPr>
                <w:b/>
                <w:bCs/>
                <w:szCs w:val="24"/>
                <w:lang w:val="es-ES_tradnl"/>
              </w:rPr>
            </w:pPr>
            <w:r w:rsidRPr="00FB22F9">
              <w:rPr>
                <w:b/>
                <w:bCs/>
                <w:lang w:val="es-ES_tradnl"/>
              </w:rPr>
              <w:t xml:space="preserve">A las Administraciones de los Estados Miembros de la UIT, a los Miembros del Sector de Radiocomunicaciones, a los Asociados del UIT-R que participan en los trabajos de la Comisión de Estudio </w:t>
            </w:r>
            <w:r>
              <w:rPr>
                <w:b/>
                <w:bCs/>
                <w:lang w:val="es-ES_tradnl"/>
              </w:rPr>
              <w:t>7</w:t>
            </w:r>
            <w:r w:rsidRPr="00FB22F9">
              <w:rPr>
                <w:b/>
                <w:bCs/>
                <w:lang w:val="es-ES_tradnl"/>
              </w:rPr>
              <w:t xml:space="preserve"> de Radiocomunicaciones </w:t>
            </w:r>
          </w:p>
        </w:tc>
      </w:tr>
      <w:tr w:rsidR="00E53DCE" w:rsidRPr="00B02EAF" w:rsidTr="00306452">
        <w:trPr>
          <w:jc w:val="center"/>
        </w:trPr>
        <w:tc>
          <w:tcPr>
            <w:tcW w:w="9889" w:type="dxa"/>
            <w:gridSpan w:val="3"/>
            <w:shd w:val="clear" w:color="auto" w:fill="auto"/>
          </w:tcPr>
          <w:p w:rsidR="00E53DCE" w:rsidRPr="00FB22F9" w:rsidRDefault="00E53DCE" w:rsidP="006160CB">
            <w:pPr>
              <w:spacing w:before="0"/>
              <w:jc w:val="left"/>
              <w:rPr>
                <w:szCs w:val="24"/>
                <w:lang w:val="es-ES_tradnl"/>
              </w:rPr>
            </w:pPr>
          </w:p>
        </w:tc>
      </w:tr>
      <w:tr w:rsidR="00E53DCE" w:rsidRPr="00B02EAF" w:rsidTr="00306452">
        <w:trPr>
          <w:jc w:val="center"/>
        </w:trPr>
        <w:tc>
          <w:tcPr>
            <w:tcW w:w="9889" w:type="dxa"/>
            <w:gridSpan w:val="3"/>
            <w:shd w:val="clear" w:color="auto" w:fill="auto"/>
          </w:tcPr>
          <w:p w:rsidR="00E53DCE" w:rsidRPr="00FB22F9" w:rsidRDefault="00E53DCE" w:rsidP="006160CB">
            <w:pPr>
              <w:spacing w:before="0"/>
              <w:jc w:val="left"/>
              <w:rPr>
                <w:szCs w:val="24"/>
                <w:lang w:val="es-ES_tradnl"/>
              </w:rPr>
            </w:pPr>
          </w:p>
        </w:tc>
      </w:tr>
      <w:tr w:rsidR="00E53DCE" w:rsidRPr="00B02EAF"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Default="00FB22F9" w:rsidP="00FB22F9">
            <w:pPr>
              <w:tabs>
                <w:tab w:val="clear" w:pos="1588"/>
                <w:tab w:val="left" w:pos="1560"/>
              </w:tabs>
              <w:spacing w:before="0"/>
              <w:rPr>
                <w:b/>
                <w:lang w:val="es-ES_tradnl"/>
              </w:rPr>
            </w:pPr>
            <w:r w:rsidRPr="00FB22F9">
              <w:rPr>
                <w:b/>
                <w:lang w:val="es-ES_tradnl"/>
              </w:rPr>
              <w:t xml:space="preserve">Comisión de Estudio </w:t>
            </w:r>
            <w:r>
              <w:rPr>
                <w:b/>
                <w:lang w:val="es-ES_tradnl"/>
              </w:rPr>
              <w:t>7</w:t>
            </w:r>
            <w:r w:rsidRPr="00FB22F9">
              <w:rPr>
                <w:b/>
                <w:lang w:val="es-ES_tradnl"/>
              </w:rPr>
              <w:t xml:space="preserve"> de Radiocomunicaciones</w:t>
            </w:r>
            <w:r>
              <w:rPr>
                <w:b/>
                <w:lang w:val="es-ES_tradnl"/>
              </w:rPr>
              <w:t xml:space="preserve"> (</w:t>
            </w:r>
            <w:r w:rsidR="00E74E2F" w:rsidRPr="00DC04BD">
              <w:rPr>
                <w:b/>
                <w:bCs/>
                <w:szCs w:val="24"/>
                <w:lang w:val="es-ES_tradnl"/>
              </w:rPr>
              <w:t>Servicios científicos</w:t>
            </w:r>
            <w:r>
              <w:rPr>
                <w:b/>
                <w:lang w:val="es-ES_tradnl"/>
              </w:rPr>
              <w:t>)</w:t>
            </w:r>
          </w:p>
          <w:p w:rsidR="00FB22F9" w:rsidRDefault="00FB22F9" w:rsidP="0063039C">
            <w:pPr>
              <w:tabs>
                <w:tab w:val="clear" w:pos="794"/>
                <w:tab w:val="clear" w:pos="1588"/>
                <w:tab w:val="left" w:pos="351"/>
                <w:tab w:val="left" w:pos="1560"/>
              </w:tabs>
              <w:spacing w:before="120"/>
              <w:ind w:left="351" w:hanging="351"/>
              <w:jc w:val="left"/>
              <w:rPr>
                <w:b/>
                <w:lang w:val="es-ES_tradnl"/>
              </w:rPr>
            </w:pPr>
            <w:r w:rsidRPr="00FB22F9">
              <w:rPr>
                <w:b/>
                <w:bCs/>
                <w:lang w:val="es-ES_tradnl"/>
              </w:rPr>
              <w:t>–</w:t>
            </w:r>
            <w:r w:rsidRPr="00FB22F9">
              <w:rPr>
                <w:b/>
                <w:bCs/>
                <w:lang w:val="es-ES_tradnl"/>
              </w:rPr>
              <w:tab/>
              <w:t xml:space="preserve">Propuesta de adopción de </w:t>
            </w:r>
            <w:r w:rsidR="00E74E2F">
              <w:rPr>
                <w:b/>
                <w:bCs/>
                <w:lang w:val="es-ES_tradnl"/>
              </w:rPr>
              <w:t>2</w:t>
            </w:r>
            <w:r w:rsidRPr="00FB22F9">
              <w:rPr>
                <w:b/>
                <w:bCs/>
                <w:lang w:val="es-ES_tradnl"/>
              </w:rPr>
              <w:t xml:space="preserve"> proyectos de nueva Recomendaci</w:t>
            </w:r>
            <w:r w:rsidR="00157A20" w:rsidRPr="0072409D">
              <w:rPr>
                <w:b/>
                <w:bCs/>
                <w:szCs w:val="24"/>
                <w:lang w:val="es-ES_tradnl"/>
              </w:rPr>
              <w:t>ó</w:t>
            </w:r>
            <w:r w:rsidR="00157A20">
              <w:rPr>
                <w:b/>
                <w:bCs/>
                <w:lang w:val="es-ES_tradnl"/>
              </w:rPr>
              <w:t>n</w:t>
            </w:r>
            <w:r w:rsidRPr="00FB22F9">
              <w:rPr>
                <w:b/>
                <w:bCs/>
                <w:lang w:val="es-ES_tradnl"/>
              </w:rPr>
              <w:t xml:space="preserve"> UIT-R y </w:t>
            </w:r>
            <w:r w:rsidR="00E74E2F">
              <w:rPr>
                <w:b/>
                <w:bCs/>
                <w:lang w:val="es-ES_tradnl"/>
              </w:rPr>
              <w:t>1</w:t>
            </w:r>
            <w:r w:rsidRPr="00FB22F9">
              <w:rPr>
                <w:b/>
                <w:bCs/>
                <w:lang w:val="es-ES_tradnl"/>
              </w:rPr>
              <w:t xml:space="preserve"> </w:t>
            </w:r>
            <w:r w:rsidRPr="00FB22F9">
              <w:rPr>
                <w:b/>
                <w:lang w:val="es-ES_tradnl"/>
              </w:rPr>
              <w:t xml:space="preserve">proyecto de </w:t>
            </w:r>
            <w:r w:rsidR="00985419" w:rsidRPr="00985419">
              <w:rPr>
                <w:b/>
                <w:bCs/>
                <w:szCs w:val="24"/>
                <w:lang w:val="es-ES"/>
              </w:rPr>
              <w:t>Recomendación</w:t>
            </w:r>
            <w:r w:rsidRPr="00FB22F9">
              <w:rPr>
                <w:b/>
                <w:lang w:val="es-ES_tradnl"/>
              </w:rPr>
              <w:t xml:space="preserve"> UIT-R revisada y su aprobación simultánea por correspondencia de conformidad con el § 10.3 de la Resolución UIT</w:t>
            </w:r>
            <w:r w:rsidRPr="00FB22F9">
              <w:rPr>
                <w:b/>
                <w:lang w:val="es-ES_tradnl"/>
              </w:rPr>
              <w:noBreakHyphen/>
              <w:t>R 1</w:t>
            </w:r>
            <w:r w:rsidRPr="00FB22F9">
              <w:rPr>
                <w:b/>
                <w:lang w:val="es-ES_tradnl"/>
              </w:rPr>
              <w:noBreakHyphen/>
              <w:t>6 (Procedimiento para la adopción y aprobación simultánea por correspondencia)</w:t>
            </w:r>
          </w:p>
          <w:p w:rsidR="00FB22F9" w:rsidRPr="0072409D" w:rsidRDefault="00FB22F9" w:rsidP="00AB076F">
            <w:pPr>
              <w:tabs>
                <w:tab w:val="clear" w:pos="794"/>
                <w:tab w:val="clear" w:pos="1588"/>
                <w:tab w:val="left" w:pos="351"/>
                <w:tab w:val="left" w:pos="1560"/>
              </w:tabs>
              <w:spacing w:before="120"/>
              <w:ind w:left="351" w:hanging="351"/>
              <w:rPr>
                <w:b/>
                <w:bCs/>
                <w:szCs w:val="24"/>
                <w:lang w:val="es-ES_tradnl"/>
              </w:rPr>
            </w:pPr>
            <w:r w:rsidRPr="00FB22F9">
              <w:rPr>
                <w:b/>
                <w:bCs/>
                <w:lang w:val="es-ES_tradnl"/>
              </w:rPr>
              <w:t>–</w:t>
            </w:r>
            <w:r w:rsidRPr="00FB22F9">
              <w:rPr>
                <w:b/>
                <w:bCs/>
                <w:lang w:val="es-ES_tradnl"/>
              </w:rPr>
              <w:tab/>
            </w:r>
            <w:r w:rsidR="0072409D" w:rsidRPr="0072409D">
              <w:rPr>
                <w:b/>
                <w:bCs/>
                <w:szCs w:val="24"/>
                <w:lang w:val="es-ES_tradnl"/>
              </w:rPr>
              <w:t>Propuesta de aprobación de supresión de 1 Cuestión UIT-R</w:t>
            </w:r>
          </w:p>
        </w:tc>
      </w:tr>
      <w:tr w:rsidR="00E53DCE" w:rsidRPr="00B02EAF" w:rsidTr="00306452">
        <w:trPr>
          <w:jc w:val="center"/>
        </w:trPr>
        <w:tc>
          <w:tcPr>
            <w:tcW w:w="1526" w:type="dxa"/>
            <w:shd w:val="clear" w:color="auto" w:fill="auto"/>
          </w:tcPr>
          <w:p w:rsidR="00E53DCE" w:rsidRPr="00FB22F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B22F9" w:rsidRDefault="00E53DCE" w:rsidP="006160CB">
            <w:pPr>
              <w:tabs>
                <w:tab w:val="clear" w:pos="1588"/>
                <w:tab w:val="left" w:pos="1560"/>
              </w:tabs>
              <w:spacing w:before="0"/>
              <w:rPr>
                <w:b/>
                <w:bCs/>
                <w:szCs w:val="24"/>
                <w:lang w:val="es-ES_tradnl"/>
              </w:rPr>
            </w:pPr>
          </w:p>
        </w:tc>
      </w:tr>
      <w:tr w:rsidR="00E53DCE" w:rsidRPr="00B02EAF" w:rsidTr="00306452">
        <w:trPr>
          <w:jc w:val="center"/>
        </w:trPr>
        <w:tc>
          <w:tcPr>
            <w:tcW w:w="1526" w:type="dxa"/>
            <w:shd w:val="clear" w:color="auto" w:fill="auto"/>
          </w:tcPr>
          <w:p w:rsidR="00E53DCE" w:rsidRPr="00FB22F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FB22F9" w:rsidRDefault="00E53DCE" w:rsidP="006160CB">
            <w:pPr>
              <w:tabs>
                <w:tab w:val="clear" w:pos="1588"/>
                <w:tab w:val="left" w:pos="1560"/>
              </w:tabs>
              <w:spacing w:before="0"/>
              <w:rPr>
                <w:b/>
                <w:bCs/>
                <w:szCs w:val="24"/>
                <w:lang w:val="es-ES_tradnl"/>
              </w:rPr>
            </w:pPr>
          </w:p>
        </w:tc>
      </w:tr>
      <w:tr w:rsidR="00E53DCE" w:rsidRPr="00B02EAF" w:rsidTr="00306452">
        <w:trPr>
          <w:jc w:val="center"/>
        </w:trPr>
        <w:tc>
          <w:tcPr>
            <w:tcW w:w="9889" w:type="dxa"/>
            <w:gridSpan w:val="3"/>
            <w:shd w:val="clear" w:color="auto" w:fill="auto"/>
          </w:tcPr>
          <w:p w:rsidR="00E53DCE" w:rsidRPr="00FB22F9" w:rsidRDefault="00E53DCE" w:rsidP="00E53DCE">
            <w:pPr>
              <w:tabs>
                <w:tab w:val="clear" w:pos="1588"/>
                <w:tab w:val="left" w:pos="1560"/>
              </w:tabs>
              <w:spacing w:before="0"/>
              <w:jc w:val="left"/>
              <w:rPr>
                <w:szCs w:val="24"/>
                <w:lang w:val="es-ES_tradnl"/>
              </w:rPr>
            </w:pPr>
          </w:p>
        </w:tc>
      </w:tr>
      <w:tr w:rsidR="00E53DCE" w:rsidRPr="00B02EAF" w:rsidTr="00306452">
        <w:trPr>
          <w:jc w:val="center"/>
        </w:trPr>
        <w:tc>
          <w:tcPr>
            <w:tcW w:w="9889" w:type="dxa"/>
            <w:gridSpan w:val="3"/>
            <w:shd w:val="clear" w:color="auto" w:fill="auto"/>
          </w:tcPr>
          <w:p w:rsidR="00E53DCE" w:rsidRPr="00FB22F9" w:rsidRDefault="00E53DCE" w:rsidP="006160CB">
            <w:pPr>
              <w:spacing w:before="0"/>
              <w:jc w:val="left"/>
              <w:rPr>
                <w:b/>
                <w:bCs/>
                <w:szCs w:val="24"/>
                <w:lang w:val="es-ES_tradnl"/>
              </w:rPr>
            </w:pPr>
          </w:p>
        </w:tc>
      </w:tr>
    </w:tbl>
    <w:p w:rsidR="00FB22F9" w:rsidRPr="00FB22F9" w:rsidRDefault="00FB22F9" w:rsidP="00157A20">
      <w:pPr>
        <w:spacing w:before="240"/>
        <w:rPr>
          <w:lang w:val="es-ES_tradnl"/>
        </w:rPr>
      </w:pPr>
      <w:r w:rsidRPr="00FB22F9">
        <w:rPr>
          <w:lang w:val="es-ES_tradnl"/>
        </w:rPr>
        <w:t xml:space="preserve">En la reunión de la Comisión de Estudio </w:t>
      </w:r>
      <w:r w:rsidR="00E74E2F">
        <w:rPr>
          <w:lang w:val="es-ES_tradnl"/>
        </w:rPr>
        <w:t>7</w:t>
      </w:r>
      <w:r w:rsidRPr="00FB22F9">
        <w:rPr>
          <w:lang w:val="es-ES_tradnl"/>
        </w:rPr>
        <w:t xml:space="preserve"> de Radiocomunicaciones</w:t>
      </w:r>
      <w:r w:rsidR="00985419">
        <w:rPr>
          <w:lang w:val="es-ES_tradnl"/>
        </w:rPr>
        <w:t xml:space="preserve"> celebrada </w:t>
      </w:r>
      <w:r w:rsidRPr="00FB22F9">
        <w:rPr>
          <w:lang w:val="es-ES_tradnl"/>
        </w:rPr>
        <w:t xml:space="preserve">el </w:t>
      </w:r>
      <w:r w:rsidR="00985419">
        <w:rPr>
          <w:lang w:val="es-ES_tradnl"/>
        </w:rPr>
        <w:t>26</w:t>
      </w:r>
      <w:r w:rsidRPr="00FB22F9">
        <w:rPr>
          <w:lang w:val="es-ES_tradnl"/>
        </w:rPr>
        <w:t xml:space="preserve"> </w:t>
      </w:r>
      <w:r w:rsidR="00985419" w:rsidRPr="00985419">
        <w:rPr>
          <w:szCs w:val="24"/>
          <w:lang w:val="es-ES_tradnl"/>
        </w:rPr>
        <w:t>de mayo de</w:t>
      </w:r>
      <w:r w:rsidRPr="00FB22F9">
        <w:rPr>
          <w:lang w:val="es-ES_tradnl"/>
        </w:rPr>
        <w:t xml:space="preserve"> 201</w:t>
      </w:r>
      <w:r w:rsidR="007070CD">
        <w:rPr>
          <w:lang w:val="es-ES_tradnl"/>
        </w:rPr>
        <w:t>5</w:t>
      </w:r>
      <w:r w:rsidRPr="00FB22F9">
        <w:rPr>
          <w:lang w:val="es-ES_tradnl"/>
        </w:rPr>
        <w:t xml:space="preserve">, la Comisión de Estudio decidió solicitar la adopción de </w:t>
      </w:r>
      <w:r w:rsidR="00985419">
        <w:rPr>
          <w:lang w:val="es-ES_tradnl"/>
        </w:rPr>
        <w:t>2</w:t>
      </w:r>
      <w:r w:rsidRPr="00FB22F9">
        <w:rPr>
          <w:lang w:val="es-ES_tradnl"/>
        </w:rPr>
        <w:t xml:space="preserve"> proyectos de nueva Recomendaci</w:t>
      </w:r>
      <w:r w:rsidR="00157A20" w:rsidRPr="008E505F">
        <w:rPr>
          <w:szCs w:val="24"/>
          <w:lang w:val="es-ES_tradnl"/>
        </w:rPr>
        <w:t>ón</w:t>
      </w:r>
      <w:r w:rsidRPr="00FB22F9">
        <w:rPr>
          <w:lang w:val="es-ES_tradnl"/>
        </w:rPr>
        <w:t xml:space="preserve"> y de </w:t>
      </w:r>
      <w:r w:rsidR="00985419">
        <w:rPr>
          <w:lang w:val="es-ES_tradnl"/>
        </w:rPr>
        <w:t>1</w:t>
      </w:r>
      <w:r w:rsidRPr="00FB22F9">
        <w:rPr>
          <w:lang w:val="es-ES_tradnl"/>
        </w:rPr>
        <w:t xml:space="preserve"> proyecto de </w:t>
      </w:r>
      <w:r w:rsidR="00985419" w:rsidRPr="006B7079">
        <w:rPr>
          <w:szCs w:val="24"/>
          <w:lang w:val="es-ES"/>
        </w:rPr>
        <w:t>Recomendación</w:t>
      </w:r>
      <w:r w:rsidRPr="00FB22F9">
        <w:rPr>
          <w:lang w:val="es-ES_tradnl"/>
        </w:rPr>
        <w:t xml:space="preserve"> revisada por correspondencia (§ 10.2.3 de la Resolución UIT</w:t>
      </w:r>
      <w:r w:rsidRPr="00FB22F9">
        <w:rPr>
          <w:lang w:val="es-ES_tradnl"/>
        </w:rPr>
        <w:noBreakHyphen/>
        <w:t>R 1</w:t>
      </w:r>
      <w:r w:rsidRPr="00FB22F9">
        <w:rPr>
          <w:lang w:val="es-ES_tradnl"/>
        </w:rPr>
        <w:noBreakHyphen/>
        <w:t>6) y además decidió aplicar el procedimiento de adopción y aprobación simultáneas por correspondencia (PAAS) (§ 10.3 de la Resolución UIT</w:t>
      </w:r>
      <w:r w:rsidRPr="00FB22F9">
        <w:rPr>
          <w:lang w:val="es-ES_tradnl"/>
        </w:rPr>
        <w:noBreakHyphen/>
        <w:t>R 1</w:t>
      </w:r>
      <w:r w:rsidRPr="00FB22F9">
        <w:rPr>
          <w:lang w:val="es-ES_tradnl"/>
        </w:rPr>
        <w:noBreakHyphen/>
        <w:t>6). Los títulos y resúmenes de los proyectos de Recomendaci</w:t>
      </w:r>
      <w:r w:rsidR="00157A20" w:rsidRPr="008E505F">
        <w:rPr>
          <w:szCs w:val="24"/>
          <w:lang w:val="es-ES_tradnl"/>
        </w:rPr>
        <w:t>ón</w:t>
      </w:r>
      <w:r w:rsidRPr="00FB22F9">
        <w:rPr>
          <w:lang w:val="es-ES_tradnl"/>
        </w:rPr>
        <w:t xml:space="preserve"> aparecen en el Anexo 1. Además, la Comisión de Estudio propuso la </w:t>
      </w:r>
      <w:r w:rsidR="00157A20" w:rsidRPr="00157A20">
        <w:rPr>
          <w:szCs w:val="24"/>
          <w:lang w:val="es-ES_tradnl"/>
        </w:rPr>
        <w:t>aprobación de</w:t>
      </w:r>
      <w:r w:rsidR="00157A20" w:rsidRPr="0072409D">
        <w:rPr>
          <w:b/>
          <w:bCs/>
          <w:szCs w:val="24"/>
          <w:lang w:val="es-ES_tradnl"/>
        </w:rPr>
        <w:t xml:space="preserve"> </w:t>
      </w:r>
      <w:r w:rsidRPr="00FB22F9">
        <w:rPr>
          <w:lang w:val="es-ES_tradnl"/>
        </w:rPr>
        <w:t xml:space="preserve">supresión de </w:t>
      </w:r>
      <w:r w:rsidR="008E505F">
        <w:rPr>
          <w:lang w:val="es-ES_tradnl"/>
        </w:rPr>
        <w:t>1</w:t>
      </w:r>
      <w:r w:rsidRPr="00FB22F9">
        <w:rPr>
          <w:lang w:val="es-ES_tradnl"/>
        </w:rPr>
        <w:t xml:space="preserve"> </w:t>
      </w:r>
      <w:r w:rsidR="008E505F" w:rsidRPr="008E505F">
        <w:rPr>
          <w:szCs w:val="24"/>
          <w:lang w:val="es-ES_tradnl"/>
        </w:rPr>
        <w:t>Cuestión</w:t>
      </w:r>
      <w:r w:rsidRPr="008E505F">
        <w:rPr>
          <w:lang w:val="es-ES_tradnl"/>
        </w:rPr>
        <w:t xml:space="preserve"> </w:t>
      </w:r>
      <w:r w:rsidR="002B12A3" w:rsidRPr="00FB22F9">
        <w:rPr>
          <w:lang w:val="es-ES_tradnl"/>
        </w:rPr>
        <w:t>UIT</w:t>
      </w:r>
      <w:r w:rsidR="002B12A3" w:rsidRPr="00FB22F9">
        <w:rPr>
          <w:lang w:val="es-ES_tradnl"/>
        </w:rPr>
        <w:noBreakHyphen/>
        <w:t xml:space="preserve">R  </w:t>
      </w:r>
      <w:r w:rsidRPr="00FB22F9">
        <w:rPr>
          <w:lang w:val="es-ES_tradnl"/>
        </w:rPr>
        <w:t>que se enumera en el Anexo 2.</w:t>
      </w:r>
    </w:p>
    <w:p w:rsidR="00FB22F9" w:rsidRPr="00FB22F9" w:rsidRDefault="00FB22F9" w:rsidP="00157A20">
      <w:pPr>
        <w:rPr>
          <w:lang w:val="es-ES_tradnl"/>
        </w:rPr>
      </w:pPr>
      <w:r w:rsidRPr="00FB22F9">
        <w:rPr>
          <w:lang w:val="es-ES_tradnl"/>
        </w:rPr>
        <w:t xml:space="preserve">El periodo de consideración se extenderá durante 2 meses finalizando el </w:t>
      </w:r>
      <w:r w:rsidR="00985419" w:rsidRPr="0072409D">
        <w:rPr>
          <w:u w:val="single"/>
          <w:lang w:val="es-ES_tradnl"/>
        </w:rPr>
        <w:t>5</w:t>
      </w:r>
      <w:r w:rsidRPr="0072409D">
        <w:rPr>
          <w:u w:val="single"/>
          <w:lang w:val="es-ES_tradnl"/>
        </w:rPr>
        <w:t xml:space="preserve"> </w:t>
      </w:r>
      <w:r w:rsidR="00985419" w:rsidRPr="0072409D">
        <w:rPr>
          <w:u w:val="single"/>
          <w:lang w:val="es-ES_tradnl"/>
        </w:rPr>
        <w:t>de agosto</w:t>
      </w:r>
      <w:r w:rsidRPr="0072409D">
        <w:rPr>
          <w:u w:val="single"/>
          <w:lang w:val="es-ES_tradnl"/>
        </w:rPr>
        <w:t xml:space="preserve"> de 201</w:t>
      </w:r>
      <w:r w:rsidR="00E74E2F" w:rsidRPr="0072409D">
        <w:rPr>
          <w:u w:val="single"/>
          <w:lang w:val="es-ES_tradnl"/>
        </w:rPr>
        <w:t>5</w:t>
      </w:r>
      <w:r w:rsidRPr="00FB22F9">
        <w:rPr>
          <w:lang w:val="es-ES_tradnl"/>
        </w:rPr>
        <w:t>. Si durante este periodo no se reciben objeciones de los Estados Miembros, se considerará que los proyectos de Recomendaci</w:t>
      </w:r>
      <w:r w:rsidR="00157A20" w:rsidRPr="008E505F">
        <w:rPr>
          <w:szCs w:val="24"/>
          <w:lang w:val="es-ES_tradnl"/>
        </w:rPr>
        <w:t>ón</w:t>
      </w:r>
      <w:r w:rsidRPr="00FB22F9">
        <w:rPr>
          <w:lang w:val="es-ES_tradnl"/>
        </w:rPr>
        <w:t xml:space="preserve"> serán adoptados por la Comisión de Estudio </w:t>
      </w:r>
      <w:r w:rsidR="00E74E2F">
        <w:rPr>
          <w:lang w:val="es-ES_tradnl"/>
        </w:rPr>
        <w:t>7</w:t>
      </w:r>
      <w:r w:rsidRPr="00FB22F9">
        <w:rPr>
          <w:lang w:val="es-ES_tradnl"/>
        </w:rPr>
        <w:t>. Además, como se ha seguido el PAAS, los proyectos de Recomendaci</w:t>
      </w:r>
      <w:r w:rsidR="00157A20" w:rsidRPr="008E505F">
        <w:rPr>
          <w:szCs w:val="24"/>
          <w:lang w:val="es-ES_tradnl"/>
        </w:rPr>
        <w:t>ón</w:t>
      </w:r>
      <w:r w:rsidRPr="00FB22F9">
        <w:rPr>
          <w:lang w:val="es-ES_tradnl"/>
        </w:rPr>
        <w:t xml:space="preserve"> también se considerarán aprobados.</w:t>
      </w:r>
    </w:p>
    <w:p w:rsidR="00FB22F9" w:rsidRPr="0072409D" w:rsidRDefault="0072409D" w:rsidP="00157A20">
      <w:pPr>
        <w:rPr>
          <w:lang w:val="es-ES_tradnl"/>
        </w:rPr>
      </w:pPr>
      <w:r w:rsidRPr="0072409D">
        <w:rPr>
          <w:szCs w:val="24"/>
          <w:lang w:val="es-ES_tradnl"/>
        </w:rPr>
        <w:t>Todo Estado Miembro que tenga una objeción a la adopción de un proyecto de Recomendación o a la aprobación de la supresión de una Recomendación/Cuestión debe informar al Director y al Presidente de la Comisión de Estudio de los motivos de dicha objeción.</w:t>
      </w:r>
    </w:p>
    <w:p w:rsidR="00FB22F9" w:rsidRPr="00FB22F9" w:rsidRDefault="00FB22F9" w:rsidP="00FB22F9">
      <w:pPr>
        <w:rPr>
          <w:lang w:val="es-ES_tradnl"/>
        </w:rPr>
      </w:pPr>
      <w:r w:rsidRPr="00FB22F9">
        <w:rPr>
          <w:lang w:val="es-ES_tradnl"/>
        </w:rPr>
        <w:t xml:space="preserve">Tras la fecha límite mencionada, los resultados del PAAS se comunicarán mediante Circular Administrativa y se publicarán las Recomendaciones aprobadas tan pronto como sea posible (véase </w:t>
      </w:r>
      <w:hyperlink r:id="rId8" w:history="1">
        <w:r w:rsidRPr="00FB22F9">
          <w:rPr>
            <w:color w:val="0000FF"/>
            <w:u w:val="single"/>
            <w:lang w:val="es-ES_tradnl"/>
          </w:rPr>
          <w:t>http://www.itu.int/pub/R-REC</w:t>
        </w:r>
      </w:hyperlink>
      <w:r w:rsidRPr="00FB22F9">
        <w:rPr>
          <w:lang w:val="es-ES_tradnl"/>
        </w:rPr>
        <w:t>).</w:t>
      </w:r>
    </w:p>
    <w:p w:rsidR="00FB22F9" w:rsidRPr="00FB22F9" w:rsidRDefault="00FB22F9" w:rsidP="00FB22F9">
      <w:pPr>
        <w:rPr>
          <w:lang w:val="es-ES_tradnl"/>
        </w:rPr>
      </w:pPr>
    </w:p>
    <w:p w:rsidR="00FB22F9" w:rsidRPr="00FB22F9" w:rsidRDefault="00FB22F9" w:rsidP="00FB22F9">
      <w:pPr>
        <w:rPr>
          <w:lang w:val="es-ES_tradnl"/>
        </w:rPr>
      </w:pPr>
    </w:p>
    <w:p w:rsidR="00FB22F9" w:rsidRPr="00FB22F9" w:rsidRDefault="00FB22F9" w:rsidP="00FB22F9">
      <w:pPr>
        <w:tabs>
          <w:tab w:val="clear" w:pos="794"/>
          <w:tab w:val="clear" w:pos="1191"/>
          <w:tab w:val="clear" w:pos="1588"/>
          <w:tab w:val="clear" w:pos="1985"/>
        </w:tabs>
        <w:overflowPunct/>
        <w:autoSpaceDE/>
        <w:autoSpaceDN/>
        <w:adjustRightInd/>
        <w:spacing w:before="0"/>
        <w:textAlignment w:val="auto"/>
        <w:rPr>
          <w:lang w:val="es-ES_tradnl"/>
        </w:rPr>
      </w:pPr>
      <w:r w:rsidRPr="00FB22F9">
        <w:rPr>
          <w:lang w:val="es-ES_tradnl"/>
        </w:rPr>
        <w:br w:type="page"/>
      </w:r>
    </w:p>
    <w:p w:rsidR="00FB22F9" w:rsidRPr="00FB22F9" w:rsidRDefault="00FB22F9" w:rsidP="00E74E2F">
      <w:pPr>
        <w:rPr>
          <w:lang w:val="es-ES_tradnl"/>
        </w:rPr>
      </w:pPr>
      <w:r w:rsidRPr="00FB22F9">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9" w:history="1">
        <w:r w:rsidR="00E74E2F" w:rsidRPr="00E74E2F">
          <w:rPr>
            <w:rStyle w:val="Hyperlink"/>
            <w:szCs w:val="24"/>
            <w:lang w:val="es-ES_tradnl"/>
          </w:rPr>
          <w:t>http://www.itu.int/en/ITU-T/ipr/Pages/policy.aspx</w:t>
        </w:r>
      </w:hyperlink>
      <w:r w:rsidRPr="00FB22F9">
        <w:rPr>
          <w:lang w:val="es-ES_tradnl"/>
        </w:rPr>
        <w:t>.</w:t>
      </w:r>
    </w:p>
    <w:p w:rsidR="00FB22F9" w:rsidRPr="00FB22F9" w:rsidRDefault="007070CD" w:rsidP="001F6A15">
      <w:pPr>
        <w:tabs>
          <w:tab w:val="clear" w:pos="794"/>
          <w:tab w:val="clear" w:pos="1191"/>
          <w:tab w:val="clear" w:pos="1588"/>
          <w:tab w:val="clear" w:pos="1985"/>
          <w:tab w:val="center" w:pos="7088"/>
        </w:tabs>
        <w:spacing w:before="1680"/>
        <w:jc w:val="left"/>
        <w:rPr>
          <w:lang w:val="es-ES_tradnl"/>
        </w:rPr>
      </w:pPr>
      <w:r>
        <w:rPr>
          <w:lang w:val="es-ES_tradnl"/>
        </w:rPr>
        <w:t>François Rancy</w:t>
      </w:r>
      <w:r>
        <w:rPr>
          <w:lang w:val="es-ES_tradnl"/>
        </w:rPr>
        <w:br/>
      </w:r>
      <w:r w:rsidRPr="00DC04BD">
        <w:rPr>
          <w:lang w:val="es-ES_tradnl"/>
        </w:rPr>
        <w:t>Director</w:t>
      </w:r>
    </w:p>
    <w:p w:rsidR="00FB22F9" w:rsidRPr="00FB22F9" w:rsidRDefault="00FB22F9" w:rsidP="001F6A15">
      <w:pPr>
        <w:spacing w:before="2040"/>
        <w:rPr>
          <w:lang w:val="es-ES_tradnl"/>
        </w:rPr>
      </w:pPr>
      <w:r w:rsidRPr="00FB22F9">
        <w:rPr>
          <w:b/>
          <w:bCs/>
          <w:lang w:val="es-ES_tradnl"/>
        </w:rPr>
        <w:t>Anexo 1:</w:t>
      </w:r>
      <w:r w:rsidR="00E74E2F" w:rsidRPr="00E74E2F">
        <w:rPr>
          <w:szCs w:val="24"/>
          <w:lang w:val="es-ES_tradnl"/>
        </w:rPr>
        <w:t xml:space="preserve"> </w:t>
      </w:r>
      <w:r w:rsidR="00E74E2F" w:rsidRPr="00E74E2F">
        <w:rPr>
          <w:szCs w:val="24"/>
          <w:lang w:val="es-ES_tradnl"/>
        </w:rPr>
        <w:tab/>
      </w:r>
      <w:r w:rsidRPr="00FB22F9">
        <w:rPr>
          <w:lang w:val="es-ES_tradnl"/>
        </w:rPr>
        <w:t xml:space="preserve">Títulos y resúmenes de los proyectos de </w:t>
      </w:r>
      <w:r w:rsidR="00D343EF" w:rsidRPr="00DB7E24">
        <w:rPr>
          <w:szCs w:val="24"/>
          <w:lang w:val="es-ES"/>
        </w:rPr>
        <w:t>Recomendación</w:t>
      </w:r>
    </w:p>
    <w:p w:rsidR="00FB22F9" w:rsidRPr="00FB22F9" w:rsidRDefault="00FB22F9" w:rsidP="007070CD">
      <w:pPr>
        <w:rPr>
          <w:lang w:val="es-ES_tradnl"/>
        </w:rPr>
      </w:pPr>
      <w:r w:rsidRPr="00FB22F9">
        <w:rPr>
          <w:b/>
          <w:bCs/>
          <w:lang w:val="es-ES_tradnl"/>
        </w:rPr>
        <w:t>Anexo 2:</w:t>
      </w:r>
      <w:r w:rsidRPr="00FB22F9">
        <w:rPr>
          <w:lang w:val="es-ES_tradnl"/>
        </w:rPr>
        <w:t xml:space="preserve"> </w:t>
      </w:r>
      <w:r w:rsidR="00E74E2F" w:rsidRPr="007070CD">
        <w:rPr>
          <w:szCs w:val="24"/>
          <w:lang w:val="es-ES_tradnl"/>
        </w:rPr>
        <w:tab/>
      </w:r>
      <w:r w:rsidR="007070CD" w:rsidRPr="007070CD">
        <w:rPr>
          <w:szCs w:val="24"/>
          <w:lang w:val="es-ES_tradnl"/>
        </w:rPr>
        <w:t>Cuestión</w:t>
      </w:r>
      <w:r w:rsidRPr="00FB22F9">
        <w:rPr>
          <w:lang w:val="es-ES_tradnl"/>
        </w:rPr>
        <w:t xml:space="preserve"> cuya supresión se propone</w:t>
      </w:r>
    </w:p>
    <w:p w:rsidR="00E74E2F" w:rsidRPr="005E015D" w:rsidRDefault="00E74E2F" w:rsidP="00253AA7">
      <w:pPr>
        <w:spacing w:before="240"/>
        <w:jc w:val="left"/>
        <w:rPr>
          <w:szCs w:val="24"/>
          <w:lang w:val="es-ES_tradnl"/>
        </w:rPr>
      </w:pPr>
      <w:r>
        <w:rPr>
          <w:b/>
          <w:bCs/>
          <w:szCs w:val="24"/>
          <w:lang w:val="es-ES"/>
        </w:rPr>
        <w:t>Documento</w:t>
      </w:r>
      <w:r w:rsidRPr="00DB7E24">
        <w:rPr>
          <w:b/>
          <w:bCs/>
          <w:szCs w:val="24"/>
          <w:lang w:val="es-ES"/>
        </w:rPr>
        <w:t>s</w:t>
      </w:r>
      <w:r w:rsidRPr="00DB7E24">
        <w:rPr>
          <w:szCs w:val="24"/>
          <w:lang w:val="es-ES"/>
        </w:rPr>
        <w:t>:</w:t>
      </w:r>
      <w:r w:rsidRPr="00DB7E24">
        <w:rPr>
          <w:szCs w:val="24"/>
          <w:lang w:val="es-ES"/>
        </w:rPr>
        <w:tab/>
      </w:r>
      <w:r w:rsidR="00253AA7" w:rsidRPr="005228DD">
        <w:rPr>
          <w:szCs w:val="24"/>
          <w:lang w:val="es-ES_tradnl"/>
        </w:rPr>
        <w:t>Documentos</w:t>
      </w:r>
      <w:r>
        <w:rPr>
          <w:szCs w:val="24"/>
          <w:lang w:val="es-ES"/>
        </w:rPr>
        <w:t xml:space="preserve"> </w:t>
      </w:r>
      <w:hyperlink r:id="rId10" w:history="1">
        <w:r w:rsidRPr="0063039C">
          <w:rPr>
            <w:rStyle w:val="Hyperlink"/>
            <w:szCs w:val="24"/>
            <w:lang w:val="es-ES_tradnl"/>
          </w:rPr>
          <w:t>7/113(Rev.1)</w:t>
        </w:r>
      </w:hyperlink>
      <w:r w:rsidRPr="005E015D">
        <w:rPr>
          <w:szCs w:val="24"/>
          <w:lang w:val="es-ES_tradnl"/>
        </w:rPr>
        <w:t xml:space="preserve">, </w:t>
      </w:r>
      <w:hyperlink r:id="rId11" w:history="1">
        <w:r w:rsidRPr="0063039C">
          <w:rPr>
            <w:rStyle w:val="Hyperlink"/>
            <w:szCs w:val="24"/>
            <w:lang w:val="es-ES_tradnl"/>
          </w:rPr>
          <w:t>7/114(Rev.1)</w:t>
        </w:r>
      </w:hyperlink>
      <w:r w:rsidRPr="005E015D">
        <w:rPr>
          <w:szCs w:val="24"/>
          <w:lang w:val="es-ES_tradnl"/>
        </w:rPr>
        <w:t xml:space="preserve"> </w:t>
      </w:r>
      <w:r w:rsidR="007070CD" w:rsidRPr="005E015D">
        <w:rPr>
          <w:szCs w:val="24"/>
          <w:lang w:val="es-ES_tradnl"/>
        </w:rPr>
        <w:t>y</w:t>
      </w:r>
      <w:r w:rsidRPr="005E015D">
        <w:rPr>
          <w:szCs w:val="24"/>
          <w:lang w:val="es-ES_tradnl"/>
        </w:rPr>
        <w:t xml:space="preserve"> </w:t>
      </w:r>
      <w:hyperlink r:id="rId12" w:history="1">
        <w:r w:rsidRPr="0063039C">
          <w:rPr>
            <w:rStyle w:val="Hyperlink"/>
            <w:szCs w:val="24"/>
            <w:lang w:val="es-ES_tradnl"/>
          </w:rPr>
          <w:t>7/120(Rev.1)</w:t>
        </w:r>
      </w:hyperlink>
      <w:r w:rsidRPr="005E015D">
        <w:rPr>
          <w:szCs w:val="24"/>
          <w:lang w:val="es-ES_tradnl"/>
        </w:rPr>
        <w:t xml:space="preserve"> </w:t>
      </w:r>
    </w:p>
    <w:p w:rsidR="00FB22F9" w:rsidRPr="00FB22F9" w:rsidRDefault="00E74E2F" w:rsidP="001F6A15">
      <w:pPr>
        <w:spacing w:before="240"/>
        <w:jc w:val="left"/>
        <w:rPr>
          <w:lang w:val="es-ES_tradnl"/>
        </w:rPr>
      </w:pPr>
      <w:r w:rsidRPr="00DB7E24">
        <w:rPr>
          <w:szCs w:val="24"/>
          <w:lang w:val="es-ES"/>
        </w:rPr>
        <w:t>Esta documentación está disponible en versión electrónica en la dirección:</w:t>
      </w:r>
      <w:r>
        <w:rPr>
          <w:szCs w:val="24"/>
          <w:lang w:val="es-ES"/>
        </w:rPr>
        <w:br/>
      </w:r>
      <w:hyperlink r:id="rId13" w:history="1">
        <w:r w:rsidRPr="00E74E2F">
          <w:rPr>
            <w:rStyle w:val="Hyperlink"/>
            <w:szCs w:val="24"/>
            <w:lang w:val="es-ES_tradnl"/>
          </w:rPr>
          <w:t>http://www.itu.int/md/R12-SG07-C/en</w:t>
        </w:r>
      </w:hyperlink>
    </w:p>
    <w:p w:rsidR="00FB22F9" w:rsidRPr="00FB22F9" w:rsidRDefault="00FB22F9" w:rsidP="005228DD">
      <w:pPr>
        <w:tabs>
          <w:tab w:val="left" w:pos="284"/>
          <w:tab w:val="left" w:pos="568"/>
        </w:tabs>
        <w:spacing w:before="2520" w:after="60"/>
        <w:rPr>
          <w:b/>
          <w:bCs/>
          <w:sz w:val="18"/>
          <w:szCs w:val="18"/>
          <w:lang w:val="es-ES_tradnl"/>
        </w:rPr>
      </w:pPr>
      <w:r w:rsidRPr="00FB22F9">
        <w:rPr>
          <w:b/>
          <w:bCs/>
          <w:sz w:val="18"/>
          <w:szCs w:val="18"/>
          <w:lang w:val="es-ES_tradnl"/>
        </w:rPr>
        <w:t>Distribución:</w:t>
      </w:r>
    </w:p>
    <w:p w:rsidR="00FB22F9" w:rsidRPr="00FB22F9" w:rsidRDefault="00FB22F9" w:rsidP="00E74E2F">
      <w:pPr>
        <w:tabs>
          <w:tab w:val="clear" w:pos="794"/>
          <w:tab w:val="left" w:pos="6237"/>
        </w:tabs>
        <w:spacing w:before="0" w:line="200" w:lineRule="exact"/>
        <w:ind w:left="284" w:hanging="284"/>
        <w:rPr>
          <w:sz w:val="18"/>
          <w:szCs w:val="18"/>
          <w:lang w:val="es-ES_tradnl"/>
        </w:rPr>
      </w:pPr>
      <w:r w:rsidRPr="00FB22F9">
        <w:rPr>
          <w:sz w:val="18"/>
          <w:szCs w:val="18"/>
          <w:lang w:val="es-ES_tradnl"/>
        </w:rPr>
        <w:t>–</w:t>
      </w:r>
      <w:r w:rsidRPr="00FB22F9">
        <w:rPr>
          <w:sz w:val="18"/>
          <w:szCs w:val="18"/>
          <w:lang w:val="es-ES_tradnl"/>
        </w:rPr>
        <w:tab/>
        <w:t xml:space="preserve">Administraciones de los Estados Miembros del Sector de Radiocomunicaciones que participan en los trabajos de la Comisión de Estudio </w:t>
      </w:r>
      <w:r>
        <w:rPr>
          <w:sz w:val="18"/>
          <w:szCs w:val="18"/>
          <w:lang w:val="es-ES_tradnl"/>
        </w:rPr>
        <w:t>7</w:t>
      </w:r>
      <w:r w:rsidRPr="00FB22F9">
        <w:rPr>
          <w:sz w:val="18"/>
          <w:szCs w:val="18"/>
          <w:lang w:val="es-ES_tradnl"/>
        </w:rPr>
        <w:t xml:space="preserve"> de Radiocomunicaciones </w:t>
      </w:r>
    </w:p>
    <w:p w:rsidR="00FB22F9" w:rsidRPr="00FB22F9" w:rsidRDefault="00FB22F9" w:rsidP="00E74E2F">
      <w:pPr>
        <w:tabs>
          <w:tab w:val="clear" w:pos="794"/>
          <w:tab w:val="clear" w:pos="1191"/>
          <w:tab w:val="left" w:pos="284"/>
          <w:tab w:val="left" w:pos="6237"/>
        </w:tabs>
        <w:spacing w:before="0" w:line="200" w:lineRule="exact"/>
        <w:rPr>
          <w:sz w:val="18"/>
          <w:szCs w:val="18"/>
          <w:lang w:val="es-ES_tradnl"/>
        </w:rPr>
      </w:pPr>
      <w:r w:rsidRPr="00FB22F9">
        <w:rPr>
          <w:sz w:val="18"/>
          <w:szCs w:val="18"/>
          <w:lang w:val="es-ES_tradnl"/>
        </w:rPr>
        <w:t>–</w:t>
      </w:r>
      <w:r w:rsidRPr="00FB22F9">
        <w:rPr>
          <w:sz w:val="18"/>
          <w:szCs w:val="18"/>
          <w:lang w:val="es-ES_tradnl"/>
        </w:rPr>
        <w:tab/>
        <w:t xml:space="preserve">Asociados del UIT-R que participan en los trabajos de la Comisión de Estudio </w:t>
      </w:r>
      <w:r>
        <w:rPr>
          <w:sz w:val="18"/>
          <w:szCs w:val="18"/>
          <w:lang w:val="es-ES_tradnl"/>
        </w:rPr>
        <w:t>7</w:t>
      </w:r>
      <w:r w:rsidRPr="00FB22F9">
        <w:rPr>
          <w:sz w:val="18"/>
          <w:szCs w:val="18"/>
          <w:lang w:val="es-ES_tradnl"/>
        </w:rPr>
        <w:t xml:space="preserve"> de Radiocomunicaciones </w:t>
      </w:r>
    </w:p>
    <w:p w:rsidR="00FB22F9" w:rsidRPr="00FB22F9" w:rsidRDefault="00FB22F9" w:rsidP="00E74E2F">
      <w:pPr>
        <w:tabs>
          <w:tab w:val="clear" w:pos="794"/>
          <w:tab w:val="left" w:pos="6237"/>
        </w:tabs>
        <w:spacing w:before="0" w:line="200" w:lineRule="exact"/>
        <w:ind w:left="284" w:hanging="284"/>
        <w:rPr>
          <w:sz w:val="18"/>
          <w:szCs w:val="18"/>
          <w:lang w:val="es-ES_tradnl"/>
        </w:rPr>
      </w:pPr>
      <w:r w:rsidRPr="00FB22F9">
        <w:rPr>
          <w:sz w:val="18"/>
          <w:szCs w:val="18"/>
          <w:lang w:val="es-ES_tradnl"/>
        </w:rPr>
        <w:t>–</w:t>
      </w:r>
      <w:r w:rsidRPr="00FB22F9">
        <w:rPr>
          <w:sz w:val="18"/>
          <w:szCs w:val="18"/>
          <w:lang w:val="es-ES_tradnl"/>
        </w:rPr>
        <w:tab/>
        <w:t xml:space="preserve">Presidentes y Vicepresidentes de las Comisiones de Estudio de Radiocomunicaciones y Comisión Especial para Asuntos Reglamentarios y de Procedimiento </w:t>
      </w:r>
    </w:p>
    <w:p w:rsidR="00FB22F9" w:rsidRPr="00FB22F9" w:rsidRDefault="00FB22F9" w:rsidP="00E74E2F">
      <w:pPr>
        <w:tabs>
          <w:tab w:val="clear" w:pos="794"/>
          <w:tab w:val="clear" w:pos="1191"/>
          <w:tab w:val="left" w:pos="284"/>
          <w:tab w:val="left" w:pos="6237"/>
        </w:tabs>
        <w:spacing w:before="0" w:line="200" w:lineRule="exact"/>
        <w:rPr>
          <w:sz w:val="18"/>
          <w:szCs w:val="18"/>
          <w:lang w:val="es-ES_tradnl"/>
        </w:rPr>
      </w:pPr>
      <w:r w:rsidRPr="00FB22F9">
        <w:rPr>
          <w:sz w:val="18"/>
          <w:szCs w:val="18"/>
          <w:lang w:val="es-ES_tradnl"/>
        </w:rPr>
        <w:t>–</w:t>
      </w:r>
      <w:r w:rsidRPr="00FB22F9">
        <w:rPr>
          <w:sz w:val="18"/>
          <w:szCs w:val="18"/>
          <w:lang w:val="es-ES_tradnl"/>
        </w:rPr>
        <w:tab/>
        <w:t xml:space="preserve">Presidente y Vicepresidentes de la Reunión Preparatoria de la Conferencia </w:t>
      </w:r>
    </w:p>
    <w:p w:rsidR="00FB22F9" w:rsidRPr="00FB22F9" w:rsidRDefault="00FB22F9" w:rsidP="00E74E2F">
      <w:pPr>
        <w:tabs>
          <w:tab w:val="clear" w:pos="794"/>
          <w:tab w:val="clear" w:pos="1191"/>
          <w:tab w:val="left" w:pos="284"/>
          <w:tab w:val="left" w:pos="6237"/>
        </w:tabs>
        <w:spacing w:before="0" w:line="200" w:lineRule="exact"/>
        <w:rPr>
          <w:sz w:val="18"/>
          <w:szCs w:val="18"/>
          <w:lang w:val="es-ES_tradnl"/>
        </w:rPr>
      </w:pPr>
      <w:r w:rsidRPr="00FB22F9">
        <w:rPr>
          <w:sz w:val="18"/>
          <w:szCs w:val="18"/>
          <w:lang w:val="es-ES_tradnl"/>
        </w:rPr>
        <w:t>–</w:t>
      </w:r>
      <w:r w:rsidRPr="00FB22F9">
        <w:rPr>
          <w:sz w:val="18"/>
          <w:szCs w:val="18"/>
          <w:lang w:val="es-ES_tradnl"/>
        </w:rPr>
        <w:tab/>
        <w:t xml:space="preserve">Miembros de la Junta del Reglamento de Radiocomunicaciones </w:t>
      </w:r>
    </w:p>
    <w:p w:rsidR="00D21694" w:rsidRPr="00FB22F9" w:rsidRDefault="00FB22F9" w:rsidP="00E74E2F">
      <w:pPr>
        <w:tabs>
          <w:tab w:val="clear" w:pos="794"/>
        </w:tabs>
        <w:spacing w:before="0" w:line="200" w:lineRule="exact"/>
        <w:ind w:left="284" w:hanging="284"/>
        <w:rPr>
          <w:rFonts w:asciiTheme="minorHAnsi" w:hAnsiTheme="minorHAnsi" w:cstheme="minorHAnsi"/>
          <w:szCs w:val="24"/>
          <w:lang w:val="es-ES_tradnl"/>
        </w:rPr>
      </w:pPr>
      <w:r w:rsidRPr="00FB22F9">
        <w:rPr>
          <w:sz w:val="18"/>
          <w:szCs w:val="18"/>
          <w:lang w:val="es-ES_tradnl"/>
        </w:rPr>
        <w:t>–</w:t>
      </w:r>
      <w:r w:rsidRPr="00FB22F9">
        <w:rPr>
          <w:sz w:val="18"/>
          <w:szCs w:val="18"/>
          <w:lang w:val="es-ES_tradnl"/>
        </w:rPr>
        <w:tab/>
        <w:t>Secretario General de la UIT, Director de la Oficina de Normalización de las Telecomunicaciones, Director de la Oficina de Desarrollo de Telecomunicaciones</w:t>
      </w:r>
      <w:bookmarkStart w:id="0" w:name="_GoBack"/>
      <w:bookmarkEnd w:id="0"/>
    </w:p>
    <w:p w:rsidR="001F6A15" w:rsidRDefault="001F6A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lang w:val="es-ES_tradnl"/>
        </w:rPr>
      </w:pPr>
      <w:bookmarkStart w:id="1" w:name="dbreak"/>
      <w:bookmarkEnd w:id="1"/>
      <w:r w:rsidRPr="00B02EAF">
        <w:rPr>
          <w:rFonts w:asciiTheme="minorHAnsi" w:hAnsiTheme="minorHAnsi"/>
          <w:szCs w:val="28"/>
          <w:lang w:val="es-ES_tradnl"/>
        </w:rPr>
        <w:br w:type="page"/>
      </w:r>
    </w:p>
    <w:p w:rsidR="00C6186F" w:rsidRPr="008F20FF" w:rsidRDefault="00C6186F" w:rsidP="00C6186F">
      <w:pPr>
        <w:pStyle w:val="AnnexNotitle0"/>
        <w:rPr>
          <w:rFonts w:asciiTheme="minorHAnsi" w:hAnsiTheme="minorHAnsi"/>
          <w:szCs w:val="28"/>
        </w:rPr>
      </w:pPr>
      <w:r w:rsidRPr="008F20FF">
        <w:rPr>
          <w:rFonts w:asciiTheme="minorHAnsi" w:hAnsiTheme="minorHAnsi"/>
          <w:szCs w:val="28"/>
        </w:rPr>
        <w:lastRenderedPageBreak/>
        <w:t>Anexo 1</w:t>
      </w:r>
      <w:r w:rsidRPr="008F20FF">
        <w:rPr>
          <w:rFonts w:asciiTheme="minorHAnsi" w:hAnsiTheme="minorHAnsi"/>
          <w:szCs w:val="28"/>
        </w:rPr>
        <w:br/>
      </w:r>
      <w:r w:rsidRPr="008F20FF">
        <w:rPr>
          <w:rFonts w:asciiTheme="minorHAnsi" w:hAnsiTheme="minorHAnsi"/>
          <w:szCs w:val="28"/>
        </w:rPr>
        <w:br/>
        <w:t>Títulos y resúmenes de los proyectos de Recomendación</w:t>
      </w:r>
    </w:p>
    <w:p w:rsidR="00C6186F" w:rsidRPr="00C6186F" w:rsidRDefault="00C6186F" w:rsidP="00C6186F">
      <w:pPr>
        <w:tabs>
          <w:tab w:val="right" w:pos="9639"/>
        </w:tabs>
        <w:spacing w:before="600"/>
        <w:rPr>
          <w:szCs w:val="24"/>
          <w:lang w:val="es-ES_tradnl"/>
        </w:rPr>
      </w:pPr>
      <w:r w:rsidRPr="00C6186F">
        <w:rPr>
          <w:szCs w:val="24"/>
          <w:u w:val="single"/>
          <w:lang w:val="es-ES_tradnl"/>
        </w:rPr>
        <w:t>Proyecto de nueva Recomendación UIT-R</w:t>
      </w:r>
      <w:r w:rsidRPr="00C6186F">
        <w:rPr>
          <w:u w:val="single"/>
          <w:lang w:val="es-ES_tradnl"/>
        </w:rPr>
        <w:t xml:space="preserve"> </w:t>
      </w:r>
      <w:r w:rsidRPr="00C6186F">
        <w:rPr>
          <w:szCs w:val="24"/>
          <w:u w:val="single"/>
          <w:lang w:val="es-ES_tradnl"/>
        </w:rPr>
        <w:t>SA.[SRS-AIRCRAFT 2 GHz]</w:t>
      </w:r>
      <w:r w:rsidRPr="00C6186F">
        <w:rPr>
          <w:szCs w:val="24"/>
          <w:lang w:val="es-ES_tradnl"/>
        </w:rPr>
        <w:tab/>
        <w:t>Doc. 7/113(Rev.1)</w:t>
      </w:r>
    </w:p>
    <w:p w:rsidR="00C6186F" w:rsidRPr="00C6186F" w:rsidRDefault="00C6186F" w:rsidP="00C6186F">
      <w:pPr>
        <w:pStyle w:val="Rectitle"/>
        <w:rPr>
          <w:lang w:val="es-ES_tradnl"/>
        </w:rPr>
      </w:pPr>
      <w:r w:rsidRPr="00C6186F">
        <w:rPr>
          <w:lang w:val="es-ES_tradnl"/>
        </w:rPr>
        <w:t>Protección de estaciones terrenas del SIE contra estaciones móviles (de aeronave) en la banda 2 200-2 290 MHz</w:t>
      </w:r>
    </w:p>
    <w:p w:rsidR="00C6186F" w:rsidRPr="00C6186F" w:rsidRDefault="00C6186F" w:rsidP="00C6186F">
      <w:pPr>
        <w:spacing w:before="240"/>
        <w:rPr>
          <w:szCs w:val="24"/>
          <w:lang w:val="es-ES_tradnl"/>
        </w:rPr>
      </w:pPr>
      <w:r w:rsidRPr="00C6186F">
        <w:rPr>
          <w:szCs w:val="24"/>
          <w:lang w:val="es-ES_tradnl"/>
        </w:rPr>
        <w:t>En esta Recomendación se facilita la distancia de coordinación necesaria de 880 km entre las estaciones terrenas del servicio de investigación espacial y las estaciones de transmisión del servicio móvil (aeronaves) a fin de proteger a las estaciones terrenas del servicio de investigación espacial en la banda 2 200-2 290 MHz.</w:t>
      </w:r>
    </w:p>
    <w:p w:rsidR="00C6186F" w:rsidRPr="00C6186F" w:rsidRDefault="00C6186F" w:rsidP="00C6186F">
      <w:pPr>
        <w:tabs>
          <w:tab w:val="right" w:pos="9639"/>
        </w:tabs>
        <w:spacing w:before="600"/>
        <w:rPr>
          <w:szCs w:val="24"/>
          <w:lang w:val="es-ES_tradnl"/>
        </w:rPr>
      </w:pPr>
      <w:r w:rsidRPr="00C6186F">
        <w:rPr>
          <w:szCs w:val="24"/>
          <w:u w:val="single"/>
          <w:lang w:val="es-ES_tradnl"/>
        </w:rPr>
        <w:t>Proyecto de nueva Recomendación UIT-R</w:t>
      </w:r>
      <w:r w:rsidRPr="00C6186F">
        <w:rPr>
          <w:u w:val="single"/>
          <w:lang w:val="es-ES_tradnl"/>
        </w:rPr>
        <w:t xml:space="preserve"> </w:t>
      </w:r>
      <w:r w:rsidRPr="00C6186F">
        <w:rPr>
          <w:szCs w:val="24"/>
          <w:u w:val="single"/>
          <w:lang w:val="es-ES_tradnl"/>
        </w:rPr>
        <w:t>SA.[SRS/FSS 37GHz]</w:t>
      </w:r>
      <w:r w:rsidRPr="00C6186F">
        <w:rPr>
          <w:szCs w:val="24"/>
          <w:lang w:val="es-ES_tradnl"/>
        </w:rPr>
        <w:tab/>
        <w:t>Doc. 7/114(Rev.1)</w:t>
      </w:r>
    </w:p>
    <w:p w:rsidR="00C6186F" w:rsidRPr="00C6186F" w:rsidRDefault="00C6186F" w:rsidP="00C6186F">
      <w:pPr>
        <w:pStyle w:val="Rectitle"/>
        <w:rPr>
          <w:lang w:val="es-ES_tradnl"/>
        </w:rPr>
      </w:pPr>
      <w:r w:rsidRPr="00C6186F">
        <w:rPr>
          <w:lang w:val="es-ES_tradnl"/>
        </w:rPr>
        <w:t xml:space="preserve">Compartición de frecuencias entre sistemas del SIE y el SFS (espacio-Tierra) </w:t>
      </w:r>
      <w:r w:rsidRPr="00C6186F">
        <w:rPr>
          <w:lang w:val="es-ES_tradnl"/>
        </w:rPr>
        <w:br/>
        <w:t>en la banda 37,5-38 GHz</w:t>
      </w:r>
    </w:p>
    <w:p w:rsidR="00C6186F" w:rsidRPr="00C6186F" w:rsidRDefault="00C6186F" w:rsidP="00C6186F">
      <w:pPr>
        <w:spacing w:before="240"/>
        <w:rPr>
          <w:szCs w:val="24"/>
          <w:lang w:val="es-ES_tradnl"/>
        </w:rPr>
      </w:pPr>
      <w:r w:rsidRPr="00C6186F">
        <w:rPr>
          <w:szCs w:val="24"/>
          <w:lang w:val="es-ES_tradnl"/>
        </w:rPr>
        <w:t>Esta Recomendación trata de la compartición de frecuencias entre el servicio de investigación espacial y el servicio fijo por satélite en la banda 37,5-38 GHz (espacio-Tierra). Facilita los límites de p.i.r.e y de dfp para los sistemas espaciales VLBI (SVLBI) y los sistemas lunares del SIE, y los sistemas de órbita geoestacionaria (GSO) y de órbita elíptica muy inclinada (HEO) del SFS.</w:t>
      </w:r>
    </w:p>
    <w:p w:rsidR="00C6186F" w:rsidRPr="00C6186F" w:rsidRDefault="00C6186F" w:rsidP="00C6186F">
      <w:pPr>
        <w:tabs>
          <w:tab w:val="right" w:pos="9639"/>
        </w:tabs>
        <w:spacing w:before="600"/>
        <w:rPr>
          <w:szCs w:val="24"/>
          <w:lang w:val="es-ES_tradnl"/>
        </w:rPr>
      </w:pPr>
      <w:r w:rsidRPr="00C6186F">
        <w:rPr>
          <w:szCs w:val="24"/>
          <w:u w:val="single"/>
          <w:lang w:val="es-ES_tradnl"/>
        </w:rPr>
        <w:t xml:space="preserve">Proyecto de revisión de la Recomendación UIT-R </w:t>
      </w:r>
      <w:r w:rsidRPr="00C6186F">
        <w:rPr>
          <w:szCs w:val="24"/>
          <w:u w:val="single"/>
          <w:lang w:val="es-ES_tradnl" w:eastAsia="ja-JP"/>
        </w:rPr>
        <w:t>TF.1153-3</w:t>
      </w:r>
      <w:r w:rsidRPr="00C6186F">
        <w:rPr>
          <w:szCs w:val="24"/>
          <w:lang w:val="es-ES_tradnl"/>
        </w:rPr>
        <w:tab/>
        <w:t>Doc. 7/120(Rev.1)</w:t>
      </w:r>
    </w:p>
    <w:p w:rsidR="00C6186F" w:rsidRPr="00C6186F" w:rsidRDefault="00C6186F" w:rsidP="00C6186F">
      <w:pPr>
        <w:pStyle w:val="Rectitle"/>
        <w:rPr>
          <w:lang w:val="es-ES_tradnl"/>
        </w:rPr>
      </w:pPr>
      <w:r w:rsidRPr="00C6186F">
        <w:rPr>
          <w:lang w:val="es-ES_tradnl"/>
        </w:rPr>
        <w:t>Utilización operativa de la transferencia bidireccional por satélite de señales horarias y frecuencias utilizando códigos de ruido pseudoaleatorio</w:t>
      </w:r>
    </w:p>
    <w:p w:rsidR="00C6186F" w:rsidRDefault="00C6186F" w:rsidP="00C6186F">
      <w:pPr>
        <w:spacing w:before="240"/>
        <w:rPr>
          <w:szCs w:val="24"/>
          <w:lang w:val="es-ES_tradnl"/>
        </w:rPr>
      </w:pPr>
      <w:r w:rsidRPr="00C6186F">
        <w:rPr>
          <w:szCs w:val="24"/>
          <w:lang w:val="es-ES_tradnl"/>
        </w:rPr>
        <w:t>Esta actualización tiene como finalidad adaptar el documento a las demandas crecientes en materia de exactitud de transferencia de tiempo, al proponer la utilización de relaciones más exactas para calcular los términos de corrección en la evaluación de datos de la TWSTFT.</w:t>
      </w:r>
    </w:p>
    <w:p w:rsidR="00C6186F" w:rsidRPr="00AC3B1A" w:rsidRDefault="00C6186F" w:rsidP="001F6A15">
      <w:pPr>
        <w:pStyle w:val="AnnexNotitle0"/>
        <w:spacing w:after="360"/>
        <w:rPr>
          <w:rFonts w:asciiTheme="minorHAnsi" w:hAnsiTheme="minorHAnsi"/>
          <w:szCs w:val="28"/>
        </w:rPr>
      </w:pPr>
      <w:r w:rsidRPr="00AC3B1A">
        <w:rPr>
          <w:rFonts w:asciiTheme="minorHAnsi" w:hAnsiTheme="minorHAnsi"/>
          <w:szCs w:val="28"/>
        </w:rPr>
        <w:t>Anexo 2</w:t>
      </w:r>
      <w:r>
        <w:rPr>
          <w:rFonts w:asciiTheme="minorHAnsi" w:hAnsiTheme="minorHAnsi"/>
          <w:szCs w:val="28"/>
        </w:rPr>
        <w:br/>
      </w:r>
      <w:r>
        <w:rPr>
          <w:rFonts w:asciiTheme="minorHAnsi" w:hAnsiTheme="minorHAnsi"/>
          <w:szCs w:val="28"/>
        </w:rPr>
        <w:br/>
      </w:r>
      <w:r w:rsidRPr="00AC3B1A">
        <w:rPr>
          <w:rFonts w:asciiTheme="minorHAnsi" w:hAnsiTheme="minorHAnsi"/>
          <w:szCs w:val="28"/>
        </w:rPr>
        <w:t>Cuestión cuya supresión se propone</w:t>
      </w:r>
    </w:p>
    <w:tbl>
      <w:tblPr>
        <w:tblStyle w:val="TableGrid"/>
        <w:tblW w:w="0" w:type="auto"/>
        <w:tblLook w:val="04A0" w:firstRow="1" w:lastRow="0" w:firstColumn="1" w:lastColumn="0" w:noHBand="0" w:noVBand="1"/>
      </w:tblPr>
      <w:tblGrid>
        <w:gridCol w:w="1787"/>
        <w:gridCol w:w="7842"/>
      </w:tblGrid>
      <w:tr w:rsidR="00C6186F" w:rsidRPr="008F20FF" w:rsidTr="00C6186F">
        <w:tc>
          <w:tcPr>
            <w:tcW w:w="1787" w:type="dxa"/>
          </w:tcPr>
          <w:p w:rsidR="00C6186F" w:rsidRPr="008F20FF" w:rsidRDefault="00C6186F" w:rsidP="00E42519">
            <w:pPr>
              <w:jc w:val="center"/>
              <w:rPr>
                <w:b/>
                <w:bCs/>
              </w:rPr>
            </w:pPr>
            <w:r w:rsidRPr="008F20FF">
              <w:rPr>
                <w:b/>
                <w:bCs/>
              </w:rPr>
              <w:t>Cuestión Núm.</w:t>
            </w:r>
          </w:p>
        </w:tc>
        <w:tc>
          <w:tcPr>
            <w:tcW w:w="7842" w:type="dxa"/>
          </w:tcPr>
          <w:p w:rsidR="00C6186F" w:rsidRPr="008F20FF" w:rsidRDefault="00C6186F" w:rsidP="00E42519">
            <w:pPr>
              <w:jc w:val="center"/>
              <w:rPr>
                <w:b/>
                <w:bCs/>
              </w:rPr>
            </w:pPr>
            <w:r w:rsidRPr="008F20FF">
              <w:rPr>
                <w:b/>
                <w:bCs/>
              </w:rPr>
              <w:t>Título</w:t>
            </w:r>
          </w:p>
        </w:tc>
      </w:tr>
      <w:tr w:rsidR="00C6186F" w:rsidRPr="00B02EAF" w:rsidTr="00C6186F">
        <w:tc>
          <w:tcPr>
            <w:tcW w:w="1787" w:type="dxa"/>
          </w:tcPr>
          <w:p w:rsidR="00C6186F" w:rsidRPr="008F20FF" w:rsidRDefault="00C6186F" w:rsidP="00E42519">
            <w:pPr>
              <w:jc w:val="center"/>
            </w:pPr>
            <w:r w:rsidRPr="008F20FF">
              <w:t>149-1/7</w:t>
            </w:r>
          </w:p>
        </w:tc>
        <w:tc>
          <w:tcPr>
            <w:tcW w:w="7842" w:type="dxa"/>
          </w:tcPr>
          <w:p w:rsidR="00C6186F" w:rsidRPr="00C6186F" w:rsidRDefault="00C6186F" w:rsidP="00E42519">
            <w:pPr>
              <w:rPr>
                <w:lang w:val="es-ES_tradnl"/>
              </w:rPr>
            </w:pPr>
            <w:r w:rsidRPr="00C6186F">
              <w:rPr>
                <w:rFonts w:cs="Segoe UI"/>
                <w:color w:val="000000"/>
                <w:lang w:val="es-ES_tradnl"/>
              </w:rPr>
              <w:t>Utilización de las frecuencias en la cara oculta de la Luna</w:t>
            </w:r>
          </w:p>
        </w:tc>
      </w:tr>
    </w:tbl>
    <w:p w:rsidR="00C6186F" w:rsidRPr="00AC3B1A" w:rsidRDefault="00C6186F" w:rsidP="00C6186F">
      <w:pPr>
        <w:pStyle w:val="Reasons"/>
        <w:rPr>
          <w:lang w:val="es-ES_tradnl"/>
        </w:rPr>
      </w:pPr>
    </w:p>
    <w:p w:rsidR="00D239B4" w:rsidRPr="0033029C" w:rsidRDefault="00C6186F" w:rsidP="00C6186F">
      <w:pPr>
        <w:jc w:val="center"/>
        <w:rPr>
          <w:rFonts w:asciiTheme="minorHAnsi" w:hAnsiTheme="minorHAnsi" w:cstheme="minorHAnsi"/>
          <w:szCs w:val="24"/>
          <w:lang w:val="es-ES"/>
        </w:rPr>
      </w:pPr>
      <w:r>
        <w:t>______________</w:t>
      </w:r>
    </w:p>
    <w:sectPr w:rsidR="00D239B4" w:rsidRPr="0033029C"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F9" w:rsidRDefault="00FB22F9">
      <w:r>
        <w:separator/>
      </w:r>
    </w:p>
  </w:endnote>
  <w:endnote w:type="continuationSeparator" w:id="0">
    <w:p w:rsidR="00FB22F9" w:rsidRDefault="00FB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F9" w:rsidRDefault="00FB22F9">
      <w:r>
        <w:t>____________________</w:t>
      </w:r>
    </w:p>
  </w:footnote>
  <w:footnote w:type="continuationSeparator" w:id="0">
    <w:p w:rsidR="00FB22F9" w:rsidRDefault="00FB2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228DD">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B22F9" w:rsidRDefault="00E915AF">
    <w:pPr>
      <w:pStyle w:val="Header"/>
      <w:rPr>
        <w:sz w:val="18"/>
        <w:szCs w:val="18"/>
      </w:rPr>
    </w:pPr>
    <w:r>
      <w:tab/>
    </w:r>
    <w:r>
      <w:tab/>
    </w:r>
    <w:r w:rsidR="00FB22F9" w:rsidRPr="00FB22F9">
      <w:rPr>
        <w:sz w:val="18"/>
        <w:szCs w:val="18"/>
      </w:rPr>
      <w:t xml:space="preserve">- </w:t>
    </w:r>
    <w:r w:rsidR="001B42C9" w:rsidRPr="00FB22F9">
      <w:rPr>
        <w:sz w:val="18"/>
        <w:szCs w:val="18"/>
      </w:rPr>
      <w:fldChar w:fldCharType="begin"/>
    </w:r>
    <w:r w:rsidRPr="00FB22F9">
      <w:rPr>
        <w:sz w:val="18"/>
        <w:szCs w:val="18"/>
      </w:rPr>
      <w:instrText xml:space="preserve"> PAGE  \* MERGEFORMAT </w:instrText>
    </w:r>
    <w:r w:rsidR="001B42C9" w:rsidRPr="00FB22F9">
      <w:rPr>
        <w:sz w:val="18"/>
        <w:szCs w:val="18"/>
      </w:rPr>
      <w:fldChar w:fldCharType="separate"/>
    </w:r>
    <w:r w:rsidR="005228DD">
      <w:rPr>
        <w:noProof/>
        <w:sz w:val="18"/>
        <w:szCs w:val="18"/>
      </w:rPr>
      <w:t>3</w:t>
    </w:r>
    <w:r w:rsidR="001B42C9" w:rsidRPr="00FB22F9">
      <w:rPr>
        <w:sz w:val="18"/>
        <w:szCs w:val="18"/>
      </w:rPr>
      <w:fldChar w:fldCharType="end"/>
    </w:r>
    <w:r w:rsidR="00FB22F9" w:rsidRPr="00FB22F9">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B22F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7A20"/>
    <w:rsid w:val="00187CA3"/>
    <w:rsid w:val="00196710"/>
    <w:rsid w:val="00196770"/>
    <w:rsid w:val="00197324"/>
    <w:rsid w:val="001B2683"/>
    <w:rsid w:val="001B351B"/>
    <w:rsid w:val="001B42C9"/>
    <w:rsid w:val="001C06DB"/>
    <w:rsid w:val="001C6971"/>
    <w:rsid w:val="001D2785"/>
    <w:rsid w:val="001D7070"/>
    <w:rsid w:val="001F2170"/>
    <w:rsid w:val="001F3948"/>
    <w:rsid w:val="001F5A49"/>
    <w:rsid w:val="001F6A15"/>
    <w:rsid w:val="00201097"/>
    <w:rsid w:val="00201B6E"/>
    <w:rsid w:val="002302B3"/>
    <w:rsid w:val="00230C66"/>
    <w:rsid w:val="00235A29"/>
    <w:rsid w:val="00241526"/>
    <w:rsid w:val="002443A2"/>
    <w:rsid w:val="00253AA7"/>
    <w:rsid w:val="00266E74"/>
    <w:rsid w:val="00283C3B"/>
    <w:rsid w:val="002861E6"/>
    <w:rsid w:val="00287D18"/>
    <w:rsid w:val="002A2618"/>
    <w:rsid w:val="002A5DD7"/>
    <w:rsid w:val="002B0CAC"/>
    <w:rsid w:val="002B12A3"/>
    <w:rsid w:val="002D5A15"/>
    <w:rsid w:val="002D5BDD"/>
    <w:rsid w:val="002E1558"/>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3E8A"/>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28DD"/>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015D"/>
    <w:rsid w:val="005E5EB3"/>
    <w:rsid w:val="005F3CB6"/>
    <w:rsid w:val="005F657C"/>
    <w:rsid w:val="00602D53"/>
    <w:rsid w:val="006047E5"/>
    <w:rsid w:val="0063039C"/>
    <w:rsid w:val="0064371D"/>
    <w:rsid w:val="00650543"/>
    <w:rsid w:val="00650B2A"/>
    <w:rsid w:val="00651777"/>
    <w:rsid w:val="006550F8"/>
    <w:rsid w:val="006829F3"/>
    <w:rsid w:val="006A518B"/>
    <w:rsid w:val="006B0590"/>
    <w:rsid w:val="006B49DA"/>
    <w:rsid w:val="006C53F8"/>
    <w:rsid w:val="006C7CDE"/>
    <w:rsid w:val="007070CD"/>
    <w:rsid w:val="007234B1"/>
    <w:rsid w:val="00723D08"/>
    <w:rsid w:val="0072409D"/>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7AD"/>
    <w:rsid w:val="0087694B"/>
    <w:rsid w:val="00880F4D"/>
    <w:rsid w:val="008B35A3"/>
    <w:rsid w:val="008B37E1"/>
    <w:rsid w:val="008B45F8"/>
    <w:rsid w:val="008C2E74"/>
    <w:rsid w:val="008D5409"/>
    <w:rsid w:val="008E006D"/>
    <w:rsid w:val="008E38B4"/>
    <w:rsid w:val="008E505F"/>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85419"/>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B076F"/>
    <w:rsid w:val="00AC0C22"/>
    <w:rsid w:val="00AC3896"/>
    <w:rsid w:val="00AD2CF2"/>
    <w:rsid w:val="00AE2D88"/>
    <w:rsid w:val="00AE6F6F"/>
    <w:rsid w:val="00AF3325"/>
    <w:rsid w:val="00AF34D9"/>
    <w:rsid w:val="00AF70DA"/>
    <w:rsid w:val="00B019D3"/>
    <w:rsid w:val="00B02EA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186F"/>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43EF"/>
    <w:rsid w:val="00D35AB9"/>
    <w:rsid w:val="00D41571"/>
    <w:rsid w:val="00D416A0"/>
    <w:rsid w:val="00D47672"/>
    <w:rsid w:val="00D5123C"/>
    <w:rsid w:val="00D55560"/>
    <w:rsid w:val="00D61C5A"/>
    <w:rsid w:val="00D63BFF"/>
    <w:rsid w:val="00D6790C"/>
    <w:rsid w:val="00D73277"/>
    <w:rsid w:val="00D76586"/>
    <w:rsid w:val="00D82657"/>
    <w:rsid w:val="00D87D00"/>
    <w:rsid w:val="00D87E20"/>
    <w:rsid w:val="00D97EF5"/>
    <w:rsid w:val="00DA4037"/>
    <w:rsid w:val="00DC104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E2F"/>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2F9"/>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730687-5207-40C0-8BC6-DC2AC72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B22F9"/>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2E155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uiPriority w:val="99"/>
    <w:rsid w:val="00C6186F"/>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7-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7-C-0120/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7-C-011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7-C-011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7DE3-AEC1-4546-A9D1-943F4711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75</TotalTime>
  <Pages>3</Pages>
  <Words>807</Words>
  <Characters>5043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19</cp:revision>
  <cp:lastPrinted>2015-06-04T13:41:00Z</cp:lastPrinted>
  <dcterms:created xsi:type="dcterms:W3CDTF">2015-06-01T12:55:00Z</dcterms:created>
  <dcterms:modified xsi:type="dcterms:W3CDTF">2015-06-04T13:46:00Z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