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DF170E">
        <w:tc>
          <w:tcPr>
            <w:tcW w:w="7054" w:type="dxa"/>
            <w:gridSpan w:val="2"/>
            <w:shd w:val="clear" w:color="auto" w:fill="auto"/>
          </w:tcPr>
          <w:p w:rsidR="00C76D7F" w:rsidRPr="00E85850" w:rsidRDefault="00D21694" w:rsidP="00E17344">
            <w:pPr>
              <w:spacing w:before="0"/>
              <w:jc w:val="left"/>
              <w:rPr>
                <w:szCs w:val="24"/>
                <w:lang w:val="fr-CH"/>
              </w:rPr>
            </w:pPr>
            <w:r w:rsidRPr="00E85850">
              <w:rPr>
                <w:szCs w:val="24"/>
                <w:lang w:val="fr-CH"/>
              </w:rPr>
              <w:t xml:space="preserve">Administrative </w:t>
            </w:r>
            <w:r w:rsidR="008B35A3" w:rsidRPr="00E85850">
              <w:rPr>
                <w:szCs w:val="24"/>
                <w:lang w:val="fr-CH"/>
              </w:rPr>
              <w:t>C</w:t>
            </w:r>
            <w:r w:rsidR="00C76D7F" w:rsidRPr="00E85850">
              <w:rPr>
                <w:szCs w:val="24"/>
                <w:lang w:val="fr-CH"/>
              </w:rPr>
              <w:t>ircular</w:t>
            </w:r>
          </w:p>
          <w:p w:rsidR="00651777" w:rsidRPr="00E85850" w:rsidRDefault="00E17344" w:rsidP="00E85850">
            <w:pPr>
              <w:spacing w:before="0"/>
              <w:jc w:val="left"/>
              <w:rPr>
                <w:b/>
                <w:bCs/>
                <w:szCs w:val="24"/>
                <w:lang w:val="fr-CH"/>
              </w:rPr>
            </w:pPr>
            <w:r w:rsidRPr="00E85850">
              <w:rPr>
                <w:b/>
                <w:bCs/>
                <w:szCs w:val="24"/>
                <w:lang w:val="fr-CH"/>
              </w:rPr>
              <w:t>CA</w:t>
            </w:r>
            <w:r w:rsidR="003151D0" w:rsidRPr="00E85850">
              <w:rPr>
                <w:b/>
                <w:bCs/>
                <w:szCs w:val="24"/>
                <w:lang w:val="fr-CH"/>
              </w:rPr>
              <w:t>CE</w:t>
            </w:r>
            <w:r w:rsidR="003836D4" w:rsidRPr="00E85850">
              <w:rPr>
                <w:b/>
                <w:bCs/>
                <w:szCs w:val="24"/>
                <w:lang w:val="fr-CH"/>
              </w:rPr>
              <w:t>/</w:t>
            </w:r>
            <w:r w:rsidR="00E85850" w:rsidRPr="00E85850">
              <w:rPr>
                <w:b/>
                <w:bCs/>
                <w:szCs w:val="24"/>
                <w:lang w:val="fr-CH"/>
              </w:rPr>
              <w:t>725</w:t>
            </w:r>
          </w:p>
        </w:tc>
        <w:tc>
          <w:tcPr>
            <w:tcW w:w="2835" w:type="dxa"/>
            <w:shd w:val="clear" w:color="auto" w:fill="auto"/>
          </w:tcPr>
          <w:p w:rsidR="00651777" w:rsidRPr="00E85850" w:rsidRDefault="00E85850" w:rsidP="00E51022">
            <w:pPr>
              <w:spacing w:before="0"/>
              <w:jc w:val="right"/>
              <w:rPr>
                <w:szCs w:val="24"/>
                <w:lang w:val="en-GB"/>
              </w:rPr>
            </w:pPr>
            <w:r>
              <w:rPr>
                <w:szCs w:val="24"/>
                <w:lang w:val="en-GB"/>
              </w:rPr>
              <w:t>22 May 2015</w:t>
            </w:r>
          </w:p>
        </w:tc>
      </w:tr>
      <w:tr w:rsidR="0037309C" w:rsidRPr="00CD4E44" w:rsidTr="004D02EC">
        <w:tc>
          <w:tcPr>
            <w:tcW w:w="9889" w:type="dxa"/>
            <w:gridSpan w:val="3"/>
            <w:shd w:val="clear" w:color="auto" w:fill="auto"/>
          </w:tcPr>
          <w:p w:rsidR="0037309C" w:rsidRPr="00E85850"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E85850" w:rsidRDefault="0037309C" w:rsidP="00D374CD">
            <w:pPr>
              <w:spacing w:before="0"/>
              <w:jc w:val="left"/>
              <w:rPr>
                <w:szCs w:val="24"/>
              </w:rPr>
            </w:pPr>
          </w:p>
        </w:tc>
      </w:tr>
      <w:tr w:rsidR="0037309C" w:rsidRPr="0048426C" w:rsidTr="004D02EC">
        <w:tc>
          <w:tcPr>
            <w:tcW w:w="9889" w:type="dxa"/>
            <w:gridSpan w:val="3"/>
            <w:shd w:val="clear" w:color="auto" w:fill="auto"/>
          </w:tcPr>
          <w:p w:rsidR="00D21694" w:rsidRPr="0048426C" w:rsidRDefault="0037309C" w:rsidP="001F1B10">
            <w:pPr>
              <w:spacing w:before="0"/>
              <w:jc w:val="left"/>
              <w:rPr>
                <w:b/>
                <w:bCs/>
                <w:szCs w:val="24"/>
              </w:rPr>
            </w:pPr>
            <w:r w:rsidRPr="0048426C">
              <w:rPr>
                <w:b/>
                <w:bCs/>
                <w:szCs w:val="24"/>
              </w:rPr>
              <w:t>To Administrations of Member States of the ITU,</w:t>
            </w:r>
            <w:r w:rsidR="003151D0" w:rsidRPr="0048426C">
              <w:rPr>
                <w:b/>
                <w:bCs/>
                <w:szCs w:val="24"/>
              </w:rPr>
              <w:t xml:space="preserve"> </w:t>
            </w:r>
            <w:r w:rsidR="003151D0" w:rsidRPr="0048426C">
              <w:rPr>
                <w:b/>
                <w:bCs/>
              </w:rPr>
              <w:t>Radiocommunication Sector Members</w:t>
            </w:r>
            <w:r w:rsidR="00E51022" w:rsidRPr="0048426C">
              <w:rPr>
                <w:b/>
                <w:bCs/>
              </w:rPr>
              <w:t xml:space="preserve"> </w:t>
            </w:r>
            <w:r w:rsidR="001F1B10">
              <w:rPr>
                <w:b/>
                <w:bCs/>
              </w:rPr>
              <w:br/>
            </w:r>
            <w:r w:rsidR="00C92C65" w:rsidRPr="0048426C">
              <w:rPr>
                <w:b/>
                <w:bCs/>
              </w:rPr>
              <w:t xml:space="preserve">and </w:t>
            </w:r>
            <w:r w:rsidR="003151D0" w:rsidRPr="0048426C">
              <w:rPr>
                <w:b/>
                <w:bCs/>
              </w:rPr>
              <w:t>ITU</w:t>
            </w:r>
            <w:r w:rsidR="004C6E10" w:rsidRPr="0048426C">
              <w:rPr>
                <w:b/>
                <w:bCs/>
              </w:rPr>
              <w:noBreakHyphen/>
            </w:r>
            <w:r w:rsidR="003151D0" w:rsidRPr="0048426C">
              <w:rPr>
                <w:b/>
                <w:bCs/>
              </w:rPr>
              <w:t xml:space="preserve">R Associates participating in the work of Radiocommunication Study Group </w:t>
            </w:r>
            <w:r w:rsidR="003A2946" w:rsidRPr="0048426C">
              <w:rPr>
                <w:b/>
                <w:bCs/>
              </w:rPr>
              <w:t>3</w:t>
            </w:r>
          </w:p>
        </w:tc>
      </w:tr>
      <w:tr w:rsidR="0037309C" w:rsidRPr="0048426C" w:rsidTr="004D02EC">
        <w:tc>
          <w:tcPr>
            <w:tcW w:w="9889" w:type="dxa"/>
            <w:gridSpan w:val="3"/>
            <w:shd w:val="clear" w:color="auto" w:fill="auto"/>
          </w:tcPr>
          <w:p w:rsidR="0037309C" w:rsidRPr="0048426C" w:rsidRDefault="0037309C" w:rsidP="006047E5">
            <w:pPr>
              <w:spacing w:before="0"/>
              <w:jc w:val="left"/>
              <w:rPr>
                <w:szCs w:val="24"/>
              </w:rPr>
            </w:pPr>
          </w:p>
        </w:tc>
      </w:tr>
      <w:tr w:rsidR="0037309C" w:rsidRPr="0048426C" w:rsidTr="004D02EC">
        <w:tc>
          <w:tcPr>
            <w:tcW w:w="9889" w:type="dxa"/>
            <w:gridSpan w:val="3"/>
            <w:shd w:val="clear" w:color="auto" w:fill="auto"/>
          </w:tcPr>
          <w:p w:rsidR="0037309C" w:rsidRPr="0048426C" w:rsidRDefault="0037309C" w:rsidP="006047E5">
            <w:pPr>
              <w:spacing w:before="0"/>
              <w:jc w:val="left"/>
              <w:rPr>
                <w:szCs w:val="24"/>
              </w:rPr>
            </w:pPr>
          </w:p>
        </w:tc>
      </w:tr>
      <w:tr w:rsidR="00B4054B" w:rsidRPr="0048426C" w:rsidTr="0037309C">
        <w:tc>
          <w:tcPr>
            <w:tcW w:w="1526" w:type="dxa"/>
            <w:shd w:val="clear" w:color="auto" w:fill="auto"/>
          </w:tcPr>
          <w:p w:rsidR="00B4054B" w:rsidRPr="0048426C" w:rsidRDefault="00B4054B" w:rsidP="00357949">
            <w:pPr>
              <w:spacing w:before="60" w:after="60"/>
              <w:jc w:val="left"/>
              <w:rPr>
                <w:szCs w:val="24"/>
                <w:lang w:val="en-GB"/>
              </w:rPr>
            </w:pPr>
            <w:r w:rsidRPr="0048426C">
              <w:rPr>
                <w:szCs w:val="24"/>
              </w:rPr>
              <w:t>Subject:</w:t>
            </w:r>
          </w:p>
        </w:tc>
        <w:tc>
          <w:tcPr>
            <w:tcW w:w="8363" w:type="dxa"/>
            <w:gridSpan w:val="2"/>
            <w:vMerge w:val="restart"/>
            <w:shd w:val="clear" w:color="auto" w:fill="auto"/>
          </w:tcPr>
          <w:p w:rsidR="00DF170E" w:rsidRPr="0048426C" w:rsidRDefault="003151D0" w:rsidP="00357949">
            <w:pPr>
              <w:tabs>
                <w:tab w:val="clear" w:pos="794"/>
                <w:tab w:val="clear" w:pos="1588"/>
                <w:tab w:val="clear" w:pos="1985"/>
                <w:tab w:val="left" w:pos="454"/>
                <w:tab w:val="left" w:pos="1418"/>
              </w:tabs>
              <w:spacing w:before="60"/>
              <w:ind w:left="459" w:hanging="459"/>
              <w:rPr>
                <w:b/>
                <w:bCs/>
              </w:rPr>
            </w:pPr>
            <w:r w:rsidRPr="0048426C">
              <w:rPr>
                <w:b/>
                <w:bCs/>
              </w:rPr>
              <w:t xml:space="preserve">Radiocommunication Study Group </w:t>
            </w:r>
            <w:bookmarkStart w:id="0" w:name="OLE_LINK1"/>
            <w:bookmarkStart w:id="1" w:name="OLE_LINK2"/>
            <w:r w:rsidR="003A2946" w:rsidRPr="0048426C">
              <w:rPr>
                <w:b/>
                <w:bCs/>
              </w:rPr>
              <w:t>3 (Radiowave propagation)</w:t>
            </w:r>
          </w:p>
          <w:p w:rsidR="003151D0" w:rsidRPr="0048426C" w:rsidRDefault="003151D0" w:rsidP="001F1B10">
            <w:pPr>
              <w:tabs>
                <w:tab w:val="clear" w:pos="794"/>
                <w:tab w:val="clear" w:pos="1588"/>
                <w:tab w:val="clear" w:pos="1985"/>
                <w:tab w:val="left" w:pos="454"/>
                <w:tab w:val="left" w:pos="1418"/>
              </w:tabs>
              <w:spacing w:before="240"/>
              <w:ind w:left="459" w:hanging="459"/>
              <w:jc w:val="left"/>
              <w:rPr>
                <w:b/>
              </w:rPr>
            </w:pPr>
            <w:r w:rsidRPr="0048426C">
              <w:rPr>
                <w:b/>
              </w:rPr>
              <w:t>–</w:t>
            </w:r>
            <w:r w:rsidRPr="0048426C">
              <w:rPr>
                <w:bCs/>
              </w:rPr>
              <w:tab/>
            </w:r>
            <w:r w:rsidRPr="006236CE">
              <w:rPr>
                <w:b/>
              </w:rPr>
              <w:t xml:space="preserve">Proposed approval of </w:t>
            </w:r>
            <w:r w:rsidR="003A2946" w:rsidRPr="0048426C">
              <w:rPr>
                <w:b/>
              </w:rPr>
              <w:t xml:space="preserve">2 </w:t>
            </w:r>
            <w:r w:rsidRPr="0048426C">
              <w:rPr>
                <w:b/>
              </w:rPr>
              <w:t>draft revised ITU-R Recommendation</w:t>
            </w:r>
            <w:r w:rsidRPr="006236CE">
              <w:rPr>
                <w:b/>
              </w:rPr>
              <w:t>s</w:t>
            </w:r>
          </w:p>
          <w:bookmarkEnd w:id="0"/>
          <w:bookmarkEnd w:id="1"/>
          <w:p w:rsidR="003151D0" w:rsidRPr="0048426C" w:rsidRDefault="003151D0" w:rsidP="00DF170E">
            <w:pPr>
              <w:tabs>
                <w:tab w:val="left" w:pos="454"/>
              </w:tabs>
              <w:spacing w:before="0"/>
              <w:rPr>
                <w:b/>
                <w:bCs/>
                <w:szCs w:val="24"/>
                <w:lang w:val="en-GB"/>
              </w:rPr>
            </w:pPr>
          </w:p>
        </w:tc>
      </w:tr>
      <w:tr w:rsidR="00B4054B" w:rsidRPr="0048426C" w:rsidTr="006A0053">
        <w:tc>
          <w:tcPr>
            <w:tcW w:w="1526" w:type="dxa"/>
            <w:shd w:val="clear" w:color="auto" w:fill="auto"/>
          </w:tcPr>
          <w:p w:rsidR="00B4054B" w:rsidRPr="0048426C" w:rsidRDefault="00B4054B" w:rsidP="006A0053">
            <w:pPr>
              <w:spacing w:before="0"/>
              <w:jc w:val="left"/>
              <w:rPr>
                <w:b/>
                <w:bCs/>
                <w:szCs w:val="24"/>
                <w:lang w:val="en-GB"/>
              </w:rPr>
            </w:pPr>
          </w:p>
        </w:tc>
        <w:tc>
          <w:tcPr>
            <w:tcW w:w="8363" w:type="dxa"/>
            <w:gridSpan w:val="2"/>
            <w:vMerge/>
            <w:shd w:val="clear" w:color="auto" w:fill="auto"/>
          </w:tcPr>
          <w:p w:rsidR="00B4054B" w:rsidRPr="0048426C" w:rsidRDefault="00B4054B" w:rsidP="006A0053">
            <w:pPr>
              <w:spacing w:before="0"/>
              <w:rPr>
                <w:b/>
                <w:bCs/>
                <w:szCs w:val="24"/>
                <w:lang w:val="en-GB"/>
              </w:rPr>
            </w:pPr>
          </w:p>
        </w:tc>
      </w:tr>
      <w:tr w:rsidR="00B4054B" w:rsidRPr="0048426C" w:rsidTr="006A0053">
        <w:tc>
          <w:tcPr>
            <w:tcW w:w="1526" w:type="dxa"/>
            <w:shd w:val="clear" w:color="auto" w:fill="auto"/>
          </w:tcPr>
          <w:p w:rsidR="00B4054B" w:rsidRPr="0048426C" w:rsidRDefault="00B4054B" w:rsidP="006A0053">
            <w:pPr>
              <w:spacing w:before="0"/>
              <w:jc w:val="left"/>
              <w:rPr>
                <w:b/>
                <w:bCs/>
                <w:szCs w:val="24"/>
                <w:lang w:val="en-GB"/>
              </w:rPr>
            </w:pPr>
          </w:p>
        </w:tc>
        <w:tc>
          <w:tcPr>
            <w:tcW w:w="8363" w:type="dxa"/>
            <w:gridSpan w:val="2"/>
            <w:vMerge/>
            <w:shd w:val="clear" w:color="auto" w:fill="auto"/>
          </w:tcPr>
          <w:p w:rsidR="00B4054B" w:rsidRPr="0048426C" w:rsidRDefault="00B4054B" w:rsidP="006A0053">
            <w:pPr>
              <w:spacing w:before="0"/>
              <w:rPr>
                <w:b/>
                <w:bCs/>
                <w:szCs w:val="24"/>
                <w:lang w:val="en-GB"/>
              </w:rPr>
            </w:pPr>
          </w:p>
        </w:tc>
      </w:tr>
      <w:tr w:rsidR="00C51E92" w:rsidRPr="0048426C" w:rsidTr="00F72DBF">
        <w:tc>
          <w:tcPr>
            <w:tcW w:w="9889" w:type="dxa"/>
            <w:gridSpan w:val="3"/>
            <w:shd w:val="clear" w:color="auto" w:fill="auto"/>
          </w:tcPr>
          <w:p w:rsidR="00C51E92" w:rsidRPr="0048426C" w:rsidRDefault="00C51E92" w:rsidP="00F72DBF">
            <w:pPr>
              <w:spacing w:before="0"/>
              <w:jc w:val="left"/>
              <w:rPr>
                <w:b/>
                <w:bCs/>
                <w:szCs w:val="24"/>
              </w:rPr>
            </w:pPr>
          </w:p>
        </w:tc>
      </w:tr>
      <w:tr w:rsidR="00C51E92" w:rsidRPr="0048426C" w:rsidTr="00F72DBF">
        <w:tc>
          <w:tcPr>
            <w:tcW w:w="9889" w:type="dxa"/>
            <w:gridSpan w:val="3"/>
            <w:shd w:val="clear" w:color="auto" w:fill="auto"/>
          </w:tcPr>
          <w:p w:rsidR="00C51E92" w:rsidRPr="0048426C" w:rsidRDefault="00C51E92" w:rsidP="00F72DBF">
            <w:pPr>
              <w:spacing w:before="0"/>
              <w:jc w:val="left"/>
              <w:rPr>
                <w:b/>
                <w:bCs/>
                <w:szCs w:val="24"/>
              </w:rPr>
            </w:pPr>
          </w:p>
        </w:tc>
      </w:tr>
    </w:tbl>
    <w:p w:rsidR="003151D0" w:rsidRPr="0048426C" w:rsidRDefault="003151D0" w:rsidP="00D21AB1">
      <w:pPr>
        <w:spacing w:before="360"/>
      </w:pPr>
      <w:r w:rsidRPr="0048426C">
        <w:t xml:space="preserve">At the meeting of </w:t>
      </w:r>
      <w:r w:rsidR="001743D1" w:rsidRPr="0048426C">
        <w:t>Radiocommunication</w:t>
      </w:r>
      <w:r w:rsidRPr="0048426C">
        <w:t xml:space="preserve"> Study Group </w:t>
      </w:r>
      <w:r w:rsidR="00E85850" w:rsidRPr="0048426C">
        <w:t xml:space="preserve">3 </w:t>
      </w:r>
      <w:r w:rsidRPr="0048426C">
        <w:t xml:space="preserve">held </w:t>
      </w:r>
      <w:r w:rsidR="001E2818">
        <w:t>on</w:t>
      </w:r>
      <w:r w:rsidRPr="0048426C">
        <w:t xml:space="preserve"> </w:t>
      </w:r>
      <w:r w:rsidR="00E85850" w:rsidRPr="0048426C">
        <w:t>30 A</w:t>
      </w:r>
      <w:bookmarkStart w:id="2" w:name="_GoBack"/>
      <w:bookmarkEnd w:id="2"/>
      <w:r w:rsidR="00E85850" w:rsidRPr="0048426C">
        <w:t>pril 2015</w:t>
      </w:r>
      <w:r w:rsidRPr="0048426C">
        <w:t xml:space="preserve">, the Study Group adopted the texts of </w:t>
      </w:r>
      <w:r w:rsidR="00E85850" w:rsidRPr="0048426C">
        <w:t>2</w:t>
      </w:r>
      <w:r w:rsidRPr="0048426C">
        <w:t xml:space="preserve"> draft revised </w:t>
      </w:r>
      <w:r w:rsidR="00E51022" w:rsidRPr="0048426C">
        <w:t xml:space="preserve">ITU-R </w:t>
      </w:r>
      <w:r w:rsidRPr="0048426C">
        <w:t>Recommendation</w:t>
      </w:r>
      <w:r w:rsidRPr="006236CE">
        <w:t>s</w:t>
      </w:r>
      <w:r w:rsidRPr="0048426C">
        <w:t xml:space="preserve"> and agreed to apply the procedure of Resolution ITU-R 1-6 (see § 10.4.5) for approval of Recommendations by consultation. The titles and summar</w:t>
      </w:r>
      <w:r w:rsidRPr="006236CE">
        <w:t>ies</w:t>
      </w:r>
      <w:r w:rsidRPr="0048426C">
        <w:t xml:space="preserve"> of the draft Recommendations are given in </w:t>
      </w:r>
      <w:r w:rsidR="00E51022" w:rsidRPr="0048426C">
        <w:t>the Annex to this letter</w:t>
      </w:r>
      <w:r w:rsidR="00E4316C">
        <w:t>.</w:t>
      </w:r>
    </w:p>
    <w:p w:rsidR="003151D0" w:rsidRPr="0048426C" w:rsidRDefault="003151D0" w:rsidP="005C1EFD">
      <w:r w:rsidRPr="0048426C">
        <w:t>Having regard to the provisions of § 10.4.5.1 of Resolution ITU-R 1-6, Member States are requested to inform the Secretariat (</w:t>
      </w:r>
      <w:hyperlink r:id="rId8" w:history="1">
        <w:r w:rsidRPr="0048426C">
          <w:rPr>
            <w:rStyle w:val="Hyperlink"/>
          </w:rPr>
          <w:t>brsgd@itu.int</w:t>
        </w:r>
      </w:hyperlink>
      <w:r w:rsidRPr="0048426C">
        <w:t>) by</w:t>
      </w:r>
      <w:r w:rsidR="00AA50BE">
        <w:t xml:space="preserve"> </w:t>
      </w:r>
      <w:r w:rsidR="00E85850" w:rsidRPr="0048426C">
        <w:rPr>
          <w:u w:val="single"/>
        </w:rPr>
        <w:t>22 July 2015</w:t>
      </w:r>
      <w:r w:rsidRPr="0048426C">
        <w:t>, whether they approve or do not approve the proposal above.</w:t>
      </w:r>
    </w:p>
    <w:p w:rsidR="003151D0" w:rsidRPr="0048426C" w:rsidRDefault="003151D0" w:rsidP="00AD1774">
      <w:pPr>
        <w:tabs>
          <w:tab w:val="left" w:pos="0"/>
          <w:tab w:val="left" w:pos="1134"/>
          <w:tab w:val="left" w:pos="3119"/>
        </w:tabs>
        <w:spacing w:after="120"/>
      </w:pPr>
      <w:r w:rsidRPr="0048426C">
        <w:t>Any Member State who objects to the approval of a draft Recommendation is requested to inform the Director and the Chairman of the Study Group of the reasons for the objection.</w:t>
      </w:r>
    </w:p>
    <w:p w:rsidR="003151D0" w:rsidRPr="0048426C" w:rsidRDefault="003151D0" w:rsidP="00AD1774">
      <w:r w:rsidRPr="0048426C">
        <w:t>After the above-mentioned deadline, the results of this consultation will be announced in an Administrative Circular and the approved Recommendation</w:t>
      </w:r>
      <w:r w:rsidRPr="006236CE">
        <w:t>s</w:t>
      </w:r>
      <w:r w:rsidRPr="0048426C">
        <w:t xml:space="preserve"> will be published as soon as practicable (see </w:t>
      </w:r>
      <w:hyperlink r:id="rId9" w:history="1">
        <w:r w:rsidRPr="0048426C">
          <w:rPr>
            <w:rStyle w:val="Hyperlink"/>
          </w:rPr>
          <w:t>http://www.itu.int/pub/R-REC</w:t>
        </w:r>
      </w:hyperlink>
      <w:r w:rsidRPr="0048426C">
        <w:t>).</w:t>
      </w:r>
    </w:p>
    <w:p w:rsidR="003151D0" w:rsidRPr="0048426C" w:rsidRDefault="003151D0" w:rsidP="003151D0">
      <w:pPr>
        <w:tabs>
          <w:tab w:val="clear" w:pos="794"/>
          <w:tab w:val="clear" w:pos="1191"/>
          <w:tab w:val="clear" w:pos="1588"/>
          <w:tab w:val="clear" w:pos="1985"/>
        </w:tabs>
        <w:overflowPunct/>
        <w:autoSpaceDE/>
        <w:autoSpaceDN/>
        <w:adjustRightInd/>
        <w:spacing w:before="0"/>
        <w:textAlignment w:val="auto"/>
      </w:pPr>
      <w:r w:rsidRPr="0048426C">
        <w:br w:type="page"/>
      </w:r>
    </w:p>
    <w:p w:rsidR="003151D0" w:rsidRPr="0048426C" w:rsidRDefault="003151D0" w:rsidP="006236CE">
      <w:r w:rsidRPr="0048426C">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rsidRPr="0048426C">
        <w:br/>
        <w:t xml:space="preserve">ITU-T/ITU-R/ISO/IEC is available at </w:t>
      </w:r>
      <w:hyperlink r:id="rId10" w:history="1">
        <w:r w:rsidRPr="0048426C">
          <w:rPr>
            <w:rStyle w:val="Hyperlink"/>
          </w:rPr>
          <w:t>http://www.itu.int/en/ITU-T/ipr/Pages/policy.aspx</w:t>
        </w:r>
      </w:hyperlink>
      <w:r w:rsidRPr="0048426C">
        <w:t>.</w:t>
      </w:r>
    </w:p>
    <w:p w:rsidR="00A364FB" w:rsidRPr="0048426C" w:rsidRDefault="00A364FB" w:rsidP="00DC41FA">
      <w:pPr>
        <w:spacing w:before="1560" w:line="240" w:lineRule="auto"/>
        <w:jc w:val="left"/>
        <w:rPr>
          <w:rFonts w:asciiTheme="minorHAnsi" w:hAnsiTheme="minorHAnsi" w:cstheme="minorHAnsi"/>
          <w:szCs w:val="24"/>
        </w:rPr>
      </w:pPr>
      <w:r w:rsidRPr="0048426C">
        <w:rPr>
          <w:rFonts w:asciiTheme="minorHAnsi" w:hAnsiTheme="minorHAnsi" w:cstheme="minorHAnsi"/>
          <w:szCs w:val="24"/>
        </w:rPr>
        <w:t>François Rancy</w:t>
      </w:r>
    </w:p>
    <w:p w:rsidR="00A364FB" w:rsidRPr="0048426C" w:rsidRDefault="00A364FB" w:rsidP="00A364FB">
      <w:pPr>
        <w:spacing w:before="0" w:line="240" w:lineRule="auto"/>
        <w:jc w:val="left"/>
        <w:rPr>
          <w:rFonts w:asciiTheme="minorHAnsi" w:hAnsiTheme="minorHAnsi" w:cstheme="minorHAnsi"/>
          <w:szCs w:val="24"/>
        </w:rPr>
      </w:pPr>
      <w:r w:rsidRPr="0048426C">
        <w:rPr>
          <w:rFonts w:asciiTheme="minorHAnsi" w:hAnsiTheme="minorHAnsi" w:cstheme="minorHAnsi"/>
          <w:szCs w:val="24"/>
        </w:rPr>
        <w:t>Director</w:t>
      </w:r>
    </w:p>
    <w:p w:rsidR="003151D0" w:rsidRPr="0048426C" w:rsidRDefault="003151D0" w:rsidP="003151D0">
      <w:pPr>
        <w:tabs>
          <w:tab w:val="center" w:pos="7939"/>
          <w:tab w:val="right" w:pos="8505"/>
        </w:tabs>
        <w:rPr>
          <w:u w:val="single"/>
        </w:rPr>
      </w:pPr>
    </w:p>
    <w:p w:rsidR="003151D0" w:rsidRPr="0048426C" w:rsidRDefault="003151D0" w:rsidP="003151D0">
      <w:pPr>
        <w:tabs>
          <w:tab w:val="center" w:pos="7939"/>
          <w:tab w:val="right" w:pos="8505"/>
        </w:tabs>
        <w:rPr>
          <w:u w:val="single"/>
        </w:rPr>
      </w:pPr>
    </w:p>
    <w:p w:rsidR="003151D0" w:rsidRPr="0048426C" w:rsidRDefault="003151D0" w:rsidP="00150496">
      <w:pPr>
        <w:tabs>
          <w:tab w:val="clear" w:pos="794"/>
          <w:tab w:val="left" w:pos="993"/>
          <w:tab w:val="center" w:pos="7939"/>
          <w:tab w:val="right" w:pos="8505"/>
        </w:tabs>
      </w:pPr>
      <w:r w:rsidRPr="0048426C">
        <w:rPr>
          <w:b/>
          <w:bCs/>
        </w:rPr>
        <w:t>Annex:</w:t>
      </w:r>
      <w:r w:rsidRPr="0048426C">
        <w:tab/>
      </w:r>
      <w:r w:rsidRPr="0048426C">
        <w:tab/>
        <w:t>Title</w:t>
      </w:r>
      <w:r w:rsidRPr="006236CE">
        <w:t>s</w:t>
      </w:r>
      <w:r w:rsidRPr="0048426C">
        <w:t xml:space="preserve"> and summar</w:t>
      </w:r>
      <w:r w:rsidRPr="006236CE">
        <w:t>ies</w:t>
      </w:r>
      <w:r w:rsidRPr="0048426C">
        <w:t xml:space="preserve"> of the draft Recommendation</w:t>
      </w:r>
      <w:r w:rsidRPr="006236CE">
        <w:t>s</w:t>
      </w:r>
    </w:p>
    <w:p w:rsidR="003151D0" w:rsidRPr="0048426C" w:rsidRDefault="003151D0" w:rsidP="001B41D6">
      <w:pPr>
        <w:tabs>
          <w:tab w:val="center" w:pos="7939"/>
          <w:tab w:val="right" w:pos="8505"/>
        </w:tabs>
      </w:pPr>
      <w:r w:rsidRPr="0048426C">
        <w:tab/>
      </w:r>
      <w:r w:rsidRPr="0048426C">
        <w:tab/>
      </w:r>
    </w:p>
    <w:p w:rsidR="003151D0" w:rsidRPr="0048426C" w:rsidRDefault="003151D0" w:rsidP="003151D0">
      <w:pPr>
        <w:tabs>
          <w:tab w:val="center" w:pos="7939"/>
          <w:tab w:val="right" w:pos="8505"/>
        </w:tabs>
        <w:rPr>
          <w:u w:val="single"/>
        </w:rPr>
      </w:pPr>
    </w:p>
    <w:p w:rsidR="003151D0" w:rsidRPr="0048426C" w:rsidRDefault="003151D0">
      <w:pPr>
        <w:tabs>
          <w:tab w:val="center" w:pos="7939"/>
          <w:tab w:val="right" w:pos="8505"/>
        </w:tabs>
        <w:rPr>
          <w:b/>
          <w:lang w:val="fr-CH"/>
        </w:rPr>
      </w:pPr>
      <w:r w:rsidRPr="0048426C">
        <w:rPr>
          <w:b/>
          <w:lang w:val="fr-CH"/>
        </w:rPr>
        <w:t xml:space="preserve">Documents: </w:t>
      </w:r>
      <w:r w:rsidR="00FE42FC" w:rsidRPr="00020670">
        <w:rPr>
          <w:lang w:val="fr-CH"/>
        </w:rPr>
        <w:tab/>
      </w:r>
      <w:r w:rsidRPr="0048426C">
        <w:rPr>
          <w:lang w:val="fr-CH"/>
        </w:rPr>
        <w:t xml:space="preserve">Documents </w:t>
      </w:r>
      <w:r w:rsidR="00E85850" w:rsidRPr="0048426C">
        <w:rPr>
          <w:lang w:val="fr-CH"/>
        </w:rPr>
        <w:t>3/BL/2 and 3/BL/3</w:t>
      </w:r>
    </w:p>
    <w:p w:rsidR="003151D0" w:rsidRDefault="003151D0" w:rsidP="00E85850">
      <w:pPr>
        <w:tabs>
          <w:tab w:val="clear" w:pos="1588"/>
          <w:tab w:val="left" w:pos="2552"/>
        </w:tabs>
      </w:pPr>
      <w:r w:rsidRPr="0048426C">
        <w:t xml:space="preserve">These documents are available in electronic format at: </w:t>
      </w:r>
      <w:hyperlink r:id="rId11" w:history="1">
        <w:r w:rsidR="00AA50BE" w:rsidRPr="00B47E72">
          <w:rPr>
            <w:rStyle w:val="Hyperlink"/>
          </w:rPr>
          <w:t>http://www.itu.int/rec/R-REC-P/en</w:t>
        </w:r>
      </w:hyperlink>
    </w:p>
    <w:p w:rsidR="00AA50BE" w:rsidRPr="0048426C" w:rsidRDefault="00AA50BE" w:rsidP="00E85850">
      <w:pPr>
        <w:tabs>
          <w:tab w:val="clear" w:pos="1588"/>
          <w:tab w:val="left" w:pos="2552"/>
        </w:tabs>
        <w:rPr>
          <w:i/>
          <w:iCs/>
        </w:rPr>
      </w:pPr>
    </w:p>
    <w:p w:rsidR="00DF170E" w:rsidRPr="0048426C" w:rsidRDefault="00DF170E" w:rsidP="00A364FB">
      <w:pPr>
        <w:tabs>
          <w:tab w:val="clear" w:pos="1588"/>
          <w:tab w:val="left" w:pos="2552"/>
        </w:tabs>
        <w:rPr>
          <w:i/>
          <w:iCs/>
        </w:rPr>
      </w:pPr>
    </w:p>
    <w:p w:rsidR="003151D0" w:rsidRPr="0048426C" w:rsidRDefault="003151D0" w:rsidP="003151D0">
      <w:pPr>
        <w:tabs>
          <w:tab w:val="left" w:pos="284"/>
          <w:tab w:val="left" w:pos="568"/>
        </w:tabs>
        <w:spacing w:before="360" w:after="40"/>
        <w:rPr>
          <w:sz w:val="16"/>
          <w:u w:val="single"/>
        </w:rPr>
      </w:pPr>
    </w:p>
    <w:p w:rsidR="00A364FB" w:rsidRPr="0048426C" w:rsidRDefault="00A364FB" w:rsidP="003151D0">
      <w:pPr>
        <w:tabs>
          <w:tab w:val="left" w:pos="284"/>
          <w:tab w:val="left" w:pos="568"/>
        </w:tabs>
        <w:spacing w:before="360" w:after="40"/>
        <w:rPr>
          <w:sz w:val="16"/>
          <w:u w:val="single"/>
        </w:rPr>
      </w:pPr>
    </w:p>
    <w:p w:rsidR="00A364FB" w:rsidRPr="0048426C" w:rsidRDefault="00A364FB" w:rsidP="003151D0">
      <w:pPr>
        <w:tabs>
          <w:tab w:val="left" w:pos="284"/>
          <w:tab w:val="left" w:pos="568"/>
        </w:tabs>
        <w:spacing w:before="360" w:after="40"/>
        <w:rPr>
          <w:sz w:val="16"/>
          <w:u w:val="single"/>
        </w:rPr>
      </w:pPr>
    </w:p>
    <w:p w:rsidR="00A364FB" w:rsidRPr="0048426C" w:rsidRDefault="00A364FB" w:rsidP="003151D0">
      <w:pPr>
        <w:tabs>
          <w:tab w:val="left" w:pos="284"/>
          <w:tab w:val="left" w:pos="568"/>
        </w:tabs>
        <w:spacing w:before="360" w:after="40"/>
        <w:rPr>
          <w:sz w:val="16"/>
          <w:u w:val="single"/>
        </w:rPr>
      </w:pPr>
    </w:p>
    <w:p w:rsidR="00A364FB" w:rsidRPr="0048426C" w:rsidRDefault="00A364FB" w:rsidP="003151D0">
      <w:pPr>
        <w:tabs>
          <w:tab w:val="left" w:pos="284"/>
          <w:tab w:val="left" w:pos="568"/>
        </w:tabs>
        <w:spacing w:before="360" w:after="40"/>
        <w:rPr>
          <w:sz w:val="16"/>
          <w:u w:val="single"/>
        </w:rPr>
      </w:pPr>
    </w:p>
    <w:p w:rsidR="003151D0" w:rsidRPr="0048426C" w:rsidRDefault="003151D0" w:rsidP="00357949">
      <w:pPr>
        <w:tabs>
          <w:tab w:val="left" w:pos="284"/>
          <w:tab w:val="left" w:pos="568"/>
        </w:tabs>
        <w:spacing w:before="360" w:after="60"/>
        <w:rPr>
          <w:b/>
          <w:bCs/>
          <w:sz w:val="18"/>
          <w:szCs w:val="18"/>
        </w:rPr>
      </w:pPr>
      <w:r w:rsidRPr="0048426C">
        <w:rPr>
          <w:b/>
          <w:bCs/>
          <w:sz w:val="18"/>
          <w:szCs w:val="18"/>
        </w:rPr>
        <w:t>Distribution:</w:t>
      </w:r>
    </w:p>
    <w:p w:rsidR="003151D0" w:rsidRPr="0048426C" w:rsidRDefault="003151D0">
      <w:pPr>
        <w:tabs>
          <w:tab w:val="left" w:pos="567"/>
          <w:tab w:val="left" w:pos="6237"/>
        </w:tabs>
        <w:spacing w:before="0" w:line="240" w:lineRule="auto"/>
        <w:ind w:left="567" w:hanging="567"/>
        <w:rPr>
          <w:rFonts w:asciiTheme="minorHAnsi" w:hAnsiTheme="minorHAnsi" w:cstheme="minorHAnsi"/>
          <w:sz w:val="18"/>
          <w:szCs w:val="18"/>
        </w:rPr>
      </w:pPr>
      <w:r w:rsidRPr="0048426C">
        <w:rPr>
          <w:rFonts w:asciiTheme="minorHAnsi" w:hAnsiTheme="minorHAnsi" w:cstheme="minorHAnsi"/>
          <w:sz w:val="18"/>
          <w:szCs w:val="18"/>
        </w:rPr>
        <w:t>–</w:t>
      </w:r>
      <w:r w:rsidRPr="0048426C">
        <w:rPr>
          <w:rFonts w:asciiTheme="minorHAnsi" w:hAnsiTheme="minorHAnsi" w:cstheme="minorHAnsi"/>
          <w:sz w:val="18"/>
          <w:szCs w:val="18"/>
        </w:rPr>
        <w:tab/>
        <w:t xml:space="preserve">Administrations of Member States of the ITU and Radiocommunication Sector Members participating in the work of Radiocommunication Study Group </w:t>
      </w:r>
      <w:r w:rsidR="00306483" w:rsidRPr="0048426C">
        <w:rPr>
          <w:rFonts w:asciiTheme="minorHAnsi" w:hAnsiTheme="minorHAnsi" w:cstheme="minorHAnsi"/>
          <w:sz w:val="18"/>
          <w:szCs w:val="18"/>
        </w:rPr>
        <w:t>3</w:t>
      </w:r>
    </w:p>
    <w:p w:rsidR="003151D0" w:rsidRPr="0048426C" w:rsidRDefault="003151D0">
      <w:pPr>
        <w:tabs>
          <w:tab w:val="left" w:pos="567"/>
          <w:tab w:val="left" w:pos="6237"/>
        </w:tabs>
        <w:spacing w:before="0" w:line="240" w:lineRule="auto"/>
        <w:rPr>
          <w:rFonts w:asciiTheme="minorHAnsi" w:hAnsiTheme="minorHAnsi" w:cstheme="minorHAnsi"/>
          <w:sz w:val="18"/>
          <w:szCs w:val="18"/>
        </w:rPr>
      </w:pPr>
      <w:r w:rsidRPr="0048426C">
        <w:rPr>
          <w:rFonts w:asciiTheme="minorHAnsi" w:hAnsiTheme="minorHAnsi" w:cstheme="minorHAnsi"/>
          <w:sz w:val="18"/>
          <w:szCs w:val="18"/>
        </w:rPr>
        <w:t>–</w:t>
      </w:r>
      <w:r w:rsidRPr="0048426C">
        <w:rPr>
          <w:rFonts w:asciiTheme="minorHAnsi" w:hAnsiTheme="minorHAnsi" w:cstheme="minorHAnsi"/>
          <w:sz w:val="18"/>
          <w:szCs w:val="18"/>
        </w:rPr>
        <w:tab/>
        <w:t xml:space="preserve">ITU-R Associates participating in the work of Radiocommunication Study Group </w:t>
      </w:r>
      <w:r w:rsidR="00306483" w:rsidRPr="0048426C">
        <w:rPr>
          <w:rFonts w:asciiTheme="minorHAnsi" w:hAnsiTheme="minorHAnsi" w:cstheme="minorHAnsi"/>
          <w:sz w:val="18"/>
          <w:szCs w:val="18"/>
        </w:rPr>
        <w:t>3</w:t>
      </w:r>
    </w:p>
    <w:p w:rsidR="003151D0" w:rsidRPr="0048426C" w:rsidRDefault="003151D0" w:rsidP="003151D0">
      <w:pPr>
        <w:tabs>
          <w:tab w:val="left" w:pos="567"/>
          <w:tab w:val="left" w:pos="6237"/>
        </w:tabs>
        <w:spacing w:before="0" w:line="240" w:lineRule="auto"/>
        <w:ind w:left="567" w:hanging="567"/>
        <w:rPr>
          <w:rFonts w:asciiTheme="minorHAnsi" w:hAnsiTheme="minorHAnsi" w:cstheme="minorHAnsi"/>
          <w:sz w:val="18"/>
          <w:szCs w:val="18"/>
        </w:rPr>
      </w:pPr>
      <w:r w:rsidRPr="0048426C">
        <w:rPr>
          <w:rFonts w:asciiTheme="minorHAnsi" w:hAnsiTheme="minorHAnsi" w:cstheme="minorHAnsi"/>
          <w:sz w:val="18"/>
          <w:szCs w:val="18"/>
        </w:rPr>
        <w:t>–</w:t>
      </w:r>
      <w:r w:rsidRPr="0048426C">
        <w:rPr>
          <w:rFonts w:asciiTheme="minorHAnsi" w:hAnsiTheme="minorHAnsi" w:cstheme="minorHAnsi"/>
          <w:sz w:val="18"/>
          <w:szCs w:val="18"/>
        </w:rPr>
        <w:tab/>
        <w:t>Chairmen and Vice-Chairmen of Radiocommunication Study Groups and the Special Committee on Regulatory/Procedural Matters</w:t>
      </w:r>
    </w:p>
    <w:p w:rsidR="003151D0" w:rsidRPr="0048426C" w:rsidRDefault="003151D0" w:rsidP="003151D0">
      <w:pPr>
        <w:tabs>
          <w:tab w:val="left" w:pos="567"/>
          <w:tab w:val="left" w:pos="6237"/>
        </w:tabs>
        <w:spacing w:before="0" w:line="240" w:lineRule="auto"/>
        <w:rPr>
          <w:rFonts w:asciiTheme="minorHAnsi" w:hAnsiTheme="minorHAnsi" w:cstheme="minorHAnsi"/>
          <w:sz w:val="18"/>
          <w:szCs w:val="18"/>
        </w:rPr>
      </w:pPr>
      <w:r w:rsidRPr="0048426C">
        <w:rPr>
          <w:rFonts w:asciiTheme="minorHAnsi" w:hAnsiTheme="minorHAnsi" w:cstheme="minorHAnsi"/>
          <w:sz w:val="18"/>
          <w:szCs w:val="18"/>
        </w:rPr>
        <w:t>–</w:t>
      </w:r>
      <w:r w:rsidRPr="0048426C">
        <w:rPr>
          <w:rFonts w:asciiTheme="minorHAnsi" w:hAnsiTheme="minorHAnsi" w:cstheme="minorHAnsi"/>
          <w:sz w:val="18"/>
          <w:szCs w:val="18"/>
        </w:rPr>
        <w:tab/>
        <w:t>Chairman and Vice-Chairmen of the Conference Preparatory Meeting</w:t>
      </w:r>
    </w:p>
    <w:p w:rsidR="003151D0" w:rsidRPr="0048426C" w:rsidRDefault="003151D0" w:rsidP="003151D0">
      <w:pPr>
        <w:tabs>
          <w:tab w:val="left" w:pos="567"/>
          <w:tab w:val="left" w:pos="6237"/>
        </w:tabs>
        <w:spacing w:before="0" w:line="240" w:lineRule="auto"/>
        <w:rPr>
          <w:rFonts w:asciiTheme="minorHAnsi" w:hAnsiTheme="minorHAnsi" w:cstheme="minorHAnsi"/>
          <w:sz w:val="18"/>
          <w:szCs w:val="18"/>
        </w:rPr>
      </w:pPr>
      <w:r w:rsidRPr="0048426C">
        <w:rPr>
          <w:rFonts w:asciiTheme="minorHAnsi" w:hAnsiTheme="minorHAnsi" w:cstheme="minorHAnsi"/>
          <w:sz w:val="18"/>
          <w:szCs w:val="18"/>
        </w:rPr>
        <w:t>–</w:t>
      </w:r>
      <w:r w:rsidRPr="0048426C">
        <w:rPr>
          <w:rFonts w:asciiTheme="minorHAnsi" w:hAnsiTheme="minorHAnsi" w:cstheme="minorHAnsi"/>
          <w:sz w:val="18"/>
          <w:szCs w:val="18"/>
        </w:rPr>
        <w:tab/>
        <w:t>Members of the Radio Regulations Board</w:t>
      </w:r>
    </w:p>
    <w:p w:rsidR="003151D0" w:rsidRPr="0048426C" w:rsidRDefault="003151D0" w:rsidP="003151D0">
      <w:pPr>
        <w:pStyle w:val="BodyTextIndent"/>
        <w:rPr>
          <w:rFonts w:asciiTheme="minorHAnsi" w:hAnsiTheme="minorHAnsi" w:cstheme="minorHAnsi"/>
          <w:sz w:val="18"/>
          <w:szCs w:val="18"/>
        </w:rPr>
      </w:pPr>
      <w:r w:rsidRPr="0048426C">
        <w:rPr>
          <w:rFonts w:asciiTheme="minorHAnsi" w:hAnsiTheme="minorHAnsi" w:cstheme="minorHAnsi"/>
          <w:sz w:val="18"/>
          <w:szCs w:val="18"/>
        </w:rPr>
        <w:t>–</w:t>
      </w:r>
      <w:r w:rsidRPr="0048426C">
        <w:rPr>
          <w:rFonts w:asciiTheme="minorHAnsi" w:hAnsiTheme="minorHAnsi" w:cstheme="minorHAnsi"/>
          <w:sz w:val="18"/>
          <w:szCs w:val="18"/>
        </w:rPr>
        <w:tab/>
        <w:t>Secretary-General of the ITU, Director of the Telecommunication Standardization Bureau, Director of the Telecommunication Development Bureau</w:t>
      </w:r>
    </w:p>
    <w:p w:rsidR="003151D0" w:rsidRPr="0048426C" w:rsidRDefault="003151D0" w:rsidP="003151D0">
      <w:pPr>
        <w:tabs>
          <w:tab w:val="left" w:pos="284"/>
          <w:tab w:val="left" w:pos="568"/>
        </w:tabs>
        <w:spacing w:before="0"/>
        <w:rPr>
          <w:sz w:val="16"/>
        </w:rPr>
      </w:pPr>
    </w:p>
    <w:p w:rsidR="003151D0" w:rsidRPr="0048426C" w:rsidRDefault="003151D0" w:rsidP="003151D0">
      <w:pPr>
        <w:tabs>
          <w:tab w:val="left" w:pos="284"/>
          <w:tab w:val="left" w:pos="568"/>
        </w:tabs>
        <w:spacing w:before="360" w:after="40"/>
        <w:rPr>
          <w:sz w:val="16"/>
          <w:u w:val="single"/>
        </w:rPr>
      </w:pPr>
    </w:p>
    <w:p w:rsidR="003151D0" w:rsidRPr="00DF170E" w:rsidRDefault="003151D0" w:rsidP="00AA50BE">
      <w:pPr>
        <w:pStyle w:val="AnnexNotitle0"/>
        <w:spacing w:before="120"/>
        <w:rPr>
          <w:rFonts w:asciiTheme="minorHAnsi" w:hAnsiTheme="minorHAnsi" w:cstheme="minorHAnsi"/>
        </w:rPr>
      </w:pPr>
      <w:r w:rsidRPr="0048426C">
        <w:rPr>
          <w:sz w:val="16"/>
        </w:rPr>
        <w:br w:type="page"/>
      </w:r>
      <w:r w:rsidRPr="0048426C">
        <w:rPr>
          <w:rFonts w:asciiTheme="minorHAnsi" w:hAnsiTheme="minorHAnsi" w:cstheme="minorHAnsi"/>
        </w:rPr>
        <w:lastRenderedPageBreak/>
        <w:t xml:space="preserve">Annex </w:t>
      </w:r>
      <w:r w:rsidRPr="0048426C">
        <w:rPr>
          <w:rFonts w:asciiTheme="minorHAnsi" w:hAnsiTheme="minorHAnsi" w:cstheme="minorHAnsi"/>
        </w:rPr>
        <w:br/>
      </w:r>
      <w:r w:rsidRPr="0048426C">
        <w:rPr>
          <w:rFonts w:asciiTheme="minorHAnsi" w:hAnsiTheme="minorHAnsi" w:cstheme="minorHAnsi"/>
        </w:rPr>
        <w:br/>
        <w:t xml:space="preserve">Titles and summaries of the draft </w:t>
      </w:r>
      <w:r w:rsidR="00AA50BE">
        <w:rPr>
          <w:rFonts w:asciiTheme="minorHAnsi" w:hAnsiTheme="minorHAnsi" w:cstheme="minorHAnsi"/>
        </w:rPr>
        <w:t>Recommendation</w:t>
      </w:r>
      <w:r w:rsidRPr="0048426C">
        <w:rPr>
          <w:rFonts w:asciiTheme="minorHAnsi" w:hAnsiTheme="minorHAnsi" w:cstheme="minorHAnsi"/>
        </w:rPr>
        <w:t>s</w:t>
      </w:r>
      <w:r w:rsidRPr="0048426C">
        <w:rPr>
          <w:rFonts w:asciiTheme="minorHAnsi" w:hAnsiTheme="minorHAnsi" w:cstheme="minorHAnsi"/>
        </w:rPr>
        <w:br/>
        <w:t xml:space="preserve">adopted by Radiocommunication Study Group </w:t>
      </w:r>
      <w:r w:rsidR="00306483" w:rsidRPr="0048426C">
        <w:rPr>
          <w:rFonts w:asciiTheme="minorHAnsi" w:hAnsiTheme="minorHAnsi" w:cstheme="minorHAnsi"/>
        </w:rPr>
        <w:t>3</w:t>
      </w:r>
    </w:p>
    <w:p w:rsidR="003151D0" w:rsidRDefault="003151D0" w:rsidP="003151D0">
      <w:pPr>
        <w:pStyle w:val="Normalaftertitle"/>
      </w:pPr>
    </w:p>
    <w:p w:rsidR="003151D0" w:rsidRDefault="003151D0">
      <w:pPr>
        <w:tabs>
          <w:tab w:val="clear" w:pos="794"/>
          <w:tab w:val="clear" w:pos="1191"/>
          <w:tab w:val="clear" w:pos="1588"/>
          <w:tab w:val="clear" w:pos="1985"/>
          <w:tab w:val="right" w:pos="9639"/>
        </w:tabs>
      </w:pPr>
      <w:r>
        <w:rPr>
          <w:u w:val="single"/>
        </w:rPr>
        <w:t xml:space="preserve">Draft </w:t>
      </w:r>
      <w:r w:rsidR="00306483">
        <w:rPr>
          <w:u w:val="single"/>
        </w:rPr>
        <w:t>revision of</w:t>
      </w:r>
      <w:r>
        <w:rPr>
          <w:u w:val="single"/>
        </w:rPr>
        <w:t xml:space="preserve"> Recommendation ITU-R</w:t>
      </w:r>
      <w:r w:rsidR="00306483">
        <w:rPr>
          <w:u w:val="single"/>
        </w:rPr>
        <w:t xml:space="preserve"> P.1240-1</w:t>
      </w:r>
      <w:r>
        <w:tab/>
        <w:t xml:space="preserve">Doc. </w:t>
      </w:r>
      <w:r w:rsidR="00306483">
        <w:t>3</w:t>
      </w:r>
      <w:r w:rsidR="00A364FB">
        <w:t>/BL/</w:t>
      </w:r>
      <w:r w:rsidR="00306483">
        <w:t>2</w:t>
      </w:r>
    </w:p>
    <w:p w:rsidR="003151D0" w:rsidRDefault="00DE2784" w:rsidP="0003043E">
      <w:pPr>
        <w:pStyle w:val="Rectitle"/>
        <w:rPr>
          <w:szCs w:val="24"/>
        </w:rPr>
      </w:pPr>
      <w:r w:rsidRPr="00DE2784">
        <w:rPr>
          <w:lang w:eastAsia="zh-CN"/>
        </w:rPr>
        <w:t>ITU-R methods of basic MUF, operational MUF and ray-path prediction</w:t>
      </w:r>
    </w:p>
    <w:p w:rsidR="00A364FB" w:rsidRDefault="00DE2784" w:rsidP="00DC41FA">
      <w:pPr>
        <w:pStyle w:val="Normalaftertitle"/>
      </w:pPr>
      <w:r>
        <w:t xml:space="preserve">A careful comparison of HF propagation methods described in </w:t>
      </w:r>
      <w:r w:rsidRPr="00657457">
        <w:t>Recommendations ITU-R P.533-12 and</w:t>
      </w:r>
      <w:r>
        <w:t xml:space="preserve"> ITU-R </w:t>
      </w:r>
      <w:r w:rsidRPr="00657457">
        <w:t>P.1240-1</w:t>
      </w:r>
      <w:r>
        <w:t xml:space="preserve"> has identified an</w:t>
      </w:r>
      <w:r w:rsidRPr="00213AC2">
        <w:t xml:space="preserve"> inconsistency</w:t>
      </w:r>
      <w:r w:rsidRPr="00657457">
        <w:t xml:space="preserve"> between formulas for </w:t>
      </w:r>
      <w:r>
        <w:t xml:space="preserve">the </w:t>
      </w:r>
      <w:r w:rsidRPr="00657457">
        <w:t>calculation of “maximum ground range d</w:t>
      </w:r>
      <w:r w:rsidRPr="00EA799B">
        <w:rPr>
          <w:vertAlign w:val="subscript"/>
        </w:rPr>
        <w:t>max</w:t>
      </w:r>
      <w:r w:rsidRPr="00657457">
        <w:t xml:space="preserve"> (km) for a single hop F2 mode”</w:t>
      </w:r>
      <w:r>
        <w:t>. This revision proposes a change to Recommendation ITU-R</w:t>
      </w:r>
      <w:r w:rsidRPr="00657457">
        <w:t xml:space="preserve"> P.1240-1</w:t>
      </w:r>
      <w:r>
        <w:t xml:space="preserve"> to make the formula for d</w:t>
      </w:r>
      <w:r w:rsidRPr="00EA799B">
        <w:rPr>
          <w:vertAlign w:val="subscript"/>
        </w:rPr>
        <w:t>max</w:t>
      </w:r>
      <w:r>
        <w:t xml:space="preserve"> consistent with all revisions of Recommendations ITU-R P.533.</w:t>
      </w:r>
    </w:p>
    <w:p w:rsidR="00DE2784" w:rsidRDefault="00DE2784" w:rsidP="00DC41FA">
      <w:pPr>
        <w:tabs>
          <w:tab w:val="right" w:pos="9639"/>
        </w:tabs>
        <w:spacing w:before="240"/>
      </w:pPr>
      <w:r>
        <w:rPr>
          <w:u w:val="single"/>
        </w:rPr>
        <w:t>Draft revision of Recommendation ITU-R P.832-3</w:t>
      </w:r>
      <w:r>
        <w:tab/>
        <w:t>Doc. 3/BL/3</w:t>
      </w:r>
    </w:p>
    <w:p w:rsidR="00DE2784" w:rsidRDefault="00DE2784" w:rsidP="00DC41FA">
      <w:pPr>
        <w:pStyle w:val="Rectitle"/>
        <w:rPr>
          <w:lang w:eastAsia="zh-CN"/>
        </w:rPr>
      </w:pPr>
      <w:r w:rsidRPr="00DE2784">
        <w:rPr>
          <w:lang w:eastAsia="zh-CN"/>
        </w:rPr>
        <w:t>World atlas of ground conductivities</w:t>
      </w:r>
    </w:p>
    <w:p w:rsidR="00DE2784" w:rsidRPr="006236CE" w:rsidRDefault="00DE2784" w:rsidP="00DC41FA">
      <w:pPr>
        <w:pStyle w:val="Normalaftertitle"/>
        <w:spacing w:before="360"/>
      </w:pPr>
      <w:r w:rsidRPr="006236CE">
        <w:t>The proposed modifications to Recommendation ITU-R P.832-3 are as follows:</w:t>
      </w:r>
    </w:p>
    <w:p w:rsidR="00DE2784" w:rsidRPr="00C46F5D" w:rsidRDefault="00DE2784" w:rsidP="001E2818">
      <w:pPr>
        <w:pStyle w:val="enumlev1"/>
      </w:pPr>
      <w:r w:rsidRPr="00C46F5D">
        <w:t>1)</w:t>
      </w:r>
      <w:r w:rsidRPr="00C46F5D">
        <w:tab/>
        <w:t>Insert the new map for Brazil (Federative Republic) given as Figure 1</w:t>
      </w:r>
      <w:r>
        <w:t>.</w:t>
      </w:r>
    </w:p>
    <w:p w:rsidR="00DE2784" w:rsidRDefault="00DE2784" w:rsidP="001E2818">
      <w:pPr>
        <w:pStyle w:val="enumlev1"/>
      </w:pPr>
      <w:r w:rsidRPr="00C46F5D">
        <w:t>2)</w:t>
      </w:r>
      <w:r w:rsidRPr="00C46F5D">
        <w:tab/>
        <w:t xml:space="preserve">Replace the </w:t>
      </w:r>
      <w:r>
        <w:t>two</w:t>
      </w:r>
      <w:r w:rsidRPr="00C46F5D">
        <w:t xml:space="preserve"> maps for parts of Germany (currently Figures 7 and 19 of Recommendation </w:t>
      </w:r>
      <w:r w:rsidR="00AA50BE">
        <w:t xml:space="preserve">ITU-R </w:t>
      </w:r>
      <w:r w:rsidRPr="00C46F5D">
        <w:t>P.832-3) with the new map given as Figure 2.</w:t>
      </w:r>
    </w:p>
    <w:p w:rsidR="00DE2784" w:rsidRPr="00C46F5D" w:rsidRDefault="00DE2784" w:rsidP="00DE2784">
      <w:pPr>
        <w:pStyle w:val="enumlev1"/>
      </w:pPr>
      <w:r>
        <w:t>3)</w:t>
      </w:r>
      <w:r>
        <w:tab/>
        <w:t>Renumber the remaining figures accordingly.</w:t>
      </w:r>
    </w:p>
    <w:p w:rsidR="00DE2784" w:rsidRPr="00DE2784" w:rsidRDefault="00DE2784" w:rsidP="00DE2784">
      <w:pPr>
        <w:tabs>
          <w:tab w:val="right" w:pos="9639"/>
        </w:tabs>
      </w:pPr>
    </w:p>
    <w:p w:rsidR="0003043E" w:rsidRDefault="0003043E" w:rsidP="0003043E">
      <w:pPr>
        <w:tabs>
          <w:tab w:val="right" w:pos="9639"/>
        </w:tabs>
        <w:rPr>
          <w:szCs w:val="24"/>
        </w:rPr>
      </w:pPr>
    </w:p>
    <w:p w:rsidR="003151D0" w:rsidRDefault="006236CE" w:rsidP="006236CE">
      <w:pPr>
        <w:jc w:val="center"/>
      </w:pPr>
      <w:r>
        <w:t>______________</w:t>
      </w:r>
      <w:bookmarkStart w:id="3" w:name="ddistribution"/>
      <w:bookmarkEnd w:id="3"/>
    </w:p>
    <w:sectPr w:rsidR="003151D0"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1D0" w:rsidRDefault="003151D0">
      <w:r>
        <w:separator/>
      </w:r>
    </w:p>
  </w:endnote>
  <w:endnote w:type="continuationSeparator" w:id="0">
    <w:p w:rsidR="003151D0" w:rsidRDefault="0031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E2784" w:rsidRDefault="00306483" w:rsidP="00DE2784">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1D0" w:rsidRDefault="003151D0">
      <w:r>
        <w:t>____________________</w:t>
      </w:r>
    </w:p>
  </w:footnote>
  <w:footnote w:type="continuationSeparator" w:id="0">
    <w:p w:rsidR="003151D0" w:rsidRDefault="00315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22" w:rsidRPr="00E51022" w:rsidRDefault="00E51022" w:rsidP="00E51022">
    <w:pPr>
      <w:pStyle w:val="Header"/>
      <w:jc w:val="center"/>
      <w:rPr>
        <w:rStyle w:val="PageNumber"/>
        <w:sz w:val="18"/>
        <w:szCs w:val="18"/>
      </w:rPr>
    </w:pPr>
    <w:r w:rsidRPr="00E51022">
      <w:rPr>
        <w:sz w:val="18"/>
        <w:szCs w:val="18"/>
      </w:rPr>
      <w:t xml:space="preserve">- </w:t>
    </w:r>
    <w:r w:rsidRPr="00E51022">
      <w:rPr>
        <w:rStyle w:val="PageNumber"/>
        <w:sz w:val="18"/>
        <w:szCs w:val="18"/>
      </w:rPr>
      <w:fldChar w:fldCharType="begin"/>
    </w:r>
    <w:r w:rsidRPr="00E51022">
      <w:rPr>
        <w:rStyle w:val="PageNumber"/>
        <w:sz w:val="18"/>
        <w:szCs w:val="18"/>
      </w:rPr>
      <w:instrText xml:space="preserve"> PAGE </w:instrText>
    </w:r>
    <w:r w:rsidRPr="00E51022">
      <w:rPr>
        <w:rStyle w:val="PageNumber"/>
        <w:sz w:val="18"/>
        <w:szCs w:val="18"/>
      </w:rPr>
      <w:fldChar w:fldCharType="separate"/>
    </w:r>
    <w:r w:rsidR="00357949">
      <w:rPr>
        <w:rStyle w:val="PageNumber"/>
        <w:noProof/>
        <w:sz w:val="18"/>
        <w:szCs w:val="18"/>
      </w:rPr>
      <w:t>2</w:t>
    </w:r>
    <w:r w:rsidRPr="00E51022">
      <w:rPr>
        <w:rStyle w:val="PageNumber"/>
        <w:sz w:val="18"/>
        <w:szCs w:val="18"/>
      </w:rPr>
      <w:fldChar w:fldCharType="end"/>
    </w:r>
    <w:r w:rsidRPr="00E51022">
      <w:rPr>
        <w:rStyle w:val="PageNumber"/>
        <w:sz w:val="18"/>
        <w:szCs w:val="18"/>
      </w:rPr>
      <w:t xml:space="preserve"> -</w:t>
    </w:r>
  </w:p>
  <w:p w:rsidR="00E915AF" w:rsidRPr="00E51022" w:rsidRDefault="00E915AF" w:rsidP="00E510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D0" w:rsidRPr="003151D0" w:rsidRDefault="003151D0" w:rsidP="003151D0">
    <w:pPr>
      <w:pStyle w:val="Header"/>
      <w:jc w:val="center"/>
      <w:rPr>
        <w:rStyle w:val="PageNumber"/>
        <w:sz w:val="18"/>
        <w:szCs w:val="18"/>
      </w:rPr>
    </w:pPr>
    <w:r w:rsidRPr="003151D0">
      <w:rPr>
        <w:sz w:val="18"/>
        <w:szCs w:val="18"/>
      </w:rPr>
      <w:t xml:space="preserve">- </w:t>
    </w:r>
    <w:r w:rsidRPr="003151D0">
      <w:rPr>
        <w:rStyle w:val="PageNumber"/>
        <w:sz w:val="18"/>
        <w:szCs w:val="18"/>
      </w:rPr>
      <w:fldChar w:fldCharType="begin"/>
    </w:r>
    <w:r w:rsidRPr="003151D0">
      <w:rPr>
        <w:rStyle w:val="PageNumber"/>
        <w:sz w:val="18"/>
        <w:szCs w:val="18"/>
      </w:rPr>
      <w:instrText xml:space="preserve"> PAGE </w:instrText>
    </w:r>
    <w:r w:rsidRPr="003151D0">
      <w:rPr>
        <w:rStyle w:val="PageNumber"/>
        <w:sz w:val="18"/>
        <w:szCs w:val="18"/>
      </w:rPr>
      <w:fldChar w:fldCharType="separate"/>
    </w:r>
    <w:r w:rsidR="00357949">
      <w:rPr>
        <w:rStyle w:val="PageNumber"/>
        <w:noProof/>
        <w:sz w:val="18"/>
        <w:szCs w:val="18"/>
      </w:rPr>
      <w:t>3</w:t>
    </w:r>
    <w:r w:rsidRPr="003151D0">
      <w:rPr>
        <w:rStyle w:val="PageNumber"/>
        <w:sz w:val="18"/>
        <w:szCs w:val="18"/>
      </w:rPr>
      <w:fldChar w:fldCharType="end"/>
    </w:r>
    <w:r w:rsidRPr="003151D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306483" w:rsidTr="009370C9">
      <w:tc>
        <w:tcPr>
          <w:tcW w:w="4889" w:type="dxa"/>
        </w:tcPr>
        <w:p w:rsidR="00306483" w:rsidRDefault="00306483" w:rsidP="00306483">
          <w:pPr>
            <w:pStyle w:val="Header"/>
            <w:tabs>
              <w:tab w:val="clear" w:pos="794"/>
              <w:tab w:val="clear" w:pos="4820"/>
            </w:tabs>
            <w:spacing w:before="120" w:line="360" w:lineRule="auto"/>
          </w:pPr>
          <w:r>
            <w:rPr>
              <w:b/>
              <w:bCs/>
              <w:noProof/>
              <w:lang w:eastAsia="zh-CN"/>
            </w:rPr>
            <w:drawing>
              <wp:inline distT="0" distB="0" distL="0" distR="0" wp14:anchorId="18E34DDB" wp14:editId="632E8D8B">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306483" w:rsidRDefault="00306483" w:rsidP="00306483">
          <w:pPr>
            <w:pStyle w:val="Header"/>
            <w:tabs>
              <w:tab w:val="clear" w:pos="794"/>
              <w:tab w:val="clear" w:pos="4820"/>
            </w:tabs>
            <w:spacing w:line="360" w:lineRule="auto"/>
            <w:jc w:val="right"/>
          </w:pPr>
          <w:r>
            <w:rPr>
              <w:noProof/>
              <w:lang w:eastAsia="zh-CN"/>
            </w:rPr>
            <w:drawing>
              <wp:inline distT="0" distB="0" distL="0" distR="0" wp14:anchorId="0BF8F62D" wp14:editId="6908C64E">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306483" w:rsidRPr="00BA072F" w:rsidRDefault="00306483" w:rsidP="003064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151D0"/>
    <w:rsid w:val="00006A31"/>
    <w:rsid w:val="00006C82"/>
    <w:rsid w:val="00010E30"/>
    <w:rsid w:val="00015C76"/>
    <w:rsid w:val="00020670"/>
    <w:rsid w:val="00026CF8"/>
    <w:rsid w:val="0003043E"/>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058"/>
    <w:rsid w:val="00100B72"/>
    <w:rsid w:val="00101F7D"/>
    <w:rsid w:val="00103C76"/>
    <w:rsid w:val="00104C35"/>
    <w:rsid w:val="00107814"/>
    <w:rsid w:val="0011265F"/>
    <w:rsid w:val="00117282"/>
    <w:rsid w:val="00117389"/>
    <w:rsid w:val="00121C2D"/>
    <w:rsid w:val="00134404"/>
    <w:rsid w:val="00144DFB"/>
    <w:rsid w:val="00150496"/>
    <w:rsid w:val="001743D1"/>
    <w:rsid w:val="00187CA3"/>
    <w:rsid w:val="00196710"/>
    <w:rsid w:val="00197324"/>
    <w:rsid w:val="001B351B"/>
    <w:rsid w:val="001B41D6"/>
    <w:rsid w:val="001C06DB"/>
    <w:rsid w:val="001C6971"/>
    <w:rsid w:val="001D2785"/>
    <w:rsid w:val="001D7070"/>
    <w:rsid w:val="001E2818"/>
    <w:rsid w:val="001F1B1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06483"/>
    <w:rsid w:val="00313604"/>
    <w:rsid w:val="003151D0"/>
    <w:rsid w:val="00316935"/>
    <w:rsid w:val="003266ED"/>
    <w:rsid w:val="003370B8"/>
    <w:rsid w:val="00345D38"/>
    <w:rsid w:val="00352097"/>
    <w:rsid w:val="00357949"/>
    <w:rsid w:val="003666FF"/>
    <w:rsid w:val="0037309C"/>
    <w:rsid w:val="00380A6E"/>
    <w:rsid w:val="003836D4"/>
    <w:rsid w:val="003A1F49"/>
    <w:rsid w:val="003A2946"/>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D70"/>
    <w:rsid w:val="00447ECB"/>
    <w:rsid w:val="00452B97"/>
    <w:rsid w:val="004623F7"/>
    <w:rsid w:val="00480F51"/>
    <w:rsid w:val="00481124"/>
    <w:rsid w:val="004815EB"/>
    <w:rsid w:val="0048426C"/>
    <w:rsid w:val="00487569"/>
    <w:rsid w:val="00496864"/>
    <w:rsid w:val="00496920"/>
    <w:rsid w:val="004A4496"/>
    <w:rsid w:val="004B11AB"/>
    <w:rsid w:val="004B7C9A"/>
    <w:rsid w:val="004C6779"/>
    <w:rsid w:val="004C6E10"/>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C1EFD"/>
    <w:rsid w:val="005D3669"/>
    <w:rsid w:val="005E5EB3"/>
    <w:rsid w:val="005F3CB6"/>
    <w:rsid w:val="005F657C"/>
    <w:rsid w:val="00602D53"/>
    <w:rsid w:val="006047E5"/>
    <w:rsid w:val="006154E2"/>
    <w:rsid w:val="006236CE"/>
    <w:rsid w:val="00635DDE"/>
    <w:rsid w:val="0064371D"/>
    <w:rsid w:val="00650B2A"/>
    <w:rsid w:val="00651777"/>
    <w:rsid w:val="006550F8"/>
    <w:rsid w:val="00656226"/>
    <w:rsid w:val="006829F3"/>
    <w:rsid w:val="006A518B"/>
    <w:rsid w:val="006B0590"/>
    <w:rsid w:val="006B49DA"/>
    <w:rsid w:val="006C53F8"/>
    <w:rsid w:val="006C7CDE"/>
    <w:rsid w:val="007234B1"/>
    <w:rsid w:val="00723D08"/>
    <w:rsid w:val="00725FDA"/>
    <w:rsid w:val="00727816"/>
    <w:rsid w:val="00730B9A"/>
    <w:rsid w:val="00750CFA"/>
    <w:rsid w:val="007553DA"/>
    <w:rsid w:val="00773138"/>
    <w:rsid w:val="00782354"/>
    <w:rsid w:val="007921A7"/>
    <w:rsid w:val="007B3DB1"/>
    <w:rsid w:val="007C4AB2"/>
    <w:rsid w:val="007D183E"/>
    <w:rsid w:val="007D43D0"/>
    <w:rsid w:val="007E1833"/>
    <w:rsid w:val="007E3F13"/>
    <w:rsid w:val="007F751A"/>
    <w:rsid w:val="00800012"/>
    <w:rsid w:val="0080261F"/>
    <w:rsid w:val="00806160"/>
    <w:rsid w:val="008103A6"/>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364FB"/>
    <w:rsid w:val="00A41F91"/>
    <w:rsid w:val="00A56187"/>
    <w:rsid w:val="00A63355"/>
    <w:rsid w:val="00A7596D"/>
    <w:rsid w:val="00A963DF"/>
    <w:rsid w:val="00AA50BE"/>
    <w:rsid w:val="00AC0C22"/>
    <w:rsid w:val="00AC3896"/>
    <w:rsid w:val="00AD1774"/>
    <w:rsid w:val="00AD2CF2"/>
    <w:rsid w:val="00AE2D88"/>
    <w:rsid w:val="00AE6F6F"/>
    <w:rsid w:val="00AE750E"/>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92C65"/>
    <w:rsid w:val="00CA3F44"/>
    <w:rsid w:val="00CA4E58"/>
    <w:rsid w:val="00CB3771"/>
    <w:rsid w:val="00CB44BF"/>
    <w:rsid w:val="00CB5153"/>
    <w:rsid w:val="00CD4E44"/>
    <w:rsid w:val="00CE076A"/>
    <w:rsid w:val="00CE463D"/>
    <w:rsid w:val="00D10BA0"/>
    <w:rsid w:val="00D21694"/>
    <w:rsid w:val="00D21AB1"/>
    <w:rsid w:val="00D24EB5"/>
    <w:rsid w:val="00D35AB9"/>
    <w:rsid w:val="00D41571"/>
    <w:rsid w:val="00D416A0"/>
    <w:rsid w:val="00D47672"/>
    <w:rsid w:val="00D5123C"/>
    <w:rsid w:val="00D55560"/>
    <w:rsid w:val="00D61C5A"/>
    <w:rsid w:val="00D6790C"/>
    <w:rsid w:val="00D73277"/>
    <w:rsid w:val="00D76586"/>
    <w:rsid w:val="00D82657"/>
    <w:rsid w:val="00D87E20"/>
    <w:rsid w:val="00D93C82"/>
    <w:rsid w:val="00DA4037"/>
    <w:rsid w:val="00DC2430"/>
    <w:rsid w:val="00DC41FA"/>
    <w:rsid w:val="00DE2784"/>
    <w:rsid w:val="00DE66A5"/>
    <w:rsid w:val="00DF170E"/>
    <w:rsid w:val="00DF2B50"/>
    <w:rsid w:val="00E04C86"/>
    <w:rsid w:val="00E17344"/>
    <w:rsid w:val="00E20F30"/>
    <w:rsid w:val="00E2189C"/>
    <w:rsid w:val="00E25BB1"/>
    <w:rsid w:val="00E27BBA"/>
    <w:rsid w:val="00E30E3F"/>
    <w:rsid w:val="00E35E8F"/>
    <w:rsid w:val="00E428AB"/>
    <w:rsid w:val="00E4316C"/>
    <w:rsid w:val="00E438E8"/>
    <w:rsid w:val="00E453A3"/>
    <w:rsid w:val="00E51022"/>
    <w:rsid w:val="00E520E2"/>
    <w:rsid w:val="00E530C4"/>
    <w:rsid w:val="00E55996"/>
    <w:rsid w:val="00E64254"/>
    <w:rsid w:val="00E67928"/>
    <w:rsid w:val="00E70FB5"/>
    <w:rsid w:val="00E85850"/>
    <w:rsid w:val="00E915AF"/>
    <w:rsid w:val="00E96415"/>
    <w:rsid w:val="00EA15B3"/>
    <w:rsid w:val="00EB2358"/>
    <w:rsid w:val="00EB3EB8"/>
    <w:rsid w:val="00EC02FE"/>
    <w:rsid w:val="00EC4A96"/>
    <w:rsid w:val="00F424BF"/>
    <w:rsid w:val="00F44FC3"/>
    <w:rsid w:val="00F46107"/>
    <w:rsid w:val="00F468C5"/>
    <w:rsid w:val="00F52F39"/>
    <w:rsid w:val="00F6184F"/>
    <w:rsid w:val="00F8310E"/>
    <w:rsid w:val="00F914DD"/>
    <w:rsid w:val="00FA2358"/>
    <w:rsid w:val="00FA6C76"/>
    <w:rsid w:val="00FB2592"/>
    <w:rsid w:val="00FB2810"/>
    <w:rsid w:val="00FB7A2C"/>
    <w:rsid w:val="00FC2947"/>
    <w:rsid w:val="00FE0818"/>
    <w:rsid w:val="00FE42FC"/>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F5FBB099-1824-44B5-B035-9880CE7B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151D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3151D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3151D0"/>
    <w:rPr>
      <w:rFonts w:ascii="Times New Roman" w:hAnsi="Times New Roman" w:cs="Times New Roman"/>
      <w:sz w:val="16"/>
      <w:lang w:val="en-GB" w:eastAsia="en-US"/>
    </w:rPr>
  </w:style>
  <w:style w:type="character" w:customStyle="1" w:styleId="RectitleChar">
    <w:name w:val="Rec_title Char"/>
    <w:basedOn w:val="DefaultParagraphFont"/>
    <w:link w:val="Rectitle"/>
    <w:rsid w:val="003151D0"/>
    <w:rPr>
      <w:b/>
      <w:sz w:val="28"/>
      <w:szCs w:val="22"/>
      <w:lang w:val="en-US" w:eastAsia="en-US"/>
    </w:rPr>
  </w:style>
  <w:style w:type="character" w:customStyle="1" w:styleId="TabletextChar">
    <w:name w:val="Table_text Char"/>
    <w:link w:val="Tabletext"/>
    <w:uiPriority w:val="99"/>
    <w:locked/>
    <w:rsid w:val="003151D0"/>
    <w:rPr>
      <w:szCs w:val="22"/>
      <w:lang w:val="en-US" w:eastAsia="en-US"/>
    </w:rPr>
  </w:style>
  <w:style w:type="character" w:customStyle="1" w:styleId="TableheadChar">
    <w:name w:val="Table_head Char"/>
    <w:basedOn w:val="DefaultParagraphFont"/>
    <w:link w:val="Tablehead"/>
    <w:uiPriority w:val="99"/>
    <w:locked/>
    <w:rsid w:val="003151D0"/>
    <w:rPr>
      <w:b/>
      <w:szCs w:val="22"/>
      <w:lang w:val="en-US" w:eastAsia="en-US"/>
    </w:rPr>
  </w:style>
  <w:style w:type="character" w:customStyle="1" w:styleId="AnnexNoTitleChar">
    <w:name w:val="Annex_NoTitle Char"/>
    <w:basedOn w:val="DefaultParagraphFont"/>
    <w:link w:val="AnnexNoTitle"/>
    <w:uiPriority w:val="99"/>
    <w:locked/>
    <w:rsid w:val="003151D0"/>
    <w:rPr>
      <w:b/>
      <w:sz w:val="24"/>
      <w:szCs w:val="22"/>
      <w:lang w:val="en-US" w:eastAsia="en-US"/>
    </w:rPr>
  </w:style>
  <w:style w:type="character" w:customStyle="1" w:styleId="HeaderChar">
    <w:name w:val="Header Char"/>
    <w:basedOn w:val="DefaultParagraphFont"/>
    <w:link w:val="Header"/>
    <w:rsid w:val="003151D0"/>
    <w:rPr>
      <w:sz w:val="24"/>
      <w:szCs w:val="22"/>
      <w:lang w:val="en-US" w:eastAsia="en-US"/>
    </w:rPr>
  </w:style>
  <w:style w:type="character" w:styleId="FollowedHyperlink">
    <w:name w:val="FollowedHyperlink"/>
    <w:basedOn w:val="DefaultParagraphFont"/>
    <w:rsid w:val="003151D0"/>
    <w:rPr>
      <w:color w:val="800080" w:themeColor="followedHyperlink"/>
      <w:u w:val="single"/>
    </w:rPr>
  </w:style>
  <w:style w:type="paragraph" w:customStyle="1" w:styleId="Summary">
    <w:name w:val="Summary"/>
    <w:basedOn w:val="Normal"/>
    <w:next w:val="Normal"/>
    <w:autoRedefine/>
    <w:rsid w:val="00A364FB"/>
    <w:pPr>
      <w:spacing w:before="120" w:after="480" w:line="240" w:lineRule="auto"/>
    </w:pPr>
    <w:rPr>
      <w:rFonts w:asciiTheme="minorHAnsi" w:hAnsiTheme="minorHAnsi" w:cstheme="minorHAnsi"/>
      <w:szCs w:val="24"/>
    </w:rPr>
  </w:style>
  <w:style w:type="character" w:customStyle="1" w:styleId="FooterChar">
    <w:name w:val="Footer Char"/>
    <w:basedOn w:val="DefaultParagraphFont"/>
    <w:link w:val="Footer"/>
    <w:uiPriority w:val="99"/>
    <w:rsid w:val="00AE750E"/>
    <w:rPr>
      <w:sz w:val="24"/>
      <w:szCs w:val="22"/>
      <w:lang w:val="en-US" w:eastAsia="en-US"/>
    </w:rPr>
  </w:style>
  <w:style w:type="table" w:styleId="TableGrid">
    <w:name w:val="Table Grid"/>
    <w:basedOn w:val="TableNormal"/>
    <w:rsid w:val="00DF1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6236C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P/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0C779-4B2C-4516-863C-961E74056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514</Words>
  <Characters>3353</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3860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18</cp:revision>
  <cp:lastPrinted>2015-05-12T15:21:00Z</cp:lastPrinted>
  <dcterms:created xsi:type="dcterms:W3CDTF">2015-05-12T14:48:00Z</dcterms:created>
  <dcterms:modified xsi:type="dcterms:W3CDTF">2015-05-21T11:47:00Z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