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266676" w:rsidP="006160CB">
            <w:pPr>
              <w:spacing w:before="0"/>
              <w:jc w:val="left"/>
              <w:rPr>
                <w:b/>
                <w:bCs/>
                <w:sz w:val="28"/>
                <w:szCs w:val="28"/>
                <w:lang w:val="fr-CH"/>
              </w:rPr>
            </w:pPr>
            <w:r w:rsidRPr="00773F7E">
              <w:rPr>
                <w:b/>
                <w:bCs/>
                <w:szCs w:val="24"/>
                <w:lang w:val="fr-CH"/>
              </w:rPr>
              <w:t>CA</w:t>
            </w:r>
            <w:r>
              <w:rPr>
                <w:b/>
                <w:bCs/>
                <w:szCs w:val="24"/>
                <w:lang w:val="fr-CH"/>
              </w:rPr>
              <w:t>CE</w:t>
            </w:r>
            <w:r w:rsidRPr="00773F7E">
              <w:rPr>
                <w:b/>
                <w:bCs/>
                <w:szCs w:val="24"/>
                <w:lang w:val="fr-CH"/>
              </w:rPr>
              <w:t>/</w:t>
            </w:r>
            <w:r>
              <w:rPr>
                <w:b/>
                <w:bCs/>
                <w:szCs w:val="24"/>
                <w:lang w:val="fr-CH"/>
              </w:rPr>
              <w:t>710</w:t>
            </w:r>
          </w:p>
        </w:tc>
        <w:tc>
          <w:tcPr>
            <w:tcW w:w="2835" w:type="dxa"/>
            <w:shd w:val="clear" w:color="auto" w:fill="auto"/>
          </w:tcPr>
          <w:p w:rsidR="00E53DCE" w:rsidRPr="00773F7E" w:rsidRDefault="00266676" w:rsidP="006160CB">
            <w:pPr>
              <w:spacing w:before="0"/>
              <w:jc w:val="right"/>
              <w:rPr>
                <w:sz w:val="28"/>
                <w:szCs w:val="28"/>
                <w:lang w:val="en-GB"/>
              </w:rPr>
            </w:pPr>
            <w:r>
              <w:rPr>
                <w:szCs w:val="24"/>
                <w:lang w:val="fr-CH"/>
              </w:rPr>
              <w:t>Le 30</w:t>
            </w:r>
            <w:r w:rsidRPr="00926198">
              <w:rPr>
                <w:szCs w:val="24"/>
                <w:lang w:val="fr-CH"/>
              </w:rPr>
              <w:t xml:space="preserve"> janvier 2015</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635E3A" w:rsidTr="006160CB">
        <w:tc>
          <w:tcPr>
            <w:tcW w:w="9889" w:type="dxa"/>
            <w:gridSpan w:val="3"/>
            <w:shd w:val="clear" w:color="auto" w:fill="auto"/>
          </w:tcPr>
          <w:p w:rsidR="00E53DCE" w:rsidRPr="002569F7" w:rsidRDefault="00266676" w:rsidP="006160CB">
            <w:pPr>
              <w:spacing w:before="0"/>
              <w:jc w:val="left"/>
              <w:rPr>
                <w:b/>
                <w:bCs/>
                <w:szCs w:val="24"/>
                <w:lang w:val="fr-CH"/>
              </w:rPr>
            </w:pPr>
            <w:r w:rsidRPr="000D290C">
              <w:rPr>
                <w:b/>
                <w:lang w:val="fr-CH"/>
              </w:rPr>
              <w:t>Aux Administrations des Etats Membres de l</w:t>
            </w:r>
            <w:r>
              <w:rPr>
                <w:b/>
                <w:lang w:val="fr-CH"/>
              </w:rPr>
              <w:t>'</w:t>
            </w:r>
            <w:r w:rsidRPr="000D290C">
              <w:rPr>
                <w:b/>
                <w:lang w:val="fr-CH"/>
              </w:rPr>
              <w:t xml:space="preserve">UIT, aux Membres du </w:t>
            </w:r>
            <w:r>
              <w:rPr>
                <w:b/>
                <w:lang w:val="fr-CH"/>
              </w:rPr>
              <w:t>Secteur des radiocommunications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Pr="000D290C">
              <w:rPr>
                <w:b/>
                <w:bCs/>
                <w:lang w:val="fr-CH"/>
              </w:rPr>
              <w:t>UIT</w:t>
            </w:r>
            <w:r w:rsidRPr="000D290C">
              <w:rPr>
                <w:b/>
                <w:bCs/>
                <w:lang w:val="fr-CH"/>
              </w:rPr>
              <w:noBreakHyphen/>
              <w:t>R</w:t>
            </w:r>
            <w:r w:rsidRPr="000D290C">
              <w:rPr>
                <w:b/>
                <w:lang w:val="fr-CH"/>
              </w:rPr>
              <w:t xml:space="preserve"> participant aux tra</w:t>
            </w:r>
            <w:r>
              <w:rPr>
                <w:b/>
                <w:lang w:val="fr-CH"/>
              </w:rPr>
              <w:t>vaux</w:t>
            </w:r>
            <w:r>
              <w:rPr>
                <w:b/>
                <w:lang w:val="fr-CH"/>
              </w:rPr>
              <w:br/>
              <w:t>de la Commission d'études 5</w:t>
            </w:r>
            <w:r w:rsidRPr="000D290C">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635E3A"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635E3A" w:rsidTr="006160CB">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266676" w:rsidRDefault="00266676" w:rsidP="00266676">
            <w:pPr>
              <w:tabs>
                <w:tab w:val="clear" w:pos="1588"/>
                <w:tab w:val="left" w:pos="1560"/>
              </w:tabs>
              <w:spacing w:before="0"/>
              <w:jc w:val="left"/>
              <w:rPr>
                <w:b/>
                <w:bCs/>
                <w:szCs w:val="24"/>
                <w:lang w:val="fr-CH"/>
              </w:rPr>
            </w:pPr>
            <w:r w:rsidRPr="004A0B55">
              <w:rPr>
                <w:b/>
                <w:bCs/>
                <w:szCs w:val="24"/>
                <w:lang w:val="fr-CH"/>
              </w:rPr>
              <w:t xml:space="preserve">Commission d'études </w:t>
            </w:r>
            <w:r>
              <w:rPr>
                <w:b/>
                <w:bCs/>
                <w:szCs w:val="24"/>
                <w:lang w:val="fr-CH"/>
              </w:rPr>
              <w:t>5</w:t>
            </w:r>
            <w:r w:rsidRPr="004A0B55">
              <w:rPr>
                <w:b/>
                <w:bCs/>
                <w:szCs w:val="24"/>
                <w:lang w:val="fr-CH"/>
              </w:rPr>
              <w:t xml:space="preserve"> des radiocommunications (</w:t>
            </w:r>
            <w:r>
              <w:rPr>
                <w:b/>
                <w:bCs/>
                <w:lang w:val="fr-CH"/>
              </w:rPr>
              <w:t>Services de terre</w:t>
            </w:r>
            <w:r w:rsidRPr="004A0B55">
              <w:rPr>
                <w:b/>
                <w:bCs/>
                <w:szCs w:val="24"/>
                <w:lang w:val="fr-CH"/>
              </w:rPr>
              <w:t>)</w:t>
            </w:r>
          </w:p>
          <w:p w:rsidR="00E53DCE" w:rsidRPr="00266676" w:rsidRDefault="00266676" w:rsidP="004F1846">
            <w:pPr>
              <w:tabs>
                <w:tab w:val="clear" w:pos="1588"/>
                <w:tab w:val="left" w:pos="1560"/>
              </w:tabs>
              <w:spacing w:before="120"/>
              <w:jc w:val="left"/>
              <w:rPr>
                <w:b/>
                <w:bCs/>
                <w:szCs w:val="24"/>
                <w:lang w:val="fr-CH"/>
              </w:rPr>
            </w:pPr>
            <w:r w:rsidRPr="004A0B55">
              <w:rPr>
                <w:b/>
                <w:bCs/>
                <w:szCs w:val="24"/>
                <w:lang w:val="fr-CH"/>
              </w:rPr>
              <w:t>–</w:t>
            </w:r>
            <w:r w:rsidRPr="004A0B55">
              <w:rPr>
                <w:b/>
                <w:bCs/>
                <w:szCs w:val="24"/>
                <w:lang w:val="fr-CH"/>
              </w:rPr>
              <w:tab/>
              <w:t>Proposition d'a</w:t>
            </w:r>
            <w:r>
              <w:rPr>
                <w:b/>
                <w:bCs/>
                <w:szCs w:val="24"/>
                <w:lang w:val="fr-CH"/>
              </w:rPr>
              <w:t>pprobation de trois</w:t>
            </w:r>
            <w:r w:rsidRPr="004A0B55">
              <w:rPr>
                <w:b/>
                <w:bCs/>
                <w:szCs w:val="24"/>
                <w:lang w:val="fr-CH"/>
              </w:rPr>
              <w:t xml:space="preserve"> projets</w:t>
            </w:r>
            <w:r>
              <w:rPr>
                <w:b/>
                <w:bCs/>
                <w:szCs w:val="24"/>
                <w:lang w:val="fr-CH"/>
              </w:rPr>
              <w:t xml:space="preserve"> de </w:t>
            </w:r>
            <w:r w:rsidRPr="004A0B55">
              <w:rPr>
                <w:b/>
                <w:bCs/>
                <w:szCs w:val="24"/>
                <w:lang w:val="fr-CH"/>
              </w:rPr>
              <w:t xml:space="preserve">Recommandation </w:t>
            </w:r>
            <w:r>
              <w:rPr>
                <w:b/>
                <w:bCs/>
                <w:szCs w:val="24"/>
                <w:lang w:val="fr-CH"/>
              </w:rPr>
              <w:br/>
            </w:r>
            <w:r>
              <w:rPr>
                <w:b/>
                <w:bCs/>
                <w:szCs w:val="24"/>
                <w:lang w:val="fr-CH"/>
              </w:rPr>
              <w:tab/>
            </w:r>
            <w:r w:rsidRPr="004A0B55">
              <w:rPr>
                <w:b/>
                <w:bCs/>
                <w:szCs w:val="24"/>
                <w:lang w:val="fr-CH"/>
              </w:rPr>
              <w:t>UIT-R révisée</w:t>
            </w:r>
          </w:p>
        </w:tc>
      </w:tr>
      <w:tr w:rsidR="00E53DCE" w:rsidRPr="00635E3A" w:rsidTr="006160CB">
        <w:tc>
          <w:tcPr>
            <w:tcW w:w="1526" w:type="dxa"/>
            <w:shd w:val="clear" w:color="auto" w:fill="auto"/>
          </w:tcPr>
          <w:p w:rsidR="00E53DCE" w:rsidRPr="00266676"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266676" w:rsidRDefault="00E53DCE" w:rsidP="006160CB">
            <w:pPr>
              <w:tabs>
                <w:tab w:val="clear" w:pos="1588"/>
                <w:tab w:val="left" w:pos="1560"/>
              </w:tabs>
              <w:spacing w:before="0"/>
              <w:rPr>
                <w:b/>
                <w:bCs/>
                <w:szCs w:val="24"/>
                <w:lang w:val="fr-CH"/>
              </w:rPr>
            </w:pPr>
          </w:p>
        </w:tc>
      </w:tr>
      <w:tr w:rsidR="00E53DCE" w:rsidRPr="00635E3A" w:rsidTr="006160CB">
        <w:tc>
          <w:tcPr>
            <w:tcW w:w="1526" w:type="dxa"/>
            <w:shd w:val="clear" w:color="auto" w:fill="auto"/>
          </w:tcPr>
          <w:p w:rsidR="00E53DCE" w:rsidRPr="00266676"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266676" w:rsidRDefault="00E53DCE" w:rsidP="006160CB">
            <w:pPr>
              <w:tabs>
                <w:tab w:val="clear" w:pos="1588"/>
                <w:tab w:val="left" w:pos="1560"/>
              </w:tabs>
              <w:spacing w:before="0"/>
              <w:rPr>
                <w:b/>
                <w:bCs/>
                <w:szCs w:val="24"/>
                <w:lang w:val="fr-CH"/>
              </w:rPr>
            </w:pPr>
          </w:p>
        </w:tc>
      </w:tr>
      <w:tr w:rsidR="00E53DCE" w:rsidRPr="00635E3A" w:rsidTr="006160CB">
        <w:tc>
          <w:tcPr>
            <w:tcW w:w="9889" w:type="dxa"/>
            <w:gridSpan w:val="3"/>
            <w:shd w:val="clear" w:color="auto" w:fill="auto"/>
          </w:tcPr>
          <w:p w:rsidR="00E53DCE" w:rsidRPr="00266676" w:rsidRDefault="00E53DCE" w:rsidP="00E53DCE">
            <w:pPr>
              <w:tabs>
                <w:tab w:val="clear" w:pos="1588"/>
                <w:tab w:val="left" w:pos="1560"/>
              </w:tabs>
              <w:spacing w:before="0"/>
              <w:jc w:val="left"/>
              <w:rPr>
                <w:szCs w:val="24"/>
                <w:lang w:val="fr-CH"/>
              </w:rPr>
            </w:pPr>
          </w:p>
        </w:tc>
      </w:tr>
      <w:tr w:rsidR="00E53DCE" w:rsidRPr="00635E3A" w:rsidTr="006160CB">
        <w:tc>
          <w:tcPr>
            <w:tcW w:w="9889" w:type="dxa"/>
            <w:gridSpan w:val="3"/>
            <w:shd w:val="clear" w:color="auto" w:fill="auto"/>
          </w:tcPr>
          <w:p w:rsidR="00E53DCE" w:rsidRPr="00266676" w:rsidRDefault="00E53DCE" w:rsidP="006160CB">
            <w:pPr>
              <w:spacing w:before="0"/>
              <w:jc w:val="left"/>
              <w:rPr>
                <w:b/>
                <w:bCs/>
                <w:szCs w:val="24"/>
                <w:lang w:val="fr-CH"/>
              </w:rPr>
            </w:pPr>
          </w:p>
        </w:tc>
      </w:tr>
    </w:tbl>
    <w:p w:rsidR="00E53DCE" w:rsidRPr="00266676" w:rsidRDefault="00E53DCE" w:rsidP="00E53DCE">
      <w:pPr>
        <w:rPr>
          <w:szCs w:val="24"/>
          <w:lang w:val="fr-CH"/>
        </w:rPr>
      </w:pPr>
    </w:p>
    <w:p w:rsidR="00266676" w:rsidRPr="009132C0" w:rsidRDefault="00266676" w:rsidP="00266676">
      <w:pPr>
        <w:tabs>
          <w:tab w:val="clear" w:pos="1191"/>
          <w:tab w:val="left" w:pos="1418"/>
        </w:tabs>
        <w:rPr>
          <w:lang w:val="fr-CH"/>
        </w:rPr>
      </w:pPr>
      <w:r w:rsidRPr="009132C0">
        <w:rPr>
          <w:lang w:val="fr-CH"/>
        </w:rPr>
        <w:t xml:space="preserve">A sa réunion tenue du </w:t>
      </w:r>
      <w:r>
        <w:rPr>
          <w:lang w:val="fr-CH"/>
        </w:rPr>
        <w:t>10 au 11 novembre 2014</w:t>
      </w:r>
      <w:r w:rsidRPr="009132C0">
        <w:rPr>
          <w:lang w:val="fr-CH"/>
        </w:rPr>
        <w:t xml:space="preserve">, la Commission d'études </w:t>
      </w:r>
      <w:r>
        <w:rPr>
          <w:lang w:val="fr-CH"/>
        </w:rPr>
        <w:t>5</w:t>
      </w:r>
      <w:r w:rsidRPr="009132C0">
        <w:rPr>
          <w:lang w:val="fr-CH"/>
        </w:rPr>
        <w:t xml:space="preserve"> des radiocommunications a décidé de demander l'adoption </w:t>
      </w:r>
      <w:r>
        <w:rPr>
          <w:lang w:val="fr-CH"/>
        </w:rPr>
        <w:t xml:space="preserve">par correspondance </w:t>
      </w:r>
      <w:r w:rsidRPr="009132C0">
        <w:rPr>
          <w:lang w:val="fr-CH"/>
        </w:rPr>
        <w:t xml:space="preserve">de </w:t>
      </w:r>
      <w:r>
        <w:rPr>
          <w:lang w:val="fr-CH"/>
        </w:rPr>
        <w:t>trois</w:t>
      </w:r>
      <w:r w:rsidRPr="009132C0">
        <w:rPr>
          <w:lang w:val="fr-CH"/>
        </w:rPr>
        <w:t xml:space="preserve"> projets de Recommandation</w:t>
      </w:r>
      <w:r>
        <w:rPr>
          <w:lang w:val="fr-CH"/>
        </w:rPr>
        <w:t xml:space="preserve"> UIT-R</w:t>
      </w:r>
      <w:r w:rsidRPr="009132C0">
        <w:rPr>
          <w:lang w:val="fr-CH"/>
        </w:rPr>
        <w:t xml:space="preserve"> révisée, conformément au § 10.2.3 de la Résolution UIT-R 1-6. </w:t>
      </w:r>
    </w:p>
    <w:p w:rsidR="00266676" w:rsidRPr="009132C0" w:rsidRDefault="00266676" w:rsidP="00266676">
      <w:pPr>
        <w:rPr>
          <w:lang w:val="fr-CH"/>
        </w:rPr>
      </w:pPr>
      <w:r w:rsidRPr="009132C0">
        <w:rPr>
          <w:lang w:val="fr-CH"/>
        </w:rPr>
        <w:t>Comme indiqué d</w:t>
      </w:r>
      <w:r>
        <w:rPr>
          <w:lang w:val="fr-CH"/>
        </w:rPr>
        <w:t>a</w:t>
      </w:r>
      <w:r w:rsidRPr="009132C0">
        <w:rPr>
          <w:lang w:val="fr-CH"/>
        </w:rPr>
        <w:t>ns la Ci</w:t>
      </w:r>
      <w:r>
        <w:rPr>
          <w:lang w:val="fr-CH"/>
        </w:rPr>
        <w:t>rculaire administrative CACE/698</w:t>
      </w:r>
      <w:r w:rsidRPr="009132C0">
        <w:rPr>
          <w:lang w:val="fr-CH"/>
        </w:rPr>
        <w:t xml:space="preserve"> en date du </w:t>
      </w:r>
      <w:r>
        <w:rPr>
          <w:lang w:val="fr-CH"/>
        </w:rPr>
        <w:t>24 novembre 2014</w:t>
      </w:r>
      <w:r w:rsidRPr="009132C0">
        <w:rPr>
          <w:lang w:val="fr-CH"/>
        </w:rPr>
        <w:t xml:space="preserve">, </w:t>
      </w:r>
      <w:r w:rsidR="007842C2">
        <w:rPr>
          <w:lang w:val="fr-CH"/>
        </w:rPr>
        <w:br/>
      </w:r>
      <w:r w:rsidRPr="009132C0">
        <w:rPr>
          <w:lang w:val="fr-CH"/>
        </w:rPr>
        <w:t>la période de consultation pour l'</w:t>
      </w:r>
      <w:r>
        <w:rPr>
          <w:lang w:val="fr-CH"/>
        </w:rPr>
        <w:t xml:space="preserve">adoption </w:t>
      </w:r>
      <w:r w:rsidRPr="009132C0">
        <w:rPr>
          <w:lang w:val="fr-CH"/>
        </w:rPr>
        <w:t>des Recommandation</w:t>
      </w:r>
      <w:r>
        <w:rPr>
          <w:lang w:val="fr-CH"/>
        </w:rPr>
        <w:t>s</w:t>
      </w:r>
      <w:r w:rsidRPr="009132C0">
        <w:rPr>
          <w:lang w:val="fr-CH"/>
        </w:rPr>
        <w:t xml:space="preserve"> a pris fin le </w:t>
      </w:r>
      <w:r>
        <w:rPr>
          <w:lang w:val="fr-CH"/>
        </w:rPr>
        <w:t>24 janvier 2015</w:t>
      </w:r>
      <w:r w:rsidRPr="009132C0">
        <w:rPr>
          <w:lang w:val="fr-CH"/>
        </w:rPr>
        <w:t>.</w:t>
      </w:r>
    </w:p>
    <w:p w:rsidR="00266676" w:rsidRPr="009132C0" w:rsidRDefault="00266676" w:rsidP="00266676">
      <w:pPr>
        <w:rPr>
          <w:lang w:val="fr-CH"/>
        </w:rPr>
      </w:pPr>
      <w:r>
        <w:rPr>
          <w:lang w:val="fr-CH"/>
        </w:rPr>
        <w:t>Les Recommandation</w:t>
      </w:r>
      <w:r w:rsidRPr="009132C0">
        <w:rPr>
          <w:lang w:val="fr-CH"/>
        </w:rPr>
        <w:t>s ont maintenant été adoptées</w:t>
      </w:r>
      <w:r>
        <w:rPr>
          <w:lang w:val="fr-CH"/>
        </w:rPr>
        <w:t xml:space="preserve"> par la Commission d'études 5</w:t>
      </w:r>
      <w:r w:rsidRPr="009132C0">
        <w:rPr>
          <w:lang w:val="fr-CH"/>
        </w:rPr>
        <w:t xml:space="preserve"> et la procédure d'approbation prévue au § 10.4 de la Résolution UIT-R 1-6 sera appliquée. </w:t>
      </w:r>
      <w:r>
        <w:rPr>
          <w:lang w:val="fr-CH"/>
        </w:rPr>
        <w:t>L</w:t>
      </w:r>
      <w:r w:rsidRPr="00A12B99">
        <w:rPr>
          <w:lang w:val="fr-CH"/>
        </w:rPr>
        <w:t>es  titres</w:t>
      </w:r>
      <w:r>
        <w:rPr>
          <w:lang w:val="fr-CH"/>
        </w:rPr>
        <w:t xml:space="preserve"> et résumés </w:t>
      </w:r>
      <w:r w:rsidRPr="00A12B99">
        <w:rPr>
          <w:lang w:val="fr-CH"/>
        </w:rPr>
        <w:t xml:space="preserve">des projets de Recommandation </w:t>
      </w:r>
      <w:r>
        <w:rPr>
          <w:lang w:val="fr-CH"/>
        </w:rPr>
        <w:t>sont donnés dans l'Annexe</w:t>
      </w:r>
      <w:r w:rsidRPr="00A12B99">
        <w:rPr>
          <w:lang w:val="fr-CH"/>
        </w:rPr>
        <w:t xml:space="preserve">. </w:t>
      </w:r>
    </w:p>
    <w:p w:rsidR="00266676" w:rsidRPr="009132C0" w:rsidRDefault="00266676" w:rsidP="00266676">
      <w:pPr>
        <w:rPr>
          <w:lang w:val="fr-CH"/>
        </w:rPr>
      </w:pPr>
      <w:r w:rsidRPr="009132C0">
        <w:rPr>
          <w:lang w:val="fr-CH"/>
        </w:rPr>
        <w:t>Compte tenu des dispositions du § 10.4 de la Résolution UIT-R 1-6, les Etats Membres sont priés de faire savoir au Secrétariat (</w:t>
      </w:r>
      <w:hyperlink r:id="rId8" w:history="1">
        <w:r w:rsidRPr="009132C0">
          <w:rPr>
            <w:rStyle w:val="Hyperlink"/>
            <w:lang w:val="fr-CH"/>
          </w:rPr>
          <w:t>brsgd@itu.int</w:t>
        </w:r>
      </w:hyperlink>
      <w:r w:rsidRPr="009132C0">
        <w:rPr>
          <w:lang w:val="fr-CH"/>
        </w:rPr>
        <w:t xml:space="preserve">), au plus tard le </w:t>
      </w:r>
      <w:r>
        <w:rPr>
          <w:u w:val="single"/>
          <w:lang w:val="fr-CH"/>
        </w:rPr>
        <w:t>30 mars 2015</w:t>
      </w:r>
      <w:r w:rsidRPr="009132C0">
        <w:rPr>
          <w:lang w:val="fr-CH"/>
        </w:rPr>
        <w:t>, s'ils acceptent ou non les propositions ci-dessus.</w:t>
      </w:r>
    </w:p>
    <w:p w:rsidR="00266676" w:rsidRPr="009132C0" w:rsidRDefault="00266676" w:rsidP="00266676">
      <w:pPr>
        <w:rPr>
          <w:lang w:val="fr-CH"/>
        </w:rPr>
      </w:pPr>
      <w:r w:rsidRPr="009132C0">
        <w:rPr>
          <w:lang w:val="fr-CH"/>
        </w:rPr>
        <w:t>Un Etat Membre qui soulève une objection au sujet de l'approbation d'un projet de Recommandation est prié d'informer le Directeur et le Président de la Commission d'études des raisons de cette objection.</w:t>
      </w:r>
    </w:p>
    <w:p w:rsidR="00266676" w:rsidRPr="009132C0" w:rsidRDefault="00266676" w:rsidP="00266676">
      <w:pPr>
        <w:rPr>
          <w:lang w:val="fr-CH"/>
        </w:rPr>
      </w:pPr>
      <w:r w:rsidRPr="009132C0">
        <w:rPr>
          <w:lang w:val="fr-CH"/>
        </w:rPr>
        <w:t xml:space="preserve">Après la date limite mentionnée ci-dessus, les résultats de la présente consultation seront communiqués dans une circulaire administrative et </w:t>
      </w:r>
      <w:r>
        <w:rPr>
          <w:lang w:val="fr-CH"/>
        </w:rPr>
        <w:t>les Recommandation</w:t>
      </w:r>
      <w:r w:rsidRPr="009132C0">
        <w:rPr>
          <w:lang w:val="fr-CH"/>
        </w:rPr>
        <w:t>s approuvée</w:t>
      </w:r>
      <w:r>
        <w:rPr>
          <w:lang w:val="fr-CH"/>
        </w:rPr>
        <w:t>s seront publiée</w:t>
      </w:r>
      <w:r w:rsidRPr="009132C0">
        <w:rPr>
          <w:lang w:val="fr-CH"/>
        </w:rPr>
        <w:t xml:space="preserve">s dans les meilleurs délais (voir: </w:t>
      </w:r>
      <w:hyperlink r:id="rId9" w:history="1">
        <w:r w:rsidRPr="009132C0">
          <w:rPr>
            <w:rStyle w:val="Hyperlink"/>
            <w:lang w:val="fr-CH"/>
          </w:rPr>
          <w:t>http://www.itu.int/pub/R-REC</w:t>
        </w:r>
      </w:hyperlink>
      <w:r w:rsidRPr="009132C0">
        <w:rPr>
          <w:u w:val="single"/>
          <w:lang w:val="fr-CH"/>
        </w:rPr>
        <w:t>)</w:t>
      </w:r>
      <w:r w:rsidRPr="009132C0">
        <w:rPr>
          <w:lang w:val="fr-CH"/>
        </w:rPr>
        <w:t>.</w:t>
      </w:r>
    </w:p>
    <w:p w:rsidR="00266676" w:rsidRDefault="00266676" w:rsidP="00266676">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4F1846" w:rsidRDefault="00266676" w:rsidP="004F1846">
      <w:pPr>
        <w:keepNext/>
        <w:keepLines/>
        <w:rPr>
          <w:lang w:val="fr-CH"/>
        </w:rPr>
      </w:pPr>
      <w:r w:rsidRPr="009132C0">
        <w:rPr>
          <w:lang w:val="fr-CH"/>
        </w:rPr>
        <w:lastRenderedPageBreak/>
        <w:t xml:space="preserve">Toute organisation membre de l'UIT ayant connaissance d'un brevet détenu en son sein ou par d'autres organismes, et susceptible de se rapporter complètement ou en partie à des éléments </w:t>
      </w:r>
      <w:r w:rsidR="007842C2">
        <w:rPr>
          <w:lang w:val="fr-CH"/>
        </w:rPr>
        <w:br/>
      </w:r>
      <w:r>
        <w:rPr>
          <w:lang w:val="fr-CH"/>
        </w:rPr>
        <w:t>(</w:t>
      </w:r>
      <w:r w:rsidRPr="009132C0">
        <w:rPr>
          <w:lang w:val="fr-CH"/>
        </w:rPr>
        <w:t>d'un ou</w:t>
      </w:r>
      <w:r>
        <w:rPr>
          <w:lang w:val="fr-CH"/>
        </w:rPr>
        <w:t>)</w:t>
      </w:r>
      <w:r w:rsidRPr="009132C0">
        <w:rPr>
          <w:lang w:val="fr-CH"/>
        </w:rPr>
        <w:t xml:space="preserve"> des projets de Recommandation mentionnés dans la présente lettre, est priée de transmettre lesdites informations au Secrétariat dans les meilleurs délais. La politique commune en matière de brevets de l'UIT-T/UIT-R/ISO/CEI est disponible à l'adresse:</w:t>
      </w:r>
      <w:r w:rsidR="004F1846">
        <w:rPr>
          <w:lang w:val="fr-CH"/>
        </w:rPr>
        <w:t xml:space="preserve"> </w:t>
      </w:r>
    </w:p>
    <w:p w:rsidR="00266676" w:rsidRPr="009132C0" w:rsidRDefault="00635E3A" w:rsidP="004F1846">
      <w:pPr>
        <w:keepNext/>
        <w:keepLines/>
        <w:spacing w:before="0"/>
        <w:rPr>
          <w:lang w:val="fr-CH"/>
        </w:rPr>
      </w:pPr>
      <w:hyperlink r:id="rId10" w:history="1">
        <w:r w:rsidR="00266676" w:rsidRPr="0049662D">
          <w:rPr>
            <w:rStyle w:val="Hyperlink"/>
            <w:szCs w:val="24"/>
            <w:lang w:val="fr-CH"/>
          </w:rPr>
          <w:t>http://www.itu.int/en/ITU-T/ipr/Pages/policy.aspx</w:t>
        </w:r>
      </w:hyperlink>
      <w:r w:rsidR="00266676" w:rsidRPr="009132C0">
        <w:rPr>
          <w:lang w:val="fr-CH"/>
        </w:rPr>
        <w:t>.</w:t>
      </w:r>
    </w:p>
    <w:p w:rsidR="00266676" w:rsidRDefault="00266676" w:rsidP="00266676">
      <w:pPr>
        <w:spacing w:before="1418" w:line="240" w:lineRule="auto"/>
        <w:jc w:val="left"/>
        <w:rPr>
          <w:szCs w:val="24"/>
          <w:lang w:val="fr-FR"/>
        </w:rPr>
      </w:pPr>
      <w:r w:rsidRPr="00773F7E">
        <w:rPr>
          <w:szCs w:val="24"/>
          <w:lang w:val="fr-FR"/>
        </w:rPr>
        <w:t>François Rancy</w:t>
      </w:r>
      <w:r w:rsidRPr="00773F7E">
        <w:rPr>
          <w:szCs w:val="24"/>
          <w:lang w:val="fr-FR"/>
        </w:rPr>
        <w:br/>
        <w:t xml:space="preserve">Directeur </w:t>
      </w:r>
    </w:p>
    <w:p w:rsidR="00266676" w:rsidRPr="00CC2DCD" w:rsidRDefault="00266676" w:rsidP="00266676">
      <w:pPr>
        <w:rPr>
          <w:lang w:val="fr-CH"/>
        </w:rPr>
      </w:pPr>
    </w:p>
    <w:p w:rsidR="00266676" w:rsidRPr="00CC2DCD" w:rsidRDefault="00266676" w:rsidP="00266676">
      <w:pPr>
        <w:rPr>
          <w:lang w:val="fr-CH"/>
        </w:rPr>
      </w:pPr>
    </w:p>
    <w:p w:rsidR="00266676" w:rsidRDefault="00266676" w:rsidP="00E70034">
      <w:pPr>
        <w:tabs>
          <w:tab w:val="clear" w:pos="1191"/>
          <w:tab w:val="clear" w:pos="1588"/>
          <w:tab w:val="clear" w:pos="1985"/>
          <w:tab w:val="left" w:pos="1276"/>
          <w:tab w:val="left" w:pos="1701"/>
        </w:tabs>
        <w:rPr>
          <w:lang w:val="fr-CH"/>
        </w:rPr>
      </w:pPr>
      <w:r>
        <w:rPr>
          <w:b/>
          <w:bCs/>
          <w:lang w:val="fr-CH"/>
        </w:rPr>
        <w:t>Annexe</w:t>
      </w:r>
      <w:r>
        <w:rPr>
          <w:lang w:val="fr-CH"/>
        </w:rPr>
        <w:t>:</w:t>
      </w:r>
      <w:r>
        <w:rPr>
          <w:lang w:val="fr-CH"/>
        </w:rPr>
        <w:tab/>
      </w:r>
      <w:r w:rsidR="00E70034" w:rsidRPr="00E70034">
        <w:rPr>
          <w:lang w:val="fr-CH"/>
        </w:rPr>
        <w:t>-</w:t>
      </w:r>
      <w:r>
        <w:rPr>
          <w:lang w:val="fr-CH"/>
        </w:rPr>
        <w:tab/>
        <w:t>Titres et résumés des projets de Recommandation</w:t>
      </w:r>
    </w:p>
    <w:p w:rsidR="00266676" w:rsidRDefault="00266676" w:rsidP="00266676">
      <w:pPr>
        <w:tabs>
          <w:tab w:val="clear" w:pos="1985"/>
          <w:tab w:val="left" w:pos="1701"/>
        </w:tabs>
        <w:rPr>
          <w:lang w:val="fr-CH"/>
        </w:rPr>
      </w:pPr>
      <w:r>
        <w:rPr>
          <w:lang w:val="fr-CH"/>
        </w:rPr>
        <w:tab/>
      </w:r>
      <w:r>
        <w:rPr>
          <w:lang w:val="fr-CH"/>
        </w:rPr>
        <w:tab/>
      </w:r>
      <w:r>
        <w:rPr>
          <w:lang w:val="fr-CH"/>
        </w:rPr>
        <w:tab/>
      </w:r>
      <w:r>
        <w:rPr>
          <w:lang w:val="fr-CH"/>
        </w:rPr>
        <w:tab/>
        <w:t>Documents 5/BL/19 à 5/BL/21</w:t>
      </w:r>
    </w:p>
    <w:p w:rsidR="00266676" w:rsidRDefault="00266676" w:rsidP="00266676">
      <w:pPr>
        <w:tabs>
          <w:tab w:val="clear" w:pos="1985"/>
          <w:tab w:val="left" w:pos="1701"/>
        </w:tabs>
        <w:spacing w:before="360"/>
        <w:rPr>
          <w:lang w:val="fr-CH"/>
        </w:rPr>
      </w:pPr>
      <w:r>
        <w:rPr>
          <w:lang w:val="fr-CH"/>
        </w:rPr>
        <w:t>C</w:t>
      </w:r>
      <w:r w:rsidRPr="00BD2CD3">
        <w:rPr>
          <w:lang w:val="fr-CH"/>
        </w:rPr>
        <w:t>es documents sont disponibles en format électronique à l'adresse</w:t>
      </w:r>
      <w:r>
        <w:rPr>
          <w:lang w:val="fr-CH"/>
        </w:rPr>
        <w:t>:</w:t>
      </w:r>
    </w:p>
    <w:p w:rsidR="00266676" w:rsidRDefault="00635E3A" w:rsidP="00635E3A">
      <w:pPr>
        <w:rPr>
          <w:szCs w:val="24"/>
          <w:lang w:val="fr-CH"/>
        </w:rPr>
      </w:pPr>
      <w:hyperlink r:id="rId11" w:history="1">
        <w:r>
          <w:rPr>
            <w:rStyle w:val="Hyperlink"/>
            <w:szCs w:val="24"/>
            <w:lang w:val="fr-CH"/>
          </w:rPr>
          <w:t>http://www.itu.int/rec/R-REC-M/</w:t>
        </w:r>
      </w:hyperlink>
      <w:r>
        <w:rPr>
          <w:rStyle w:val="Hyperlink"/>
          <w:szCs w:val="24"/>
          <w:lang w:val="fr-CH"/>
        </w:rPr>
        <w:t>en</w:t>
      </w:r>
      <w:bookmarkStart w:id="0" w:name="_GoBack"/>
      <w:bookmarkEnd w:id="0"/>
    </w:p>
    <w:p w:rsidR="00266676" w:rsidRDefault="00266676" w:rsidP="00266676">
      <w:pPr>
        <w:rPr>
          <w:lang w:val="fr-CH"/>
        </w:rPr>
      </w:pPr>
    </w:p>
    <w:p w:rsidR="00266676" w:rsidRDefault="00266676" w:rsidP="00266676">
      <w:pPr>
        <w:tabs>
          <w:tab w:val="left" w:pos="284"/>
          <w:tab w:val="left" w:pos="568"/>
        </w:tabs>
        <w:spacing w:before="4800" w:after="120"/>
        <w:rPr>
          <w:b/>
          <w:bCs/>
          <w:sz w:val="18"/>
          <w:szCs w:val="18"/>
          <w:lang w:val="fr-CH"/>
        </w:rPr>
      </w:pPr>
      <w:r w:rsidRPr="009132C0">
        <w:rPr>
          <w:b/>
          <w:bCs/>
          <w:sz w:val="18"/>
          <w:szCs w:val="18"/>
          <w:lang w:val="fr-CH"/>
        </w:rPr>
        <w:t>Distribution:</w:t>
      </w:r>
    </w:p>
    <w:p w:rsidR="00266676" w:rsidRPr="00317319" w:rsidRDefault="00266676" w:rsidP="00266676">
      <w:pPr>
        <w:spacing w:before="0" w:line="240" w:lineRule="auto"/>
        <w:ind w:left="288" w:hanging="288"/>
        <w:rPr>
          <w:sz w:val="18"/>
          <w:szCs w:val="18"/>
          <w:lang w:val="fr-CH"/>
        </w:rPr>
      </w:pPr>
      <w:r w:rsidRPr="009132C0">
        <w:rPr>
          <w:sz w:val="18"/>
          <w:szCs w:val="18"/>
          <w:lang w:val="fr-CH"/>
        </w:rPr>
        <w:t>–</w:t>
      </w:r>
      <w:r w:rsidRPr="009132C0">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vaux de la Commission d'études 5</w:t>
      </w:r>
      <w:r w:rsidRPr="00317319">
        <w:rPr>
          <w:sz w:val="18"/>
          <w:szCs w:val="18"/>
          <w:lang w:val="fr-CH"/>
        </w:rPr>
        <w:t xml:space="preserve"> des radiocommunications</w:t>
      </w:r>
    </w:p>
    <w:p w:rsidR="00266676" w:rsidRPr="00317319" w:rsidRDefault="00266676" w:rsidP="00266676">
      <w:pPr>
        <w:spacing w:before="0" w:line="240" w:lineRule="auto"/>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Pr>
          <w:sz w:val="18"/>
          <w:szCs w:val="18"/>
          <w:lang w:val="fr-CH"/>
        </w:rPr>
        <w:t>5</w:t>
      </w:r>
      <w:r w:rsidRPr="00317319">
        <w:rPr>
          <w:sz w:val="18"/>
          <w:szCs w:val="18"/>
          <w:lang w:val="fr-CH"/>
        </w:rPr>
        <w:t xml:space="preserve"> des radiocommunications</w:t>
      </w:r>
    </w:p>
    <w:p w:rsidR="00266676" w:rsidRDefault="00266676" w:rsidP="00266676">
      <w:pPr>
        <w:tabs>
          <w:tab w:val="clear" w:pos="794"/>
          <w:tab w:val="left" w:pos="284"/>
        </w:tabs>
        <w:spacing w:before="0" w:line="240" w:lineRule="auto"/>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266676" w:rsidRDefault="00266676" w:rsidP="00266676">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 de préparation à la Conférence</w:t>
      </w:r>
    </w:p>
    <w:p w:rsidR="00266676" w:rsidRPr="00475B8F" w:rsidRDefault="00266676" w:rsidP="00266676">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Règlement des radiocommunications</w:t>
      </w:r>
    </w:p>
    <w:p w:rsidR="002569F7" w:rsidRDefault="00266676" w:rsidP="00266676">
      <w:pPr>
        <w:tabs>
          <w:tab w:val="left" w:pos="284"/>
          <w:tab w:val="left" w:pos="568"/>
        </w:tabs>
        <w:spacing w:before="0" w:after="120" w:line="240" w:lineRule="auto"/>
        <w:ind w:left="284" w:hanging="284"/>
        <w:rPr>
          <w:sz w:val="18"/>
          <w:szCs w:val="18"/>
          <w:lang w:val="fr-CH"/>
        </w:rPr>
      </w:pPr>
      <w:r w:rsidRPr="00317319">
        <w:rPr>
          <w:sz w:val="18"/>
          <w:szCs w:val="18"/>
          <w:lang w:val="fr-CH"/>
        </w:rPr>
        <w:t>–</w:t>
      </w:r>
      <w:r w:rsidRPr="00317319">
        <w:rPr>
          <w:sz w:val="18"/>
          <w:szCs w:val="18"/>
          <w:lang w:val="fr-CH"/>
        </w:rPr>
        <w:tab/>
        <w:t xml:space="preserve">Secrétaire général de l'UIT, Directeur du Bureau de </w:t>
      </w:r>
      <w:r>
        <w:rPr>
          <w:sz w:val="18"/>
          <w:szCs w:val="18"/>
          <w:lang w:val="fr-CH"/>
        </w:rPr>
        <w:t xml:space="preserve">la </w:t>
      </w:r>
      <w:r w:rsidRPr="00317319">
        <w:rPr>
          <w:sz w:val="18"/>
          <w:szCs w:val="18"/>
          <w:lang w:val="fr-CH"/>
        </w:rPr>
        <w:t>normalisation des télécommunications, Directeur du Bureau de développement des télécommunications</w:t>
      </w:r>
    </w:p>
    <w:p w:rsidR="00C00266" w:rsidRDefault="00C00266" w:rsidP="00266676">
      <w:pPr>
        <w:tabs>
          <w:tab w:val="left" w:pos="284"/>
          <w:tab w:val="left" w:pos="568"/>
        </w:tabs>
        <w:spacing w:before="0" w:after="120" w:line="240" w:lineRule="auto"/>
        <w:ind w:left="284" w:hanging="284"/>
        <w:rPr>
          <w:sz w:val="18"/>
          <w:szCs w:val="18"/>
          <w:lang w:val="fr-CH"/>
        </w:rPr>
      </w:pPr>
    </w:p>
    <w:p w:rsidR="00C00266" w:rsidRPr="00404185" w:rsidRDefault="00C00266" w:rsidP="00C00266">
      <w:pPr>
        <w:pStyle w:val="AnnexNotitle0"/>
        <w:rPr>
          <w:rFonts w:asciiTheme="minorHAnsi" w:hAnsiTheme="minorHAnsi"/>
          <w:szCs w:val="28"/>
        </w:rPr>
      </w:pPr>
      <w:r w:rsidRPr="00404185">
        <w:rPr>
          <w:rFonts w:asciiTheme="minorHAnsi" w:hAnsiTheme="minorHAnsi"/>
          <w:szCs w:val="28"/>
        </w:rPr>
        <w:lastRenderedPageBreak/>
        <w:t xml:space="preserve">Annexe </w:t>
      </w:r>
      <w:r w:rsidRPr="00404185">
        <w:rPr>
          <w:rFonts w:asciiTheme="minorHAnsi" w:hAnsiTheme="minorHAnsi"/>
          <w:szCs w:val="28"/>
        </w:rPr>
        <w:br/>
      </w:r>
      <w:r w:rsidRPr="00404185">
        <w:rPr>
          <w:rFonts w:asciiTheme="minorHAnsi" w:hAnsiTheme="minorHAnsi"/>
          <w:szCs w:val="28"/>
        </w:rPr>
        <w:br/>
        <w:t xml:space="preserve">Titres et résumés des projets de Recommandation adoptés par </w:t>
      </w:r>
      <w:r w:rsidRPr="00404185">
        <w:rPr>
          <w:rFonts w:asciiTheme="minorHAnsi" w:hAnsiTheme="minorHAnsi"/>
          <w:szCs w:val="28"/>
        </w:rPr>
        <w:br/>
        <w:t>la Commission d'études 5 des radiocommunications</w:t>
      </w:r>
    </w:p>
    <w:p w:rsidR="00C00266" w:rsidRPr="00404185" w:rsidRDefault="00C00266" w:rsidP="00C00266">
      <w:pPr>
        <w:tabs>
          <w:tab w:val="right" w:pos="9639"/>
        </w:tabs>
        <w:spacing w:before="720" w:line="240" w:lineRule="auto"/>
        <w:rPr>
          <w:lang w:val="fr-FR"/>
        </w:rPr>
      </w:pPr>
      <w:r w:rsidRPr="00404185">
        <w:rPr>
          <w:u w:val="single"/>
          <w:lang w:val="fr-FR"/>
        </w:rPr>
        <w:t>Projet de révision de la Recommandation UIT-R M.1174-2</w:t>
      </w:r>
      <w:r w:rsidRPr="00404185">
        <w:rPr>
          <w:lang w:val="fr-FR"/>
        </w:rPr>
        <w:tab/>
        <w:t>Doc. 5/BL/19</w:t>
      </w:r>
    </w:p>
    <w:p w:rsidR="00C00266" w:rsidRPr="00404185" w:rsidRDefault="00C00266" w:rsidP="00C00266">
      <w:pPr>
        <w:pStyle w:val="Rectitle"/>
        <w:rPr>
          <w:lang w:val="fr-FR" w:eastAsia="zh-CN"/>
        </w:rPr>
      </w:pPr>
      <w:bookmarkStart w:id="1" w:name="dtitle1" w:colFirst="0" w:colLast="0"/>
      <w:r w:rsidRPr="00404185">
        <w:rPr>
          <w:lang w:val="fr-FR"/>
        </w:rPr>
        <w:t>Caractéristiques techniques des appareils ut</w:t>
      </w:r>
      <w:r>
        <w:rPr>
          <w:lang w:val="fr-FR"/>
        </w:rPr>
        <w:t>ilisés sur les navires pour les </w:t>
      </w:r>
      <w:r w:rsidRPr="00404185">
        <w:rPr>
          <w:lang w:val="fr-FR"/>
        </w:rPr>
        <w:t xml:space="preserve">communications de bord dans les bandes de fréquences </w:t>
      </w:r>
      <w:r w:rsidRPr="00404185">
        <w:rPr>
          <w:lang w:val="fr-FR"/>
        </w:rPr>
        <w:br/>
        <w:t>comprises entre 450 et 470 MHz</w:t>
      </w:r>
    </w:p>
    <w:p w:rsidR="00C00266" w:rsidRPr="00404185" w:rsidRDefault="00C00266" w:rsidP="00C00266">
      <w:pPr>
        <w:pStyle w:val="Normalaftertitle"/>
        <w:rPr>
          <w:lang w:val="fr-FR"/>
        </w:rPr>
      </w:pPr>
      <w:bookmarkStart w:id="2" w:name="dbreak"/>
      <w:bookmarkEnd w:id="1"/>
      <w:bookmarkEnd w:id="2"/>
      <w:r w:rsidRPr="00404185">
        <w:rPr>
          <w:lang w:val="fr-FR"/>
        </w:rPr>
        <w:t>Ce projet de révision, relatif aux appareils utilisés sur les navires pour les communications de bord dans les bandes de fréquences comprises entre 450 et 470 MHz, porte sur les points suivants:</w:t>
      </w:r>
    </w:p>
    <w:p w:rsidR="00C00266" w:rsidRPr="00404185" w:rsidRDefault="00C00266" w:rsidP="00C00266">
      <w:pPr>
        <w:pStyle w:val="enumlev1"/>
        <w:jc w:val="left"/>
        <w:rPr>
          <w:lang w:val="fr-FR"/>
        </w:rPr>
      </w:pPr>
      <w:r w:rsidRPr="00404185">
        <w:rPr>
          <w:lang w:val="fr-FR"/>
        </w:rPr>
        <w:t>–</w:t>
      </w:r>
      <w:r w:rsidRPr="00404185">
        <w:rPr>
          <w:lang w:val="fr-FR"/>
        </w:rPr>
        <w:tab/>
        <w:t>des caractéristiques techniques supplémentaires pour les appareils utilisant des technologies numériques;</w:t>
      </w:r>
    </w:p>
    <w:p w:rsidR="00C00266" w:rsidRPr="00404185" w:rsidRDefault="00C00266" w:rsidP="00C00266">
      <w:pPr>
        <w:pStyle w:val="enumlev1"/>
        <w:jc w:val="left"/>
        <w:rPr>
          <w:lang w:val="fr-FR"/>
        </w:rPr>
      </w:pPr>
      <w:r w:rsidRPr="00404185">
        <w:rPr>
          <w:lang w:val="fr-FR"/>
        </w:rPr>
        <w:t>–</w:t>
      </w:r>
      <w:r w:rsidRPr="00404185">
        <w:rPr>
          <w:lang w:val="fr-FR"/>
        </w:rPr>
        <w:tab/>
        <w:t>une nouvelle disposition des bandes de fréquences et la numérotation des canaux associée;</w:t>
      </w:r>
    </w:p>
    <w:p w:rsidR="00C00266" w:rsidRPr="00404185" w:rsidRDefault="00C00266" w:rsidP="00C00266">
      <w:pPr>
        <w:pStyle w:val="enumlev1"/>
        <w:jc w:val="left"/>
        <w:rPr>
          <w:lang w:val="fr-FR"/>
        </w:rPr>
      </w:pPr>
      <w:r w:rsidRPr="00404185">
        <w:rPr>
          <w:lang w:val="fr-FR"/>
        </w:rPr>
        <w:t>–</w:t>
      </w:r>
      <w:r w:rsidRPr="00404185">
        <w:rPr>
          <w:lang w:val="fr-FR"/>
        </w:rPr>
        <w:tab/>
        <w:t>des techniques pour réduire les encombrements;</w:t>
      </w:r>
    </w:p>
    <w:p w:rsidR="00C00266" w:rsidRDefault="00C00266" w:rsidP="00C00266">
      <w:pPr>
        <w:pStyle w:val="enumlev1"/>
        <w:jc w:val="left"/>
        <w:rPr>
          <w:lang w:val="fr-FR"/>
        </w:rPr>
      </w:pPr>
      <w:r w:rsidRPr="00404185">
        <w:rPr>
          <w:lang w:val="fr-FR"/>
        </w:rPr>
        <w:t>–</w:t>
      </w:r>
      <w:r w:rsidRPr="00404185">
        <w:rPr>
          <w:lang w:val="fr-FR"/>
        </w:rPr>
        <w:tab/>
        <w:t>des dispositions pour conserver la technologie analogique.</w:t>
      </w:r>
    </w:p>
    <w:p w:rsidR="004265EA" w:rsidRPr="00404185" w:rsidRDefault="004265EA" w:rsidP="00C00266">
      <w:pPr>
        <w:pStyle w:val="enumlev1"/>
        <w:jc w:val="left"/>
        <w:rPr>
          <w:lang w:val="fr-FR"/>
        </w:rPr>
      </w:pPr>
    </w:p>
    <w:p w:rsidR="00C00266" w:rsidRPr="00404185" w:rsidRDefault="00C00266" w:rsidP="00C00266">
      <w:pPr>
        <w:tabs>
          <w:tab w:val="right" w:pos="9639"/>
        </w:tabs>
        <w:spacing w:before="360" w:line="240" w:lineRule="auto"/>
        <w:rPr>
          <w:lang w:val="fr-FR"/>
        </w:rPr>
      </w:pPr>
      <w:r w:rsidRPr="00404185">
        <w:rPr>
          <w:u w:val="single"/>
          <w:lang w:val="fr-FR"/>
        </w:rPr>
        <w:t>Projet de révision de la Recommandation UIT-R M.690-2</w:t>
      </w:r>
      <w:r w:rsidRPr="00404185">
        <w:rPr>
          <w:lang w:val="fr-FR"/>
        </w:rPr>
        <w:tab/>
        <w:t>Doc. 5/BL/20</w:t>
      </w:r>
    </w:p>
    <w:p w:rsidR="00C00266" w:rsidRPr="00404185" w:rsidRDefault="00C00266" w:rsidP="00C00266">
      <w:pPr>
        <w:pStyle w:val="Rectitle"/>
        <w:rPr>
          <w:lang w:val="fr-FR"/>
        </w:rPr>
      </w:pPr>
      <w:r w:rsidRPr="00404185">
        <w:rPr>
          <w:lang w:val="fr-FR"/>
        </w:rPr>
        <w:t xml:space="preserve">Caractéristiques techniques des radiobalises de localisation des sinistres (RLS) fonctionnant sur les fréquences </w:t>
      </w:r>
      <w:r>
        <w:rPr>
          <w:lang w:val="fr-FR"/>
        </w:rPr>
        <w:t>porteuses 121,5 MHz et 243 MHz</w:t>
      </w:r>
    </w:p>
    <w:p w:rsidR="00C00266" w:rsidRPr="00404185" w:rsidRDefault="00C00266" w:rsidP="00C00266">
      <w:pPr>
        <w:pStyle w:val="Normalaftertitle"/>
        <w:rPr>
          <w:lang w:val="fr-FR"/>
        </w:rPr>
      </w:pPr>
      <w:r w:rsidRPr="00404185">
        <w:rPr>
          <w:lang w:val="fr-FR"/>
        </w:rPr>
        <w:t>Dans cette révision, il est proposé, pour les RLS fonctionnant à 121,5 MHz ou 243 MHz, de lever toute ambiguïté qui pourrait résulter de l'interprétation des modifications apportées dans la Recommandation UIT</w:t>
      </w:r>
      <w:r w:rsidRPr="00404185">
        <w:rPr>
          <w:lang w:val="fr-FR"/>
        </w:rPr>
        <w:noBreakHyphen/>
        <w:t xml:space="preserve">R M.690-2 concernant le signal audiofréquence caractéristique qui indique quand ces RLS sont actives. </w:t>
      </w:r>
    </w:p>
    <w:p w:rsidR="00C00266" w:rsidRPr="00404185" w:rsidRDefault="00C00266" w:rsidP="00C00266">
      <w:pPr>
        <w:spacing w:before="120" w:line="240" w:lineRule="auto"/>
        <w:rPr>
          <w:lang w:val="fr-FR"/>
        </w:rPr>
      </w:pPr>
      <w:r w:rsidRPr="00404185">
        <w:rPr>
          <w:lang w:val="fr-FR"/>
        </w:rPr>
        <w:t>Conformément aux normes de l'industrie alors en vigueur, la Recommandation UIT-R M.690-1 autorisait uniquement un balayage audio vers le bas répété avec un retour brusque à la fréquence de départ. Compte tenu de l'avis formulé par l'industrie et les organisations de normalisation extérieures à l'UIT selon lequel un balayage audio vers le haut répété devrait aussi être accepté, la Recommandation UIT-R M.690-1 a été révisée afin de permettre à la fois un balayage vers le haut et vers le bas. Toutefois, il n'a pas été indiqué clairement que les différentes balises devaient utiliser uniquement un balayage vers le bas ou vers le haut et non pas une combinaison de balayages vers le bas et vers le haut (par exemple des balayages vers le haut et vers le bas continus sans coupure brusque ou une séquence de balayages vers le haut et vers le bas distincts).</w:t>
      </w:r>
    </w:p>
    <w:p w:rsidR="00C00266" w:rsidRPr="00404185" w:rsidRDefault="00C00266" w:rsidP="00C00266">
      <w:pPr>
        <w:spacing w:before="120" w:line="240" w:lineRule="auto"/>
        <w:rPr>
          <w:lang w:val="fr-FR"/>
        </w:rPr>
      </w:pPr>
      <w:r w:rsidRPr="00404185">
        <w:rPr>
          <w:lang w:val="fr-FR"/>
        </w:rPr>
        <w:br w:type="page"/>
      </w:r>
    </w:p>
    <w:p w:rsidR="00C00266" w:rsidRPr="00404185" w:rsidRDefault="00C00266" w:rsidP="00C00266">
      <w:pPr>
        <w:tabs>
          <w:tab w:val="right" w:pos="9639"/>
        </w:tabs>
        <w:spacing w:line="240" w:lineRule="auto"/>
        <w:rPr>
          <w:lang w:val="fr-FR"/>
        </w:rPr>
      </w:pPr>
      <w:r w:rsidRPr="00404185">
        <w:rPr>
          <w:u w:val="single"/>
          <w:lang w:val="fr-FR"/>
        </w:rPr>
        <w:lastRenderedPageBreak/>
        <w:t>Projet de révision de la Recommandation UIT-R M.585-6</w:t>
      </w:r>
      <w:r w:rsidRPr="00404185">
        <w:rPr>
          <w:lang w:val="fr-FR"/>
        </w:rPr>
        <w:tab/>
        <w:t>Doc. 5/BL/21</w:t>
      </w:r>
    </w:p>
    <w:p w:rsidR="00C00266" w:rsidRPr="00404185" w:rsidRDefault="00C00266" w:rsidP="00C00266">
      <w:pPr>
        <w:pStyle w:val="Rectitle"/>
        <w:rPr>
          <w:lang w:val="fr-FR"/>
        </w:rPr>
      </w:pPr>
      <w:r w:rsidRPr="00404185">
        <w:rPr>
          <w:lang w:val="fr-FR"/>
        </w:rPr>
        <w:t>Assignations et utilisation des identités dans le service mobile maritime</w:t>
      </w:r>
    </w:p>
    <w:p w:rsidR="00C00266" w:rsidRPr="00404185" w:rsidRDefault="00C00266" w:rsidP="004265EA">
      <w:pPr>
        <w:pStyle w:val="Normalaftertitle"/>
        <w:spacing w:after="120"/>
        <w:rPr>
          <w:lang w:val="fr-FR"/>
        </w:rPr>
      </w:pPr>
      <w:r w:rsidRPr="00404185">
        <w:rPr>
          <w:lang w:val="fr-FR"/>
        </w:rPr>
        <w:t>Dans cette révision, il est proposé:</w:t>
      </w:r>
    </w:p>
    <w:p w:rsidR="00C00266" w:rsidRPr="00404185" w:rsidRDefault="00C00266" w:rsidP="00C00266">
      <w:pPr>
        <w:pStyle w:val="enumlev1"/>
        <w:rPr>
          <w:lang w:val="fr-FR"/>
        </w:rPr>
      </w:pPr>
      <w:r w:rsidRPr="00404185">
        <w:rPr>
          <w:lang w:val="fr-FR"/>
        </w:rPr>
        <w:t>–</w:t>
      </w:r>
      <w:r w:rsidRPr="00404185">
        <w:rPr>
          <w:lang w:val="fr-FR"/>
        </w:rPr>
        <w:tab/>
        <w:t>d'ajouter une nouvelle catégorie d) facultative pour les stations de répéteur AIS, avec le format 00MID4XXX (Annexe 1, section 2, paragraphe 3);</w:t>
      </w:r>
    </w:p>
    <w:p w:rsidR="00C00266" w:rsidRPr="00404185" w:rsidRDefault="00C00266" w:rsidP="00C00266">
      <w:pPr>
        <w:pStyle w:val="enumlev1"/>
        <w:rPr>
          <w:lang w:val="fr-FR"/>
        </w:rPr>
      </w:pPr>
      <w:r w:rsidRPr="00404185">
        <w:rPr>
          <w:lang w:val="fr-FR"/>
        </w:rPr>
        <w:t>–</w:t>
      </w:r>
      <w:r w:rsidRPr="00404185">
        <w:rPr>
          <w:lang w:val="fr-FR"/>
        </w:rPr>
        <w:tab/>
        <w:t>de clarifier le texte concernant les zéros à la fin des identités MMSI (Annexe 1, section 1, paragraphe 4);</w:t>
      </w:r>
    </w:p>
    <w:p w:rsidR="00C00266" w:rsidRPr="00404185" w:rsidRDefault="00C00266" w:rsidP="00C00266">
      <w:pPr>
        <w:pStyle w:val="enumlev1"/>
        <w:rPr>
          <w:lang w:val="fr-FR"/>
        </w:rPr>
      </w:pPr>
      <w:r w:rsidRPr="00404185">
        <w:rPr>
          <w:lang w:val="fr-FR"/>
        </w:rPr>
        <w:t>–</w:t>
      </w:r>
      <w:r w:rsidRPr="00404185">
        <w:rPr>
          <w:lang w:val="fr-FR"/>
        </w:rPr>
        <w:tab/>
        <w:t>d'appor</w:t>
      </w:r>
      <w:r>
        <w:rPr>
          <w:lang w:val="fr-FR"/>
        </w:rPr>
        <w:t>ter une modification de forme: «</w:t>
      </w:r>
      <w:r w:rsidRPr="00404185">
        <w:rPr>
          <w:lang w:val="fr-FR"/>
        </w:rPr>
        <w:t>émetteur-récepteur</w:t>
      </w:r>
      <w:r>
        <w:rPr>
          <w:lang w:val="fr-FR"/>
        </w:rPr>
        <w:t>»</w:t>
      </w:r>
      <w:r w:rsidRPr="00404185">
        <w:rPr>
          <w:lang w:val="fr-FR"/>
        </w:rPr>
        <w:t xml:space="preserve"> est remp</w:t>
      </w:r>
      <w:r>
        <w:rPr>
          <w:lang w:val="fr-FR"/>
        </w:rPr>
        <w:t>lacé par «</w:t>
      </w:r>
      <w:r w:rsidRPr="00404185">
        <w:rPr>
          <w:lang w:val="fr-FR"/>
        </w:rPr>
        <w:t>émetteur</w:t>
      </w:r>
      <w:r>
        <w:rPr>
          <w:lang w:val="fr-FR"/>
        </w:rPr>
        <w:t>»</w:t>
      </w:r>
      <w:r w:rsidRPr="00404185">
        <w:rPr>
          <w:lang w:val="fr-FR"/>
        </w:rPr>
        <w:t xml:space="preserve"> pour le système AIS-SART (Annexe 2, section 2, paragraphe 1).</w:t>
      </w:r>
    </w:p>
    <w:p w:rsidR="00C00266" w:rsidRPr="00404185" w:rsidRDefault="00C00266" w:rsidP="007842C2">
      <w:pPr>
        <w:spacing w:before="840"/>
        <w:jc w:val="center"/>
        <w:rPr>
          <w:rFonts w:asciiTheme="minorHAnsi" w:hAnsiTheme="minorHAnsi"/>
          <w:lang w:val="fr-FR"/>
        </w:rPr>
      </w:pPr>
      <w:r w:rsidRPr="00404185">
        <w:rPr>
          <w:rFonts w:asciiTheme="minorHAnsi" w:hAnsiTheme="minorHAnsi"/>
          <w:lang w:val="fr-FR"/>
        </w:rPr>
        <w:t>______________</w:t>
      </w:r>
    </w:p>
    <w:sectPr w:rsidR="00C00266" w:rsidRPr="00404185"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76" w:rsidRDefault="00266676">
      <w:r>
        <w:separator/>
      </w:r>
    </w:p>
  </w:endnote>
  <w:endnote w:type="continuationSeparator" w:id="0">
    <w:p w:rsidR="00266676" w:rsidRDefault="0026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76" w:rsidRDefault="00266676">
      <w:r>
        <w:t>____________________</w:t>
      </w:r>
    </w:p>
  </w:footnote>
  <w:footnote w:type="continuationSeparator" w:id="0">
    <w:p w:rsidR="00266676" w:rsidRDefault="00266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266676">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35E3A">
      <w:rPr>
        <w:rStyle w:val="PageNumber"/>
        <w:noProof/>
        <w:sz w:val="18"/>
        <w:szCs w:val="16"/>
      </w:rPr>
      <w:t>2</w:t>
    </w:r>
    <w:r w:rsidR="001B42C9" w:rsidRPr="002569F7">
      <w:rPr>
        <w:rStyle w:val="PageNumber"/>
        <w:sz w:val="18"/>
        <w:szCs w:val="16"/>
      </w:rPr>
      <w:fldChar w:fldCharType="end"/>
    </w:r>
    <w:r w:rsidR="00266676">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00266" w:rsidRDefault="00E915AF">
    <w:pPr>
      <w:pStyle w:val="Header"/>
      <w:rPr>
        <w:iCs/>
        <w:sz w:val="18"/>
        <w:szCs w:val="18"/>
      </w:rPr>
    </w:pPr>
    <w:r>
      <w:tab/>
    </w:r>
    <w:r>
      <w:tab/>
    </w:r>
    <w:r w:rsidR="00C00266">
      <w:t xml:space="preserve">- </w:t>
    </w:r>
    <w:r w:rsidR="001B42C9" w:rsidRPr="00C00266">
      <w:rPr>
        <w:iCs/>
        <w:sz w:val="18"/>
        <w:szCs w:val="18"/>
      </w:rPr>
      <w:fldChar w:fldCharType="begin"/>
    </w:r>
    <w:r w:rsidRPr="00C00266">
      <w:rPr>
        <w:iCs/>
        <w:sz w:val="18"/>
        <w:szCs w:val="18"/>
      </w:rPr>
      <w:instrText xml:space="preserve"> PAGE  \* MERGEFORMAT </w:instrText>
    </w:r>
    <w:r w:rsidR="001B42C9" w:rsidRPr="00C00266">
      <w:rPr>
        <w:iCs/>
        <w:sz w:val="18"/>
        <w:szCs w:val="18"/>
      </w:rPr>
      <w:fldChar w:fldCharType="separate"/>
    </w:r>
    <w:r w:rsidR="00635E3A">
      <w:rPr>
        <w:iCs/>
        <w:noProof/>
        <w:sz w:val="18"/>
        <w:szCs w:val="18"/>
      </w:rPr>
      <w:t>3</w:t>
    </w:r>
    <w:r w:rsidR="001B42C9" w:rsidRPr="00C00266">
      <w:rPr>
        <w:iCs/>
        <w:sz w:val="18"/>
        <w:szCs w:val="18"/>
      </w:rPr>
      <w:fldChar w:fldCharType="end"/>
    </w:r>
    <w:r w:rsidR="00C00266">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297D40">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6667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676"/>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65E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1846"/>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35E3A"/>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842C2"/>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0266"/>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034"/>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C6F9D99-EEFC-43D0-ADA7-80C7810B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C00266"/>
    <w:pPr>
      <w:keepNext/>
      <w:keepLines/>
      <w:spacing w:before="480" w:line="240" w:lineRule="auto"/>
      <w:jc w:val="center"/>
    </w:pPr>
    <w:rPr>
      <w:rFonts w:ascii="Times New Roman" w:hAnsi="Times New Roman" w:cs="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B2E94-5B95-4507-B0FF-876578BC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87</TotalTime>
  <Pages>4</Pages>
  <Words>873</Words>
  <Characters>5452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7</cp:revision>
  <cp:lastPrinted>2015-01-28T14:06:00Z</cp:lastPrinted>
  <dcterms:created xsi:type="dcterms:W3CDTF">2015-01-27T10:55:00Z</dcterms:created>
  <dcterms:modified xsi:type="dcterms:W3CDTF">2015-01-28T14:17:00Z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