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B3" w:rsidRPr="007E668D" w:rsidRDefault="00EA15B3"/>
    <w:tbl>
      <w:tblPr>
        <w:tblW w:w="9889" w:type="dxa"/>
        <w:tblLayout w:type="fixed"/>
        <w:tblLook w:val="04A0" w:firstRow="1" w:lastRow="0" w:firstColumn="1" w:lastColumn="0" w:noHBand="0" w:noVBand="1"/>
      </w:tblPr>
      <w:tblGrid>
        <w:gridCol w:w="1384"/>
        <w:gridCol w:w="142"/>
        <w:gridCol w:w="3543"/>
        <w:gridCol w:w="284"/>
        <w:gridCol w:w="4536"/>
      </w:tblGrid>
      <w:tr w:rsidR="00EA15B3" w:rsidRPr="007E668D" w:rsidTr="00EA15B3">
        <w:tc>
          <w:tcPr>
            <w:tcW w:w="9889" w:type="dxa"/>
            <w:gridSpan w:val="5"/>
          </w:tcPr>
          <w:p w:rsidR="00EA15B3" w:rsidRPr="007E668D" w:rsidRDefault="00C764BA" w:rsidP="00F914DD">
            <w:pPr>
              <w:jc w:val="left"/>
              <w:rPr>
                <w:rFonts w:cs="Times New Roman Bold"/>
                <w:b/>
                <w:bCs/>
                <w:color w:val="808080"/>
                <w:sz w:val="28"/>
                <w:szCs w:val="28"/>
              </w:rPr>
            </w:pPr>
            <w:bookmarkStart w:id="0" w:name="Logo"/>
            <w:bookmarkStart w:id="1" w:name="Origine"/>
            <w:bookmarkEnd w:id="0"/>
            <w:bookmarkEnd w:id="1"/>
            <w:r w:rsidRPr="007E668D">
              <w:rPr>
                <w:rFonts w:cstheme="minorHAnsi"/>
                <w:b/>
                <w:bCs/>
                <w:color w:val="808080"/>
                <w:sz w:val="28"/>
                <w:szCs w:val="28"/>
              </w:rPr>
              <w:t>Oficina de Radiocomunicaciones (BR)</w:t>
            </w:r>
          </w:p>
        </w:tc>
      </w:tr>
      <w:tr w:rsidR="00EA15B3" w:rsidRPr="007E668D" w:rsidTr="00EA15B3">
        <w:tc>
          <w:tcPr>
            <w:tcW w:w="9889" w:type="dxa"/>
            <w:gridSpan w:val="5"/>
          </w:tcPr>
          <w:p w:rsidR="00EA15B3" w:rsidRPr="007E668D" w:rsidRDefault="00EA15B3" w:rsidP="00EA15B3">
            <w:pPr>
              <w:jc w:val="left"/>
            </w:pPr>
          </w:p>
        </w:tc>
      </w:tr>
      <w:tr w:rsidR="00651777" w:rsidRPr="007E668D" w:rsidTr="00651777">
        <w:tc>
          <w:tcPr>
            <w:tcW w:w="5353" w:type="dxa"/>
            <w:gridSpan w:val="4"/>
          </w:tcPr>
          <w:p w:rsidR="00651777" w:rsidRPr="007E668D" w:rsidRDefault="00CD0E47" w:rsidP="00210D08">
            <w:pPr>
              <w:tabs>
                <w:tab w:val="left" w:pos="7513"/>
              </w:tabs>
              <w:jc w:val="left"/>
              <w:rPr>
                <w:sz w:val="24"/>
                <w:szCs w:val="24"/>
              </w:rPr>
            </w:pPr>
            <w:r w:rsidRPr="007E668D">
              <w:rPr>
                <w:sz w:val="24"/>
                <w:szCs w:val="24"/>
              </w:rPr>
              <w:t>Circular Administrativa</w:t>
            </w:r>
            <w:r w:rsidRPr="007E668D">
              <w:rPr>
                <w:sz w:val="24"/>
                <w:szCs w:val="24"/>
              </w:rPr>
              <w:br/>
            </w:r>
            <w:bookmarkStart w:id="2" w:name="dnum"/>
            <w:bookmarkEnd w:id="2"/>
            <w:r w:rsidRPr="007E668D">
              <w:rPr>
                <w:b/>
                <w:bCs/>
                <w:sz w:val="24"/>
                <w:szCs w:val="24"/>
              </w:rPr>
              <w:t>CACE/</w:t>
            </w:r>
            <w:r w:rsidR="00210D08" w:rsidRPr="007E668D">
              <w:rPr>
                <w:b/>
                <w:bCs/>
                <w:sz w:val="24"/>
                <w:szCs w:val="24"/>
              </w:rPr>
              <w:t>700</w:t>
            </w:r>
          </w:p>
        </w:tc>
        <w:tc>
          <w:tcPr>
            <w:tcW w:w="4536" w:type="dxa"/>
          </w:tcPr>
          <w:p w:rsidR="00651777" w:rsidRPr="007E668D" w:rsidRDefault="00191581" w:rsidP="00F51EA2">
            <w:pPr>
              <w:jc w:val="right"/>
              <w:rPr>
                <w:sz w:val="24"/>
                <w:szCs w:val="24"/>
              </w:rPr>
            </w:pPr>
            <w:r>
              <w:rPr>
                <w:sz w:val="24"/>
                <w:szCs w:val="24"/>
              </w:rPr>
              <w:t>2</w:t>
            </w:r>
            <w:r w:rsidR="00210D08" w:rsidRPr="007E668D">
              <w:rPr>
                <w:sz w:val="24"/>
                <w:szCs w:val="24"/>
              </w:rPr>
              <w:t xml:space="preserve"> de </w:t>
            </w:r>
            <w:r w:rsidR="00F51EA2">
              <w:rPr>
                <w:sz w:val="24"/>
                <w:szCs w:val="24"/>
              </w:rPr>
              <w:t>diciembre</w:t>
            </w:r>
            <w:r w:rsidR="00210D08" w:rsidRPr="007E668D">
              <w:rPr>
                <w:sz w:val="24"/>
                <w:szCs w:val="24"/>
              </w:rPr>
              <w:t xml:space="preserve"> de 2014</w:t>
            </w:r>
          </w:p>
        </w:tc>
      </w:tr>
      <w:tr w:rsidR="00D2339B" w:rsidRPr="007E668D" w:rsidTr="00D2339B">
        <w:tc>
          <w:tcPr>
            <w:tcW w:w="1384" w:type="dxa"/>
          </w:tcPr>
          <w:p w:rsidR="00D2339B" w:rsidRPr="007E668D" w:rsidRDefault="00D2339B" w:rsidP="00651777">
            <w:pPr>
              <w:spacing w:before="0"/>
              <w:jc w:val="left"/>
              <w:rPr>
                <w:sz w:val="24"/>
                <w:szCs w:val="24"/>
              </w:rPr>
            </w:pPr>
          </w:p>
        </w:tc>
        <w:tc>
          <w:tcPr>
            <w:tcW w:w="3685" w:type="dxa"/>
            <w:gridSpan w:val="2"/>
          </w:tcPr>
          <w:p w:rsidR="00D2339B" w:rsidRPr="007E668D" w:rsidRDefault="00D2339B" w:rsidP="00651777">
            <w:pPr>
              <w:spacing w:before="0"/>
              <w:jc w:val="left"/>
              <w:rPr>
                <w:sz w:val="24"/>
                <w:szCs w:val="24"/>
              </w:rPr>
            </w:pPr>
          </w:p>
        </w:tc>
        <w:tc>
          <w:tcPr>
            <w:tcW w:w="284" w:type="dxa"/>
          </w:tcPr>
          <w:p w:rsidR="00D2339B" w:rsidRPr="007E668D" w:rsidRDefault="00D2339B" w:rsidP="00651777">
            <w:pPr>
              <w:spacing w:before="0"/>
              <w:rPr>
                <w:sz w:val="24"/>
                <w:szCs w:val="24"/>
              </w:rPr>
            </w:pPr>
          </w:p>
        </w:tc>
        <w:tc>
          <w:tcPr>
            <w:tcW w:w="4536" w:type="dxa"/>
          </w:tcPr>
          <w:p w:rsidR="00D2339B" w:rsidRPr="007E668D" w:rsidRDefault="00D2339B" w:rsidP="00651777">
            <w:pPr>
              <w:spacing w:before="0"/>
              <w:rPr>
                <w:sz w:val="24"/>
                <w:szCs w:val="24"/>
              </w:rPr>
            </w:pPr>
          </w:p>
        </w:tc>
      </w:tr>
      <w:tr w:rsidR="00D2339B" w:rsidRPr="007E668D" w:rsidTr="00EA15B3">
        <w:tc>
          <w:tcPr>
            <w:tcW w:w="9889" w:type="dxa"/>
            <w:gridSpan w:val="5"/>
          </w:tcPr>
          <w:p w:rsidR="00D2339B" w:rsidRPr="007E668D" w:rsidRDefault="00CD0E47" w:rsidP="00210D08">
            <w:pPr>
              <w:jc w:val="left"/>
              <w:rPr>
                <w:b/>
                <w:sz w:val="24"/>
                <w:szCs w:val="24"/>
              </w:rPr>
            </w:pPr>
            <w:r w:rsidRPr="007E668D">
              <w:rPr>
                <w:b/>
                <w:sz w:val="24"/>
                <w:szCs w:val="24"/>
              </w:rPr>
              <w:t>A las Administraciones de los Estados Miembros de la UIT, a los Miembros</w:t>
            </w:r>
            <w:r w:rsidRPr="007E668D">
              <w:rPr>
                <w:b/>
                <w:sz w:val="24"/>
                <w:szCs w:val="24"/>
              </w:rPr>
              <w:br/>
              <w:t>del Sector de Radiocomunicaciones y a los Asociados del UIT-R que participan</w:t>
            </w:r>
            <w:r w:rsidRPr="007E668D">
              <w:rPr>
                <w:b/>
                <w:sz w:val="24"/>
                <w:szCs w:val="24"/>
              </w:rPr>
              <w:br/>
              <w:t xml:space="preserve">en los trabajos de la Comisión de Estudio </w:t>
            </w:r>
            <w:r w:rsidR="00210D08" w:rsidRPr="007E668D">
              <w:rPr>
                <w:b/>
                <w:sz w:val="24"/>
                <w:szCs w:val="24"/>
              </w:rPr>
              <w:t>5</w:t>
            </w:r>
            <w:r w:rsidRPr="007E668D">
              <w:rPr>
                <w:b/>
                <w:sz w:val="24"/>
                <w:szCs w:val="24"/>
              </w:rPr>
              <w:t xml:space="preserve"> de </w:t>
            </w:r>
            <w:r w:rsidR="006C04E0" w:rsidRPr="007E668D">
              <w:rPr>
                <w:b/>
                <w:sz w:val="24"/>
                <w:szCs w:val="24"/>
              </w:rPr>
              <w:t>Radiocomunicaciones</w:t>
            </w:r>
          </w:p>
          <w:p w:rsidR="00CD0E47" w:rsidRPr="007E668D" w:rsidRDefault="00CD0E47" w:rsidP="00CD0E47">
            <w:pPr>
              <w:jc w:val="left"/>
              <w:rPr>
                <w:sz w:val="24"/>
                <w:szCs w:val="24"/>
              </w:rPr>
            </w:pPr>
          </w:p>
        </w:tc>
      </w:tr>
      <w:tr w:rsidR="00CD0E47" w:rsidRPr="007E668D" w:rsidTr="00471EDA">
        <w:tc>
          <w:tcPr>
            <w:tcW w:w="1526" w:type="dxa"/>
            <w:gridSpan w:val="2"/>
            <w:shd w:val="clear" w:color="auto" w:fill="auto"/>
          </w:tcPr>
          <w:p w:rsidR="00CD0E47" w:rsidRPr="007E668D" w:rsidRDefault="00CD0E47" w:rsidP="006C04E0">
            <w:pPr>
              <w:spacing w:before="0"/>
              <w:jc w:val="left"/>
              <w:rPr>
                <w:sz w:val="24"/>
                <w:szCs w:val="24"/>
              </w:rPr>
            </w:pPr>
            <w:bookmarkStart w:id="3" w:name="Formula"/>
            <w:bookmarkStart w:id="4" w:name="MainStory"/>
            <w:bookmarkStart w:id="5" w:name="CurrentLocation"/>
            <w:bookmarkEnd w:id="3"/>
            <w:bookmarkEnd w:id="4"/>
            <w:bookmarkEnd w:id="5"/>
            <w:r w:rsidRPr="007E668D">
              <w:rPr>
                <w:sz w:val="24"/>
                <w:szCs w:val="24"/>
              </w:rPr>
              <w:t>Objeto</w:t>
            </w:r>
            <w:r w:rsidR="006C04E0" w:rsidRPr="007E668D">
              <w:rPr>
                <w:sz w:val="24"/>
                <w:szCs w:val="24"/>
              </w:rPr>
              <w:t>:</w:t>
            </w:r>
          </w:p>
        </w:tc>
        <w:tc>
          <w:tcPr>
            <w:tcW w:w="8363" w:type="dxa"/>
            <w:gridSpan w:val="3"/>
            <w:vMerge w:val="restart"/>
            <w:shd w:val="clear" w:color="auto" w:fill="auto"/>
          </w:tcPr>
          <w:p w:rsidR="00CD0E47" w:rsidRPr="007E668D" w:rsidRDefault="00CD0E47" w:rsidP="00BC2CC3">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7E668D">
              <w:rPr>
                <w:b/>
                <w:bCs/>
                <w:sz w:val="24"/>
                <w:szCs w:val="24"/>
              </w:rPr>
              <w:t xml:space="preserve">Comisión de Estudio </w:t>
            </w:r>
            <w:r w:rsidR="00BC2CC3" w:rsidRPr="007E668D">
              <w:rPr>
                <w:b/>
                <w:bCs/>
                <w:sz w:val="24"/>
                <w:szCs w:val="24"/>
              </w:rPr>
              <w:t>5</w:t>
            </w:r>
            <w:r w:rsidRPr="007E668D">
              <w:rPr>
                <w:b/>
                <w:bCs/>
                <w:sz w:val="24"/>
                <w:szCs w:val="24"/>
              </w:rPr>
              <w:t xml:space="preserve"> de Radiocomunicaciones </w:t>
            </w:r>
            <w:r w:rsidR="002C54C3" w:rsidRPr="007E668D">
              <w:rPr>
                <w:b/>
                <w:bCs/>
                <w:sz w:val="24"/>
                <w:szCs w:val="24"/>
              </w:rPr>
              <w:t>(</w:t>
            </w:r>
            <w:r w:rsidR="00BC2CC3" w:rsidRPr="007E668D">
              <w:rPr>
                <w:b/>
                <w:bCs/>
                <w:sz w:val="24"/>
                <w:szCs w:val="24"/>
              </w:rPr>
              <w:t>Servicios terrenales</w:t>
            </w:r>
            <w:r w:rsidR="002C54C3" w:rsidRPr="007E668D">
              <w:rPr>
                <w:b/>
                <w:bCs/>
                <w:sz w:val="24"/>
                <w:szCs w:val="24"/>
              </w:rPr>
              <w:t>)</w:t>
            </w:r>
          </w:p>
          <w:p w:rsidR="00CD0E47" w:rsidRPr="007E668D" w:rsidRDefault="00CD0E47" w:rsidP="00BC2CC3">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7E668D">
              <w:rPr>
                <w:sz w:val="24"/>
                <w:szCs w:val="24"/>
              </w:rPr>
              <w:t>–</w:t>
            </w:r>
            <w:r w:rsidRPr="007E668D">
              <w:rPr>
                <w:b/>
                <w:bCs/>
                <w:sz w:val="24"/>
                <w:szCs w:val="24"/>
              </w:rPr>
              <w:tab/>
            </w:r>
            <w:r w:rsidR="00CE6299" w:rsidRPr="007E668D">
              <w:rPr>
                <w:b/>
                <w:bCs/>
                <w:sz w:val="24"/>
                <w:szCs w:val="24"/>
              </w:rPr>
              <w:t xml:space="preserve">Propuesta de adopción de </w:t>
            </w:r>
            <w:r w:rsidR="00BC2CC3" w:rsidRPr="007E668D">
              <w:rPr>
                <w:b/>
                <w:bCs/>
                <w:sz w:val="24"/>
                <w:szCs w:val="24"/>
              </w:rPr>
              <w:t>2</w:t>
            </w:r>
            <w:r w:rsidR="00CE6299" w:rsidRPr="007E668D">
              <w:rPr>
                <w:b/>
                <w:bCs/>
                <w:sz w:val="24"/>
                <w:szCs w:val="24"/>
              </w:rPr>
              <w:t xml:space="preserve"> proyectos de nueva Recomendación UIT-R</w:t>
            </w:r>
            <w:r w:rsidR="00BC2CC3" w:rsidRPr="007E668D">
              <w:rPr>
                <w:b/>
                <w:bCs/>
                <w:sz w:val="24"/>
                <w:szCs w:val="24"/>
              </w:rPr>
              <w:t>,</w:t>
            </w:r>
            <w:r w:rsidR="00CE6299" w:rsidRPr="007E668D">
              <w:rPr>
                <w:b/>
                <w:bCs/>
                <w:sz w:val="24"/>
                <w:szCs w:val="24"/>
              </w:rPr>
              <w:t xml:space="preserve"> </w:t>
            </w:r>
            <w:r w:rsidR="00BC2CC3" w:rsidRPr="007E668D">
              <w:rPr>
                <w:b/>
                <w:bCs/>
                <w:sz w:val="24"/>
                <w:szCs w:val="24"/>
              </w:rPr>
              <w:t>10</w:t>
            </w:r>
            <w:r w:rsidR="00CE6299" w:rsidRPr="007E668D">
              <w:rPr>
                <w:b/>
                <w:bCs/>
                <w:sz w:val="24"/>
                <w:szCs w:val="24"/>
              </w:rPr>
              <w:t> </w:t>
            </w:r>
            <w:r w:rsidR="00CE6299" w:rsidRPr="007E668D">
              <w:rPr>
                <w:b/>
                <w:sz w:val="24"/>
                <w:szCs w:val="24"/>
              </w:rPr>
              <w:t>proyectos de Recomendación UIT-R revisada</w:t>
            </w:r>
            <w:r w:rsidR="004A353B" w:rsidRPr="007E668D">
              <w:rPr>
                <w:b/>
                <w:sz w:val="24"/>
                <w:szCs w:val="24"/>
              </w:rPr>
              <w:t xml:space="preserve"> </w:t>
            </w:r>
            <w:r w:rsidR="00BC2CC3" w:rsidRPr="007E668D">
              <w:rPr>
                <w:b/>
                <w:sz w:val="24"/>
                <w:szCs w:val="24"/>
              </w:rPr>
              <w:t>y 1 proyecto de nueva Cuestión</w:t>
            </w:r>
            <w:r w:rsidR="00CE6299" w:rsidRPr="007E668D">
              <w:rPr>
                <w:b/>
                <w:sz w:val="24"/>
                <w:szCs w:val="24"/>
              </w:rPr>
              <w:t xml:space="preserve"> </w:t>
            </w:r>
            <w:r w:rsidR="009A6349">
              <w:rPr>
                <w:b/>
                <w:sz w:val="24"/>
                <w:szCs w:val="24"/>
              </w:rPr>
              <w:t>UIT-R</w:t>
            </w:r>
            <w:r w:rsidR="00DD1B27">
              <w:rPr>
                <w:b/>
                <w:sz w:val="24"/>
                <w:szCs w:val="24"/>
              </w:rPr>
              <w:t xml:space="preserve"> </w:t>
            </w:r>
            <w:r w:rsidR="00CE6299" w:rsidRPr="007E668D">
              <w:rPr>
                <w:b/>
                <w:sz w:val="24"/>
                <w:szCs w:val="24"/>
              </w:rPr>
              <w:t>y su aprobación simultánea por correspondencia de conformidad con el § 10.3 de la Resolución UIT</w:t>
            </w:r>
            <w:r w:rsidR="00CE6299" w:rsidRPr="007E668D">
              <w:rPr>
                <w:b/>
                <w:sz w:val="24"/>
                <w:szCs w:val="24"/>
              </w:rPr>
              <w:noBreakHyphen/>
              <w:t>R 1</w:t>
            </w:r>
            <w:r w:rsidR="00CE6299" w:rsidRPr="007E668D">
              <w:rPr>
                <w:b/>
                <w:sz w:val="24"/>
                <w:szCs w:val="24"/>
              </w:rPr>
              <w:noBreakHyphen/>
              <w:t>6 (Procedimiento para la adopción y aprobación simultánea por correspondencia)</w:t>
            </w:r>
          </w:p>
          <w:p w:rsidR="00CD0E47" w:rsidRPr="007E668D" w:rsidRDefault="00CD0E47" w:rsidP="009A6349">
            <w:pPr>
              <w:tabs>
                <w:tab w:val="left" w:pos="459"/>
              </w:tabs>
              <w:spacing w:before="0"/>
              <w:ind w:left="459" w:hanging="459"/>
              <w:jc w:val="left"/>
              <w:rPr>
                <w:b/>
                <w:bCs/>
                <w:sz w:val="24"/>
                <w:szCs w:val="24"/>
              </w:rPr>
            </w:pPr>
            <w:r w:rsidRPr="007E668D">
              <w:rPr>
                <w:sz w:val="24"/>
                <w:szCs w:val="24"/>
              </w:rPr>
              <w:t>–</w:t>
            </w:r>
            <w:r w:rsidRPr="007E668D">
              <w:rPr>
                <w:b/>
                <w:bCs/>
                <w:sz w:val="24"/>
                <w:szCs w:val="24"/>
              </w:rPr>
              <w:tab/>
            </w:r>
            <w:r w:rsidR="009A6349" w:rsidRPr="007E668D">
              <w:rPr>
                <w:b/>
                <w:bCs/>
                <w:sz w:val="24"/>
                <w:szCs w:val="24"/>
              </w:rPr>
              <w:t xml:space="preserve">Propuesta </w:t>
            </w:r>
            <w:r w:rsidR="009A6349">
              <w:rPr>
                <w:b/>
                <w:bCs/>
                <w:sz w:val="24"/>
                <w:szCs w:val="24"/>
              </w:rPr>
              <w:t xml:space="preserve">de aprobación </w:t>
            </w:r>
            <w:r w:rsidR="002C54C3" w:rsidRPr="007E668D">
              <w:rPr>
                <w:b/>
                <w:bCs/>
                <w:sz w:val="24"/>
                <w:szCs w:val="24"/>
              </w:rPr>
              <w:t xml:space="preserve">de supresión de </w:t>
            </w:r>
            <w:r w:rsidR="00383CAE" w:rsidRPr="007E668D">
              <w:rPr>
                <w:b/>
                <w:bCs/>
                <w:sz w:val="24"/>
                <w:szCs w:val="24"/>
              </w:rPr>
              <w:t>1 Cuestión</w:t>
            </w:r>
            <w:r w:rsidR="002C54C3" w:rsidRPr="007E668D">
              <w:rPr>
                <w:b/>
                <w:bCs/>
                <w:sz w:val="24"/>
                <w:szCs w:val="24"/>
              </w:rPr>
              <w:t xml:space="preserve"> UIT-R</w:t>
            </w:r>
          </w:p>
        </w:tc>
      </w:tr>
      <w:tr w:rsidR="00CD0E47" w:rsidRPr="007E668D" w:rsidTr="00471EDA">
        <w:tc>
          <w:tcPr>
            <w:tcW w:w="1526" w:type="dxa"/>
            <w:gridSpan w:val="2"/>
            <w:shd w:val="clear" w:color="auto" w:fill="auto"/>
          </w:tcPr>
          <w:p w:rsidR="00CD0E47" w:rsidRPr="007E668D" w:rsidRDefault="00CD0E47" w:rsidP="00CD0E47">
            <w:pPr>
              <w:spacing w:before="0"/>
              <w:jc w:val="left"/>
              <w:rPr>
                <w:b/>
                <w:bCs/>
                <w:sz w:val="24"/>
                <w:szCs w:val="24"/>
              </w:rPr>
            </w:pPr>
          </w:p>
        </w:tc>
        <w:tc>
          <w:tcPr>
            <w:tcW w:w="8363" w:type="dxa"/>
            <w:gridSpan w:val="3"/>
            <w:vMerge/>
            <w:shd w:val="clear" w:color="auto" w:fill="auto"/>
          </w:tcPr>
          <w:p w:rsidR="00CD0E47" w:rsidRPr="007E668D" w:rsidRDefault="00CD0E47" w:rsidP="00CD0E47">
            <w:pPr>
              <w:spacing w:before="0"/>
              <w:rPr>
                <w:b/>
                <w:bCs/>
                <w:sz w:val="24"/>
                <w:szCs w:val="24"/>
              </w:rPr>
            </w:pPr>
          </w:p>
        </w:tc>
      </w:tr>
      <w:tr w:rsidR="00CD0E47" w:rsidRPr="007E668D" w:rsidTr="00471EDA">
        <w:tc>
          <w:tcPr>
            <w:tcW w:w="1526" w:type="dxa"/>
            <w:gridSpan w:val="2"/>
            <w:shd w:val="clear" w:color="auto" w:fill="auto"/>
          </w:tcPr>
          <w:p w:rsidR="00CD0E47" w:rsidRPr="007E668D" w:rsidRDefault="00CD0E47" w:rsidP="00CD0E47">
            <w:pPr>
              <w:spacing w:before="0"/>
              <w:jc w:val="left"/>
              <w:rPr>
                <w:b/>
                <w:bCs/>
                <w:sz w:val="24"/>
                <w:szCs w:val="24"/>
              </w:rPr>
            </w:pPr>
          </w:p>
        </w:tc>
        <w:tc>
          <w:tcPr>
            <w:tcW w:w="8363" w:type="dxa"/>
            <w:gridSpan w:val="3"/>
            <w:vMerge/>
            <w:shd w:val="clear" w:color="auto" w:fill="auto"/>
          </w:tcPr>
          <w:p w:rsidR="00CD0E47" w:rsidRPr="007E668D" w:rsidRDefault="00CD0E47" w:rsidP="00CD0E47">
            <w:pPr>
              <w:spacing w:before="0"/>
              <w:rPr>
                <w:b/>
                <w:bCs/>
                <w:sz w:val="24"/>
                <w:szCs w:val="24"/>
              </w:rPr>
            </w:pPr>
          </w:p>
        </w:tc>
      </w:tr>
      <w:tr w:rsidR="00CD0E47" w:rsidRPr="007E668D" w:rsidTr="00471EDA">
        <w:tc>
          <w:tcPr>
            <w:tcW w:w="9889" w:type="dxa"/>
            <w:gridSpan w:val="5"/>
            <w:shd w:val="clear" w:color="auto" w:fill="auto"/>
          </w:tcPr>
          <w:p w:rsidR="00CD0E47" w:rsidRPr="007E668D" w:rsidRDefault="00CD0E47" w:rsidP="00CD0E47">
            <w:pPr>
              <w:spacing w:before="0"/>
              <w:jc w:val="left"/>
              <w:rPr>
                <w:b/>
                <w:bCs/>
                <w:sz w:val="24"/>
                <w:szCs w:val="24"/>
              </w:rPr>
            </w:pPr>
          </w:p>
        </w:tc>
      </w:tr>
    </w:tbl>
    <w:p w:rsidR="00CE6299" w:rsidRPr="007E668D" w:rsidRDefault="00CE6299" w:rsidP="00AE6772">
      <w:pPr>
        <w:spacing w:before="600"/>
        <w:rPr>
          <w:sz w:val="24"/>
          <w:szCs w:val="24"/>
        </w:rPr>
      </w:pPr>
      <w:r w:rsidRPr="007E668D">
        <w:rPr>
          <w:sz w:val="24"/>
          <w:szCs w:val="24"/>
        </w:rPr>
        <w:t xml:space="preserve">En la reunión de la Comisión de Estudio </w:t>
      </w:r>
      <w:r w:rsidR="007E0D0C" w:rsidRPr="007E668D">
        <w:rPr>
          <w:sz w:val="24"/>
          <w:szCs w:val="24"/>
        </w:rPr>
        <w:t>5</w:t>
      </w:r>
      <w:r w:rsidRPr="007E668D">
        <w:rPr>
          <w:sz w:val="24"/>
          <w:szCs w:val="24"/>
        </w:rPr>
        <w:t xml:space="preserve"> de Radiocomunicaciones celebrada del </w:t>
      </w:r>
      <w:r w:rsidR="007E0D0C" w:rsidRPr="007E668D">
        <w:rPr>
          <w:sz w:val="24"/>
          <w:szCs w:val="24"/>
        </w:rPr>
        <w:t>10</w:t>
      </w:r>
      <w:r w:rsidRPr="007E668D">
        <w:rPr>
          <w:sz w:val="24"/>
          <w:szCs w:val="24"/>
        </w:rPr>
        <w:t xml:space="preserve"> al </w:t>
      </w:r>
      <w:r w:rsidR="007E0D0C" w:rsidRPr="007E668D">
        <w:rPr>
          <w:sz w:val="24"/>
          <w:szCs w:val="24"/>
        </w:rPr>
        <w:t xml:space="preserve">11 </w:t>
      </w:r>
      <w:r w:rsidRPr="007E668D">
        <w:rPr>
          <w:sz w:val="24"/>
          <w:szCs w:val="24"/>
        </w:rPr>
        <w:t xml:space="preserve">de </w:t>
      </w:r>
      <w:r w:rsidR="007E0D0C" w:rsidRPr="007E668D">
        <w:rPr>
          <w:sz w:val="24"/>
          <w:szCs w:val="24"/>
        </w:rPr>
        <w:t>noviembre de</w:t>
      </w:r>
      <w:r w:rsidRPr="007E668D">
        <w:rPr>
          <w:sz w:val="24"/>
          <w:szCs w:val="24"/>
        </w:rPr>
        <w:t xml:space="preserve"> 201</w:t>
      </w:r>
      <w:r w:rsidR="007E0D0C" w:rsidRPr="007E668D">
        <w:rPr>
          <w:sz w:val="24"/>
          <w:szCs w:val="24"/>
        </w:rPr>
        <w:t>4</w:t>
      </w:r>
      <w:r w:rsidRPr="007E668D">
        <w:rPr>
          <w:sz w:val="24"/>
          <w:szCs w:val="24"/>
        </w:rPr>
        <w:t xml:space="preserve">, la Comisión de Estudio decidió solicitar la adopción de </w:t>
      </w:r>
      <w:r w:rsidR="007E0D0C" w:rsidRPr="007E668D">
        <w:rPr>
          <w:sz w:val="24"/>
          <w:szCs w:val="24"/>
        </w:rPr>
        <w:t>2 proyectos de nueva</w:t>
      </w:r>
      <w:r w:rsidRPr="007E668D">
        <w:rPr>
          <w:sz w:val="24"/>
          <w:szCs w:val="24"/>
        </w:rPr>
        <w:t xml:space="preserve"> Recomendación UIT-R</w:t>
      </w:r>
      <w:r w:rsidR="007375FD" w:rsidRPr="007E668D">
        <w:rPr>
          <w:sz w:val="24"/>
          <w:szCs w:val="24"/>
        </w:rPr>
        <w:t xml:space="preserve">, </w:t>
      </w:r>
      <w:r w:rsidRPr="007E668D">
        <w:rPr>
          <w:sz w:val="24"/>
          <w:szCs w:val="24"/>
        </w:rPr>
        <w:t xml:space="preserve">de </w:t>
      </w:r>
      <w:r w:rsidR="007375FD" w:rsidRPr="007E668D">
        <w:rPr>
          <w:sz w:val="24"/>
          <w:szCs w:val="24"/>
        </w:rPr>
        <w:t>10</w:t>
      </w:r>
      <w:r w:rsidRPr="007E668D">
        <w:rPr>
          <w:sz w:val="24"/>
          <w:szCs w:val="24"/>
        </w:rPr>
        <w:t xml:space="preserve"> proyectos de Recomendación </w:t>
      </w:r>
      <w:r w:rsidR="00F25AA4" w:rsidRPr="007E668D">
        <w:rPr>
          <w:sz w:val="24"/>
          <w:szCs w:val="24"/>
        </w:rPr>
        <w:t xml:space="preserve">UIT-R </w:t>
      </w:r>
      <w:r w:rsidRPr="007E668D">
        <w:rPr>
          <w:sz w:val="24"/>
          <w:szCs w:val="24"/>
        </w:rPr>
        <w:t xml:space="preserve">revisada </w:t>
      </w:r>
      <w:r w:rsidR="007375FD" w:rsidRPr="007E668D">
        <w:rPr>
          <w:sz w:val="24"/>
          <w:szCs w:val="24"/>
        </w:rPr>
        <w:t xml:space="preserve">y </w:t>
      </w:r>
      <w:r w:rsidR="007F1390">
        <w:rPr>
          <w:sz w:val="24"/>
          <w:szCs w:val="24"/>
        </w:rPr>
        <w:t xml:space="preserve">de </w:t>
      </w:r>
      <w:r w:rsidR="007375FD" w:rsidRPr="007E668D">
        <w:rPr>
          <w:sz w:val="24"/>
          <w:szCs w:val="24"/>
        </w:rPr>
        <w:t>1 proyecto de nueva Cuestión</w:t>
      </w:r>
      <w:r w:rsidR="007F1390">
        <w:rPr>
          <w:sz w:val="24"/>
          <w:szCs w:val="24"/>
        </w:rPr>
        <w:t xml:space="preserve"> UIT-R</w:t>
      </w:r>
      <w:r w:rsidR="007375FD" w:rsidRPr="007E668D">
        <w:rPr>
          <w:sz w:val="24"/>
          <w:szCs w:val="24"/>
        </w:rPr>
        <w:t xml:space="preserve"> </w:t>
      </w:r>
      <w:r w:rsidRPr="007E668D">
        <w:rPr>
          <w:sz w:val="24"/>
          <w:szCs w:val="24"/>
        </w:rPr>
        <w:t>por correspondencia (§ 10.2.3 de la Resolución UIT</w:t>
      </w:r>
      <w:r w:rsidRPr="007E668D">
        <w:rPr>
          <w:sz w:val="24"/>
          <w:szCs w:val="24"/>
        </w:rPr>
        <w:noBreakHyphen/>
        <w:t>R 1</w:t>
      </w:r>
      <w:r w:rsidRPr="007E668D">
        <w:rPr>
          <w:sz w:val="24"/>
          <w:szCs w:val="24"/>
        </w:rPr>
        <w:noBreakHyphen/>
        <w:t>6), y decidió además aplicar el</w:t>
      </w:r>
      <w:r w:rsidR="00AE6772" w:rsidRPr="007E668D">
        <w:rPr>
          <w:sz w:val="24"/>
          <w:szCs w:val="24"/>
        </w:rPr>
        <w:t> </w:t>
      </w:r>
      <w:r w:rsidRPr="007E668D">
        <w:rPr>
          <w:sz w:val="24"/>
          <w:szCs w:val="24"/>
        </w:rPr>
        <w:t>procedimiento de adopción y aprobación simultáneas por correspondencia (PAAS) (§ 10.3 de la</w:t>
      </w:r>
      <w:r w:rsidR="00AE6772" w:rsidRPr="007E668D">
        <w:rPr>
          <w:sz w:val="24"/>
          <w:szCs w:val="24"/>
        </w:rPr>
        <w:t> </w:t>
      </w:r>
      <w:r w:rsidRPr="007E668D">
        <w:rPr>
          <w:sz w:val="24"/>
          <w:szCs w:val="24"/>
        </w:rPr>
        <w:t>Resolución UIT</w:t>
      </w:r>
      <w:r w:rsidRPr="007E668D">
        <w:rPr>
          <w:sz w:val="24"/>
          <w:szCs w:val="24"/>
        </w:rPr>
        <w:noBreakHyphen/>
        <w:t>R 1</w:t>
      </w:r>
      <w:r w:rsidRPr="007E668D">
        <w:rPr>
          <w:sz w:val="24"/>
          <w:szCs w:val="24"/>
        </w:rPr>
        <w:noBreakHyphen/>
        <w:t xml:space="preserve">6). Los títulos y resúmenes de los proyectos de Recomendación </w:t>
      </w:r>
      <w:r w:rsidR="007375FD" w:rsidRPr="007E668D">
        <w:rPr>
          <w:sz w:val="24"/>
          <w:szCs w:val="24"/>
        </w:rPr>
        <w:t xml:space="preserve">y </w:t>
      </w:r>
      <w:r w:rsidR="00E2675E" w:rsidRPr="007E668D">
        <w:rPr>
          <w:sz w:val="24"/>
          <w:szCs w:val="24"/>
        </w:rPr>
        <w:t>el texto del</w:t>
      </w:r>
      <w:r w:rsidR="00AE6772" w:rsidRPr="007E668D">
        <w:rPr>
          <w:sz w:val="24"/>
          <w:szCs w:val="24"/>
        </w:rPr>
        <w:t> </w:t>
      </w:r>
      <w:r w:rsidR="007375FD" w:rsidRPr="007E668D">
        <w:rPr>
          <w:sz w:val="24"/>
          <w:szCs w:val="24"/>
        </w:rPr>
        <w:t xml:space="preserve">proyecto de Cuestión </w:t>
      </w:r>
      <w:r w:rsidRPr="007E668D">
        <w:rPr>
          <w:sz w:val="24"/>
          <w:szCs w:val="24"/>
        </w:rPr>
        <w:t>aparecen en el Anexo 1</w:t>
      </w:r>
      <w:r w:rsidR="007375FD" w:rsidRPr="007E668D">
        <w:rPr>
          <w:sz w:val="24"/>
          <w:szCs w:val="24"/>
        </w:rPr>
        <w:t xml:space="preserve"> y 2</w:t>
      </w:r>
      <w:r w:rsidRPr="007E668D">
        <w:rPr>
          <w:sz w:val="24"/>
          <w:szCs w:val="24"/>
        </w:rPr>
        <w:t>. Además, la Comisión de Estudio propuso la</w:t>
      </w:r>
      <w:r w:rsidR="00AE6772" w:rsidRPr="007E668D">
        <w:rPr>
          <w:sz w:val="24"/>
          <w:szCs w:val="24"/>
        </w:rPr>
        <w:t> </w:t>
      </w:r>
      <w:r w:rsidR="007375FD" w:rsidRPr="007E668D">
        <w:rPr>
          <w:sz w:val="24"/>
          <w:szCs w:val="24"/>
        </w:rPr>
        <w:t xml:space="preserve">aprobación de la </w:t>
      </w:r>
      <w:r w:rsidRPr="007E668D">
        <w:rPr>
          <w:sz w:val="24"/>
          <w:szCs w:val="24"/>
        </w:rPr>
        <w:t xml:space="preserve">supresión de </w:t>
      </w:r>
      <w:r w:rsidR="007375FD" w:rsidRPr="007E668D">
        <w:rPr>
          <w:sz w:val="24"/>
          <w:szCs w:val="24"/>
        </w:rPr>
        <w:t>1</w:t>
      </w:r>
      <w:r w:rsidRPr="007E668D">
        <w:rPr>
          <w:sz w:val="24"/>
          <w:szCs w:val="24"/>
        </w:rPr>
        <w:t xml:space="preserve"> </w:t>
      </w:r>
      <w:r w:rsidR="007375FD" w:rsidRPr="007E668D">
        <w:rPr>
          <w:sz w:val="24"/>
          <w:szCs w:val="24"/>
        </w:rPr>
        <w:t xml:space="preserve">Cuestión UIT-R </w:t>
      </w:r>
      <w:r w:rsidRPr="007E668D">
        <w:rPr>
          <w:sz w:val="24"/>
          <w:szCs w:val="24"/>
        </w:rPr>
        <w:t>que figura</w:t>
      </w:r>
      <w:r w:rsidR="007375FD" w:rsidRPr="007E668D">
        <w:rPr>
          <w:sz w:val="24"/>
          <w:szCs w:val="24"/>
        </w:rPr>
        <w:t xml:space="preserve"> </w:t>
      </w:r>
      <w:r w:rsidRPr="007E668D">
        <w:rPr>
          <w:sz w:val="24"/>
          <w:szCs w:val="24"/>
        </w:rPr>
        <w:t xml:space="preserve">en el Anexo </w:t>
      </w:r>
      <w:r w:rsidR="007375FD" w:rsidRPr="007E668D">
        <w:rPr>
          <w:sz w:val="24"/>
          <w:szCs w:val="24"/>
        </w:rPr>
        <w:t>3</w:t>
      </w:r>
      <w:r w:rsidRPr="007E668D">
        <w:rPr>
          <w:sz w:val="24"/>
          <w:szCs w:val="24"/>
        </w:rPr>
        <w:t>.</w:t>
      </w:r>
    </w:p>
    <w:p w:rsidR="00CE6299" w:rsidRPr="007E668D" w:rsidRDefault="00CE6299" w:rsidP="00191581">
      <w:pPr>
        <w:rPr>
          <w:sz w:val="24"/>
          <w:szCs w:val="24"/>
        </w:rPr>
      </w:pPr>
      <w:r w:rsidRPr="007E668D">
        <w:rPr>
          <w:sz w:val="24"/>
          <w:szCs w:val="24"/>
        </w:rPr>
        <w:t xml:space="preserve">El periodo de consideración se extenderá durante 2 meses finalizando el </w:t>
      </w:r>
      <w:r w:rsidR="00191581">
        <w:rPr>
          <w:sz w:val="24"/>
          <w:szCs w:val="24"/>
          <w:u w:val="single"/>
        </w:rPr>
        <w:t>2</w:t>
      </w:r>
      <w:r w:rsidR="00F51EA2">
        <w:rPr>
          <w:sz w:val="24"/>
          <w:szCs w:val="24"/>
          <w:u w:val="single"/>
        </w:rPr>
        <w:t xml:space="preserve"> de febrero</w:t>
      </w:r>
      <w:r w:rsidR="006622D7" w:rsidRPr="007E668D">
        <w:rPr>
          <w:sz w:val="24"/>
          <w:szCs w:val="24"/>
          <w:u w:val="single"/>
        </w:rPr>
        <w:t xml:space="preserve"> </w:t>
      </w:r>
      <w:r w:rsidRPr="007E668D">
        <w:rPr>
          <w:sz w:val="24"/>
          <w:szCs w:val="24"/>
          <w:u w:val="single"/>
        </w:rPr>
        <w:t>de 201</w:t>
      </w:r>
      <w:r w:rsidR="006622D7" w:rsidRPr="007E668D">
        <w:rPr>
          <w:sz w:val="24"/>
          <w:szCs w:val="24"/>
          <w:u w:val="single"/>
        </w:rPr>
        <w:t>5</w:t>
      </w:r>
      <w:r w:rsidRPr="007E668D">
        <w:rPr>
          <w:sz w:val="24"/>
          <w:szCs w:val="24"/>
        </w:rPr>
        <w:t>. Si</w:t>
      </w:r>
      <w:r w:rsidR="00AE6772" w:rsidRPr="007E668D">
        <w:rPr>
          <w:sz w:val="24"/>
          <w:szCs w:val="24"/>
        </w:rPr>
        <w:t> </w:t>
      </w:r>
      <w:r w:rsidRPr="007E668D">
        <w:rPr>
          <w:sz w:val="24"/>
          <w:szCs w:val="24"/>
        </w:rPr>
        <w:t>durante este periodo no se reciben objeciones de los Estados Miembros, se considerará que los</w:t>
      </w:r>
      <w:r w:rsidR="00AE6772" w:rsidRPr="007E668D">
        <w:rPr>
          <w:sz w:val="24"/>
          <w:szCs w:val="24"/>
        </w:rPr>
        <w:t> </w:t>
      </w:r>
      <w:r w:rsidRPr="007E668D">
        <w:rPr>
          <w:sz w:val="24"/>
          <w:szCs w:val="24"/>
        </w:rPr>
        <w:t xml:space="preserve">proyectos de Recomendación </w:t>
      </w:r>
      <w:r w:rsidR="006A6A75" w:rsidRPr="007E668D">
        <w:rPr>
          <w:sz w:val="24"/>
          <w:szCs w:val="24"/>
        </w:rPr>
        <w:t xml:space="preserve">y el proyecto de Cuestión </w:t>
      </w:r>
      <w:r w:rsidRPr="007E668D">
        <w:rPr>
          <w:sz w:val="24"/>
          <w:szCs w:val="24"/>
        </w:rPr>
        <w:t>serán adoptados por la Comisión de Estudio </w:t>
      </w:r>
      <w:r w:rsidR="006A6A75" w:rsidRPr="007E668D">
        <w:rPr>
          <w:sz w:val="24"/>
          <w:szCs w:val="24"/>
        </w:rPr>
        <w:t>5</w:t>
      </w:r>
      <w:r w:rsidRPr="007E668D">
        <w:rPr>
          <w:sz w:val="24"/>
          <w:szCs w:val="24"/>
        </w:rPr>
        <w:t xml:space="preserve">. Además, como se ha seguido el PAAS, los proyectos de Recomendación </w:t>
      </w:r>
      <w:r w:rsidR="00251036" w:rsidRPr="007E668D">
        <w:rPr>
          <w:sz w:val="24"/>
          <w:szCs w:val="24"/>
        </w:rPr>
        <w:t xml:space="preserve">y el proyecto de Cuestión </w:t>
      </w:r>
      <w:r w:rsidRPr="007E668D">
        <w:rPr>
          <w:sz w:val="24"/>
          <w:szCs w:val="24"/>
        </w:rPr>
        <w:t>también se considerarán aprobados.</w:t>
      </w:r>
    </w:p>
    <w:p w:rsidR="00CE6299" w:rsidRPr="007E668D" w:rsidRDefault="00CE6299" w:rsidP="00251036">
      <w:pPr>
        <w:rPr>
          <w:sz w:val="24"/>
          <w:szCs w:val="24"/>
        </w:rPr>
      </w:pPr>
      <w:r w:rsidRPr="007E668D">
        <w:rPr>
          <w:sz w:val="24"/>
          <w:szCs w:val="24"/>
        </w:rPr>
        <w:t>Todo Estado Miembro que tenga una objeción a la adopción de un proyecto de Recomendación</w:t>
      </w:r>
      <w:r w:rsidR="00251036" w:rsidRPr="007E668D">
        <w:rPr>
          <w:sz w:val="24"/>
          <w:szCs w:val="24"/>
        </w:rPr>
        <w:t xml:space="preserve">/proyecto de Cuestión o </w:t>
      </w:r>
      <w:r w:rsidR="00191581">
        <w:rPr>
          <w:sz w:val="24"/>
          <w:szCs w:val="24"/>
        </w:rPr>
        <w:t xml:space="preserve">a la </w:t>
      </w:r>
      <w:r w:rsidR="00251036" w:rsidRPr="007E668D">
        <w:rPr>
          <w:sz w:val="24"/>
          <w:szCs w:val="24"/>
        </w:rPr>
        <w:t xml:space="preserve">aprobación de la supresión de una Recomendación/Cuestión </w:t>
      </w:r>
      <w:r w:rsidRPr="007E668D">
        <w:rPr>
          <w:sz w:val="24"/>
          <w:szCs w:val="24"/>
        </w:rPr>
        <w:t>debe informar al Director y al Presidente de la Comisión de Estudio de los motivos de dicha objeción.</w:t>
      </w:r>
    </w:p>
    <w:p w:rsidR="00CE6299" w:rsidRPr="007E668D" w:rsidRDefault="00CE6299" w:rsidP="00251036">
      <w:pPr>
        <w:rPr>
          <w:sz w:val="24"/>
          <w:szCs w:val="24"/>
        </w:rPr>
      </w:pPr>
      <w:r w:rsidRPr="007E668D">
        <w:rPr>
          <w:sz w:val="24"/>
          <w:szCs w:val="24"/>
        </w:rPr>
        <w:t>Tras la fecha límite mencionada, los resultados del PAAS se comunicarán mediante Circular Administrativa y las</w:t>
      </w:r>
      <w:r w:rsidR="00251036" w:rsidRPr="007E668D">
        <w:rPr>
          <w:sz w:val="24"/>
          <w:szCs w:val="24"/>
        </w:rPr>
        <w:t xml:space="preserve"> Recomendacio</w:t>
      </w:r>
      <w:r w:rsidRPr="007E668D">
        <w:rPr>
          <w:sz w:val="24"/>
          <w:szCs w:val="24"/>
        </w:rPr>
        <w:t xml:space="preserve">nes </w:t>
      </w:r>
      <w:r w:rsidR="00251036" w:rsidRPr="007E668D">
        <w:rPr>
          <w:sz w:val="24"/>
          <w:szCs w:val="24"/>
        </w:rPr>
        <w:t xml:space="preserve">y la Cuestión </w:t>
      </w:r>
      <w:r w:rsidRPr="007E668D">
        <w:rPr>
          <w:sz w:val="24"/>
          <w:szCs w:val="24"/>
        </w:rPr>
        <w:t xml:space="preserve">aprobadas se publicarán tan pronto como sea posible (véase </w:t>
      </w:r>
      <w:hyperlink r:id="rId8" w:history="1">
        <w:r w:rsidRPr="007E668D">
          <w:rPr>
            <w:color w:val="0000FF"/>
            <w:sz w:val="24"/>
            <w:szCs w:val="24"/>
            <w:u w:val="single"/>
          </w:rPr>
          <w:t>http://www.itu.int/pub/R-REC</w:t>
        </w:r>
      </w:hyperlink>
      <w:r w:rsidR="007F1390">
        <w:rPr>
          <w:sz w:val="24"/>
          <w:szCs w:val="24"/>
        </w:rPr>
        <w:t xml:space="preserve"> y </w:t>
      </w:r>
      <w:hyperlink r:id="rId9" w:history="1">
        <w:r w:rsidR="007F1390" w:rsidRPr="007F1390">
          <w:rPr>
            <w:rStyle w:val="Hyperlink"/>
            <w:sz w:val="24"/>
            <w:szCs w:val="24"/>
          </w:rPr>
          <w:t>http://www.itu.int/pub/R-QUE-SG05/en</w:t>
        </w:r>
      </w:hyperlink>
      <w:r w:rsidR="007F1390" w:rsidRPr="007F1390">
        <w:rPr>
          <w:sz w:val="24"/>
          <w:szCs w:val="24"/>
        </w:rPr>
        <w:t>).</w:t>
      </w:r>
    </w:p>
    <w:p w:rsidR="00CE6299" w:rsidRPr="007E668D" w:rsidRDefault="00CE6299" w:rsidP="00CE6299">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7E668D">
        <w:rPr>
          <w:sz w:val="24"/>
          <w:szCs w:val="24"/>
        </w:rPr>
        <w:br w:type="page"/>
      </w:r>
    </w:p>
    <w:p w:rsidR="00CE6299" w:rsidRPr="007E668D" w:rsidRDefault="00CE6299" w:rsidP="00B864C8">
      <w:pPr>
        <w:rPr>
          <w:sz w:val="24"/>
          <w:szCs w:val="24"/>
        </w:rPr>
      </w:pPr>
      <w:r w:rsidRPr="007E668D">
        <w:rPr>
          <w:sz w:val="24"/>
          <w:szCs w:val="24"/>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w:t>
      </w:r>
      <w:r w:rsidR="00E010B8" w:rsidRPr="007E668D">
        <w:rPr>
          <w:sz w:val="24"/>
          <w:szCs w:val="24"/>
        </w:rPr>
        <w:noBreakHyphen/>
      </w:r>
      <w:r w:rsidRPr="007E668D">
        <w:rPr>
          <w:sz w:val="24"/>
          <w:szCs w:val="24"/>
        </w:rPr>
        <w:t>T/UIT</w:t>
      </w:r>
      <w:r w:rsidR="00E010B8" w:rsidRPr="007E668D">
        <w:rPr>
          <w:sz w:val="24"/>
          <w:szCs w:val="24"/>
        </w:rPr>
        <w:noBreakHyphen/>
      </w:r>
      <w:r w:rsidRPr="007E668D">
        <w:rPr>
          <w:sz w:val="24"/>
          <w:szCs w:val="24"/>
        </w:rPr>
        <w:t>R/ISO/CEI puede consultarse en</w:t>
      </w:r>
      <w:r w:rsidR="00A9747B" w:rsidRPr="007E668D">
        <w:rPr>
          <w:sz w:val="24"/>
          <w:szCs w:val="24"/>
        </w:rPr>
        <w:t>:</w:t>
      </w:r>
      <w:r w:rsidRPr="007E668D">
        <w:rPr>
          <w:sz w:val="24"/>
          <w:szCs w:val="24"/>
        </w:rPr>
        <w:t xml:space="preserve"> </w:t>
      </w:r>
      <w:hyperlink r:id="rId10" w:history="1">
        <w:r w:rsidR="000C4E7D" w:rsidRPr="007E668D">
          <w:rPr>
            <w:rStyle w:val="Hyperlink"/>
            <w:sz w:val="24"/>
            <w:szCs w:val="24"/>
          </w:rPr>
          <w:t>http://www.itu.int/en/ITU-T/ipr/Pages/policy.aspx</w:t>
        </w:r>
      </w:hyperlink>
      <w:r w:rsidRPr="007E668D">
        <w:rPr>
          <w:sz w:val="24"/>
          <w:szCs w:val="24"/>
        </w:rPr>
        <w:t>.</w:t>
      </w:r>
    </w:p>
    <w:p w:rsidR="00CE6299" w:rsidRPr="007E668D" w:rsidRDefault="00CE6299" w:rsidP="003C7CC3">
      <w:pPr>
        <w:tabs>
          <w:tab w:val="clear" w:pos="794"/>
          <w:tab w:val="clear" w:pos="1191"/>
          <w:tab w:val="clear" w:pos="1588"/>
          <w:tab w:val="clear" w:pos="1985"/>
        </w:tabs>
        <w:spacing w:before="1440"/>
        <w:jc w:val="left"/>
        <w:rPr>
          <w:sz w:val="24"/>
          <w:szCs w:val="24"/>
        </w:rPr>
      </w:pPr>
      <w:r w:rsidRPr="007E668D">
        <w:rPr>
          <w:sz w:val="24"/>
          <w:szCs w:val="24"/>
        </w:rPr>
        <w:t>François Rancy</w:t>
      </w:r>
      <w:r w:rsidRPr="007E668D">
        <w:rPr>
          <w:sz w:val="24"/>
          <w:szCs w:val="24"/>
        </w:rPr>
        <w:br/>
      </w:r>
      <w:r w:rsidR="000C4E7D" w:rsidRPr="007E668D">
        <w:rPr>
          <w:sz w:val="24"/>
          <w:szCs w:val="24"/>
        </w:rPr>
        <w:t>Director</w:t>
      </w:r>
    </w:p>
    <w:p w:rsidR="00CE6299" w:rsidRPr="007E668D" w:rsidRDefault="00CE6299" w:rsidP="003C7CC3">
      <w:pPr>
        <w:spacing w:before="1320"/>
        <w:jc w:val="left"/>
        <w:rPr>
          <w:sz w:val="24"/>
          <w:szCs w:val="24"/>
        </w:rPr>
      </w:pPr>
      <w:r w:rsidRPr="007E668D">
        <w:rPr>
          <w:b/>
          <w:bCs/>
          <w:sz w:val="24"/>
          <w:szCs w:val="24"/>
        </w:rPr>
        <w:t>Anexo 1</w:t>
      </w:r>
      <w:r w:rsidRPr="007E668D">
        <w:rPr>
          <w:sz w:val="24"/>
          <w:szCs w:val="24"/>
        </w:rPr>
        <w:t xml:space="preserve">: </w:t>
      </w:r>
      <w:r w:rsidR="000C4E7D" w:rsidRPr="007E668D">
        <w:rPr>
          <w:sz w:val="24"/>
          <w:szCs w:val="24"/>
        </w:rPr>
        <w:tab/>
      </w:r>
      <w:r w:rsidR="00290AEE" w:rsidRPr="007E668D">
        <w:rPr>
          <w:sz w:val="24"/>
          <w:szCs w:val="24"/>
        </w:rPr>
        <w:tab/>
      </w:r>
      <w:r w:rsidR="003C7CC3" w:rsidRPr="007E668D">
        <w:rPr>
          <w:sz w:val="24"/>
          <w:szCs w:val="24"/>
        </w:rPr>
        <w:t>Título</w:t>
      </w:r>
      <w:r w:rsidRPr="007E668D">
        <w:rPr>
          <w:sz w:val="24"/>
          <w:szCs w:val="24"/>
        </w:rPr>
        <w:t>s y res</w:t>
      </w:r>
      <w:r w:rsidR="003C7CC3" w:rsidRPr="007E668D">
        <w:rPr>
          <w:sz w:val="24"/>
          <w:szCs w:val="24"/>
        </w:rPr>
        <w:t>ú</w:t>
      </w:r>
      <w:r w:rsidRPr="007E668D">
        <w:rPr>
          <w:sz w:val="24"/>
          <w:szCs w:val="24"/>
        </w:rPr>
        <w:t>menes de los proyectos de Recomendación</w:t>
      </w:r>
    </w:p>
    <w:p w:rsidR="003C7CC3" w:rsidRPr="007E668D" w:rsidRDefault="00CE6299" w:rsidP="000C4E7D">
      <w:pPr>
        <w:jc w:val="left"/>
        <w:rPr>
          <w:sz w:val="24"/>
          <w:szCs w:val="24"/>
        </w:rPr>
      </w:pPr>
      <w:r w:rsidRPr="007E668D">
        <w:rPr>
          <w:b/>
          <w:bCs/>
          <w:sz w:val="24"/>
          <w:szCs w:val="24"/>
        </w:rPr>
        <w:t>Anexo 2</w:t>
      </w:r>
      <w:r w:rsidRPr="007E668D">
        <w:rPr>
          <w:sz w:val="24"/>
          <w:szCs w:val="24"/>
        </w:rPr>
        <w:t>:</w:t>
      </w:r>
      <w:r w:rsidR="000C4E7D" w:rsidRPr="007E668D">
        <w:rPr>
          <w:sz w:val="24"/>
          <w:szCs w:val="24"/>
        </w:rPr>
        <w:tab/>
      </w:r>
      <w:r w:rsidR="00290AEE" w:rsidRPr="007E668D">
        <w:rPr>
          <w:sz w:val="24"/>
          <w:szCs w:val="24"/>
        </w:rPr>
        <w:tab/>
      </w:r>
      <w:r w:rsidR="003C7CC3" w:rsidRPr="007E668D">
        <w:rPr>
          <w:sz w:val="24"/>
          <w:szCs w:val="24"/>
        </w:rPr>
        <w:t>Proyecto de nueva Cuestión</w:t>
      </w:r>
      <w:r w:rsidR="002C6790">
        <w:rPr>
          <w:sz w:val="24"/>
          <w:szCs w:val="24"/>
        </w:rPr>
        <w:t xml:space="preserve"> UIT-R</w:t>
      </w:r>
    </w:p>
    <w:p w:rsidR="00CE6299" w:rsidRPr="007E668D" w:rsidRDefault="003C7CC3" w:rsidP="003C7CC3">
      <w:pPr>
        <w:jc w:val="left"/>
        <w:rPr>
          <w:sz w:val="24"/>
          <w:szCs w:val="24"/>
        </w:rPr>
      </w:pPr>
      <w:r w:rsidRPr="007E668D">
        <w:rPr>
          <w:b/>
          <w:bCs/>
          <w:sz w:val="24"/>
          <w:szCs w:val="24"/>
        </w:rPr>
        <w:t>Anexo 3:</w:t>
      </w:r>
      <w:r w:rsidRPr="007E668D">
        <w:rPr>
          <w:b/>
          <w:bCs/>
          <w:sz w:val="24"/>
          <w:szCs w:val="24"/>
        </w:rPr>
        <w:tab/>
      </w:r>
      <w:r w:rsidRPr="007E668D">
        <w:rPr>
          <w:b/>
          <w:bCs/>
          <w:sz w:val="24"/>
          <w:szCs w:val="24"/>
        </w:rPr>
        <w:tab/>
      </w:r>
      <w:r w:rsidRPr="007E668D">
        <w:rPr>
          <w:sz w:val="24"/>
          <w:szCs w:val="24"/>
        </w:rPr>
        <w:t>Cuestión</w:t>
      </w:r>
      <w:r w:rsidR="00CE6299" w:rsidRPr="007E668D">
        <w:rPr>
          <w:sz w:val="24"/>
          <w:szCs w:val="24"/>
        </w:rPr>
        <w:t xml:space="preserve"> cuya supresión se propone</w:t>
      </w:r>
    </w:p>
    <w:p w:rsidR="00CE6299" w:rsidRPr="007E668D" w:rsidRDefault="00C8247A" w:rsidP="00C8247A">
      <w:pPr>
        <w:ind w:left="1588" w:hanging="1588"/>
        <w:jc w:val="left"/>
        <w:rPr>
          <w:sz w:val="24"/>
          <w:szCs w:val="24"/>
        </w:rPr>
      </w:pPr>
      <w:r w:rsidRPr="007E668D">
        <w:rPr>
          <w:b/>
          <w:bCs/>
          <w:sz w:val="24"/>
          <w:szCs w:val="24"/>
        </w:rPr>
        <w:t>Documento</w:t>
      </w:r>
      <w:r w:rsidR="00CE6299" w:rsidRPr="007E668D">
        <w:rPr>
          <w:b/>
          <w:bCs/>
          <w:sz w:val="24"/>
          <w:szCs w:val="24"/>
        </w:rPr>
        <w:t>s</w:t>
      </w:r>
      <w:r w:rsidR="00CE6299" w:rsidRPr="007E668D">
        <w:rPr>
          <w:sz w:val="24"/>
          <w:szCs w:val="24"/>
        </w:rPr>
        <w:t>:</w:t>
      </w:r>
      <w:r w:rsidR="000C4E7D" w:rsidRPr="007E668D">
        <w:rPr>
          <w:sz w:val="24"/>
          <w:szCs w:val="24"/>
        </w:rPr>
        <w:tab/>
      </w:r>
      <w:r w:rsidR="00CE6299" w:rsidRPr="007E668D">
        <w:rPr>
          <w:sz w:val="24"/>
          <w:szCs w:val="24"/>
        </w:rPr>
        <w:t xml:space="preserve">Documento </w:t>
      </w:r>
      <w:r w:rsidRPr="007E668D">
        <w:rPr>
          <w:sz w:val="24"/>
          <w:szCs w:val="24"/>
        </w:rPr>
        <w:t>5/134(Rev.1), 5/148(Rev.1), 5/150(Rev.1), 5/151(Rev.1), 5/152(Rev.1), 5/153(Rev.1), 5/160(Rev.1), 5/161(Rev.1), 5/166(Rev.1), 5/177(Rev.1), 5/179(Rev.1) y 5/184(Rev.1)</w:t>
      </w:r>
    </w:p>
    <w:p w:rsidR="00CE6299" w:rsidRPr="007E668D" w:rsidRDefault="00CE6299" w:rsidP="00CE6299">
      <w:pPr>
        <w:jc w:val="left"/>
        <w:rPr>
          <w:sz w:val="24"/>
          <w:szCs w:val="24"/>
          <w:u w:val="single"/>
        </w:rPr>
      </w:pPr>
      <w:bookmarkStart w:id="6" w:name="_GoBack"/>
      <w:r w:rsidRPr="00191581">
        <w:rPr>
          <w:sz w:val="24"/>
          <w:szCs w:val="24"/>
        </w:rPr>
        <w:t>Esta documentación está disponible en versión electrónica en la dirección</w:t>
      </w:r>
      <w:r w:rsidR="000C4E7D" w:rsidRPr="00191581">
        <w:rPr>
          <w:sz w:val="24"/>
          <w:szCs w:val="24"/>
        </w:rPr>
        <w:t>:</w:t>
      </w:r>
      <w:r w:rsidR="0071418A" w:rsidRPr="007E668D">
        <w:rPr>
          <w:sz w:val="24"/>
          <w:szCs w:val="24"/>
        </w:rPr>
        <w:t xml:space="preserve"> </w:t>
      </w:r>
      <w:bookmarkEnd w:id="6"/>
      <w:r w:rsidR="00191581">
        <w:fldChar w:fldCharType="begin"/>
      </w:r>
      <w:r w:rsidR="00191581">
        <w:instrText xml:space="preserve"> HYPERLINK "http://www.itu.int/md/R12-SG05-C/en" </w:instrText>
      </w:r>
      <w:r w:rsidR="00191581">
        <w:fldChar w:fldCharType="separate"/>
      </w:r>
      <w:r w:rsidR="0071418A" w:rsidRPr="007E668D">
        <w:rPr>
          <w:rStyle w:val="Hyperlink"/>
          <w:sz w:val="24"/>
          <w:szCs w:val="24"/>
        </w:rPr>
        <w:t>http://www.itu.int/md/R12-SG05-C/en</w:t>
      </w:r>
      <w:r w:rsidR="00191581">
        <w:rPr>
          <w:rStyle w:val="Hyperlink"/>
          <w:sz w:val="24"/>
          <w:szCs w:val="24"/>
        </w:rPr>
        <w:fldChar w:fldCharType="end"/>
      </w:r>
      <w:r w:rsidR="0071418A" w:rsidRPr="007E668D">
        <w:rPr>
          <w:sz w:val="24"/>
          <w:szCs w:val="24"/>
        </w:rPr>
        <w:t>.</w:t>
      </w:r>
    </w:p>
    <w:p w:rsidR="00CE6299" w:rsidRPr="007E668D" w:rsidRDefault="00CE6299" w:rsidP="0071418A">
      <w:pPr>
        <w:tabs>
          <w:tab w:val="left" w:pos="284"/>
          <w:tab w:val="left" w:pos="568"/>
        </w:tabs>
        <w:spacing w:before="2160" w:after="60"/>
        <w:rPr>
          <w:b/>
          <w:bCs/>
          <w:sz w:val="18"/>
          <w:szCs w:val="18"/>
        </w:rPr>
      </w:pPr>
      <w:r w:rsidRPr="007E668D">
        <w:rPr>
          <w:b/>
          <w:bCs/>
          <w:sz w:val="18"/>
          <w:szCs w:val="18"/>
        </w:rPr>
        <w:t>Distribución:</w:t>
      </w:r>
    </w:p>
    <w:p w:rsidR="00CE6299" w:rsidRPr="007E668D" w:rsidRDefault="00CE6299" w:rsidP="00F51EA2">
      <w:pPr>
        <w:tabs>
          <w:tab w:val="left" w:pos="6237"/>
        </w:tabs>
        <w:spacing w:before="0" w:line="240" w:lineRule="auto"/>
        <w:ind w:left="284" w:hanging="284"/>
        <w:jc w:val="left"/>
        <w:rPr>
          <w:sz w:val="18"/>
          <w:szCs w:val="18"/>
        </w:rPr>
      </w:pPr>
      <w:r w:rsidRPr="007E668D">
        <w:rPr>
          <w:sz w:val="18"/>
          <w:szCs w:val="18"/>
        </w:rPr>
        <w:t>–</w:t>
      </w:r>
      <w:r w:rsidRPr="007E668D">
        <w:rPr>
          <w:sz w:val="18"/>
          <w:szCs w:val="18"/>
        </w:rPr>
        <w:tab/>
        <w:t xml:space="preserve">Administraciones de los Estados Miembros </w:t>
      </w:r>
      <w:r w:rsidR="00F852E7" w:rsidRPr="007E668D">
        <w:rPr>
          <w:sz w:val="18"/>
          <w:szCs w:val="18"/>
        </w:rPr>
        <w:t xml:space="preserve">de la UIT y </w:t>
      </w:r>
      <w:r w:rsidR="0099005E" w:rsidRPr="007E668D">
        <w:rPr>
          <w:sz w:val="18"/>
          <w:szCs w:val="18"/>
        </w:rPr>
        <w:t xml:space="preserve">Miembros </w:t>
      </w:r>
      <w:r w:rsidRPr="007E668D">
        <w:rPr>
          <w:sz w:val="18"/>
          <w:szCs w:val="18"/>
        </w:rPr>
        <w:t xml:space="preserve">del Sector de Radiocomunicaciones que participan en los trabajos de la Comisión de Estudio </w:t>
      </w:r>
      <w:r w:rsidR="0071418A" w:rsidRPr="007E668D">
        <w:rPr>
          <w:sz w:val="18"/>
          <w:szCs w:val="18"/>
        </w:rPr>
        <w:t>5</w:t>
      </w:r>
      <w:r w:rsidRPr="007E668D">
        <w:rPr>
          <w:sz w:val="18"/>
          <w:szCs w:val="18"/>
        </w:rPr>
        <w:t xml:space="preserve"> de Radiocomunicaciones </w:t>
      </w:r>
    </w:p>
    <w:p w:rsidR="00CE6299" w:rsidRPr="007E668D" w:rsidRDefault="00CE6299" w:rsidP="00F51EA2">
      <w:pPr>
        <w:tabs>
          <w:tab w:val="left" w:pos="6237"/>
        </w:tabs>
        <w:spacing w:before="0" w:line="240" w:lineRule="auto"/>
        <w:ind w:left="284" w:hanging="284"/>
        <w:jc w:val="left"/>
        <w:rPr>
          <w:sz w:val="18"/>
          <w:szCs w:val="18"/>
        </w:rPr>
      </w:pPr>
      <w:r w:rsidRPr="007E668D">
        <w:rPr>
          <w:sz w:val="18"/>
          <w:szCs w:val="18"/>
        </w:rPr>
        <w:t>–</w:t>
      </w:r>
      <w:r w:rsidRPr="007E668D">
        <w:rPr>
          <w:sz w:val="18"/>
          <w:szCs w:val="18"/>
        </w:rPr>
        <w:tab/>
        <w:t xml:space="preserve">Asociados del UIT-R que participan en los trabajos de la Comisión de Estudio </w:t>
      </w:r>
      <w:r w:rsidR="0071418A" w:rsidRPr="007E668D">
        <w:rPr>
          <w:sz w:val="18"/>
          <w:szCs w:val="18"/>
        </w:rPr>
        <w:t>5</w:t>
      </w:r>
      <w:r w:rsidRPr="007E668D">
        <w:rPr>
          <w:sz w:val="18"/>
          <w:szCs w:val="18"/>
        </w:rPr>
        <w:t xml:space="preserve"> de Radiocomunicaciones </w:t>
      </w:r>
    </w:p>
    <w:p w:rsidR="00CE6299" w:rsidRPr="007E668D" w:rsidRDefault="00CE6299" w:rsidP="00F51EA2">
      <w:pPr>
        <w:tabs>
          <w:tab w:val="left" w:pos="6237"/>
        </w:tabs>
        <w:spacing w:before="0" w:line="240" w:lineRule="auto"/>
        <w:ind w:left="284" w:hanging="284"/>
        <w:jc w:val="left"/>
        <w:rPr>
          <w:sz w:val="18"/>
          <w:szCs w:val="18"/>
        </w:rPr>
      </w:pPr>
      <w:r w:rsidRPr="007E668D">
        <w:rPr>
          <w:sz w:val="18"/>
          <w:szCs w:val="18"/>
        </w:rPr>
        <w:t>–</w:t>
      </w:r>
      <w:r w:rsidRPr="007E668D">
        <w:rPr>
          <w:sz w:val="18"/>
          <w:szCs w:val="18"/>
        </w:rPr>
        <w:tab/>
        <w:t xml:space="preserve">Presidentes y Vicepresidentes de las Comisiones de Estudio de Radiocomunicaciones y Comisión Especial para Asuntos Reglamentarios y de Procedimiento </w:t>
      </w:r>
    </w:p>
    <w:p w:rsidR="00CE6299" w:rsidRPr="007E668D" w:rsidRDefault="00CE6299" w:rsidP="00F51EA2">
      <w:pPr>
        <w:tabs>
          <w:tab w:val="left" w:pos="6237"/>
        </w:tabs>
        <w:spacing w:before="0" w:line="240" w:lineRule="auto"/>
        <w:ind w:left="284" w:hanging="284"/>
        <w:jc w:val="left"/>
        <w:rPr>
          <w:sz w:val="18"/>
          <w:szCs w:val="18"/>
        </w:rPr>
      </w:pPr>
      <w:r w:rsidRPr="007E668D">
        <w:rPr>
          <w:sz w:val="18"/>
          <w:szCs w:val="18"/>
        </w:rPr>
        <w:t>–</w:t>
      </w:r>
      <w:r w:rsidRPr="007E668D">
        <w:rPr>
          <w:sz w:val="18"/>
          <w:szCs w:val="18"/>
        </w:rPr>
        <w:tab/>
        <w:t xml:space="preserve">Presidente y Vicepresidentes de la Reunión Preparatoria de la Conferencia </w:t>
      </w:r>
    </w:p>
    <w:p w:rsidR="00CE6299" w:rsidRPr="007E668D" w:rsidRDefault="00CE6299" w:rsidP="00F51EA2">
      <w:pPr>
        <w:tabs>
          <w:tab w:val="left" w:pos="6237"/>
        </w:tabs>
        <w:spacing w:before="0" w:line="240" w:lineRule="auto"/>
        <w:ind w:left="284" w:hanging="284"/>
        <w:jc w:val="left"/>
        <w:rPr>
          <w:sz w:val="18"/>
          <w:szCs w:val="18"/>
        </w:rPr>
      </w:pPr>
      <w:r w:rsidRPr="007E668D">
        <w:rPr>
          <w:sz w:val="18"/>
          <w:szCs w:val="18"/>
        </w:rPr>
        <w:t>–</w:t>
      </w:r>
      <w:r w:rsidRPr="007E668D">
        <w:rPr>
          <w:sz w:val="18"/>
          <w:szCs w:val="18"/>
        </w:rPr>
        <w:tab/>
        <w:t xml:space="preserve">Miembros de la Junta del Reglamento de Radiocomunicaciones </w:t>
      </w:r>
    </w:p>
    <w:p w:rsidR="00CE6299" w:rsidRPr="007E668D" w:rsidRDefault="00CE6299" w:rsidP="00F51EA2">
      <w:pPr>
        <w:tabs>
          <w:tab w:val="left" w:pos="6237"/>
        </w:tabs>
        <w:overflowPunct/>
        <w:autoSpaceDE/>
        <w:autoSpaceDN/>
        <w:adjustRightInd/>
        <w:spacing w:before="0" w:line="240" w:lineRule="auto"/>
        <w:ind w:left="284" w:hanging="284"/>
        <w:jc w:val="left"/>
        <w:textAlignment w:val="auto"/>
        <w:rPr>
          <w:sz w:val="18"/>
          <w:szCs w:val="18"/>
        </w:rPr>
      </w:pPr>
      <w:r w:rsidRPr="007E668D">
        <w:rPr>
          <w:sz w:val="18"/>
          <w:szCs w:val="18"/>
        </w:rPr>
        <w:t>–</w:t>
      </w:r>
      <w:r w:rsidRPr="007E668D">
        <w:rPr>
          <w:sz w:val="18"/>
          <w:szCs w:val="18"/>
        </w:rPr>
        <w:tab/>
        <w:t xml:space="preserve">Secretario General de la UIT, Director de la Oficina de Normalización de las Telecomunicaciones, Director de la Oficina de Desarrollo de Telecomunicaciones </w:t>
      </w:r>
    </w:p>
    <w:p w:rsidR="007E59D7" w:rsidRPr="007E668D" w:rsidRDefault="007E59D7">
      <w:pPr>
        <w:tabs>
          <w:tab w:val="clear" w:pos="794"/>
          <w:tab w:val="clear" w:pos="1191"/>
          <w:tab w:val="clear" w:pos="1588"/>
          <w:tab w:val="clear" w:pos="1985"/>
        </w:tabs>
        <w:overflowPunct/>
        <w:autoSpaceDE/>
        <w:autoSpaceDN/>
        <w:adjustRightInd/>
        <w:spacing w:before="0" w:line="240" w:lineRule="auto"/>
        <w:jc w:val="left"/>
        <w:textAlignment w:val="auto"/>
        <w:rPr>
          <w:b/>
          <w:sz w:val="24"/>
        </w:rPr>
      </w:pPr>
      <w:r w:rsidRPr="007E668D">
        <w:br w:type="page"/>
      </w:r>
    </w:p>
    <w:p w:rsidR="007E668D" w:rsidRPr="007E668D" w:rsidRDefault="007E668D" w:rsidP="007E668D">
      <w:pPr>
        <w:pStyle w:val="Annextitle"/>
        <w:rPr>
          <w:rFonts w:asciiTheme="minorHAnsi" w:hAnsiTheme="minorHAnsi" w:cstheme="minorHAnsi"/>
        </w:rPr>
      </w:pPr>
      <w:r w:rsidRPr="007E668D">
        <w:rPr>
          <w:rFonts w:asciiTheme="minorHAnsi" w:hAnsiTheme="minorHAnsi" w:cstheme="minorHAnsi"/>
        </w:rPr>
        <w:lastRenderedPageBreak/>
        <w:t>Anexo 1</w:t>
      </w:r>
      <w:r w:rsidRPr="007E668D">
        <w:rPr>
          <w:rFonts w:asciiTheme="minorHAnsi" w:hAnsiTheme="minorHAnsi" w:cstheme="minorHAnsi"/>
        </w:rPr>
        <w:br/>
      </w:r>
      <w:r w:rsidRPr="007E668D">
        <w:rPr>
          <w:rFonts w:asciiTheme="minorHAnsi" w:hAnsiTheme="minorHAnsi" w:cstheme="minorHAnsi"/>
        </w:rPr>
        <w:br/>
        <w:t>Títulos y resúmenes de proyectos de Recomendaciones</w:t>
      </w:r>
    </w:p>
    <w:p w:rsidR="007E668D" w:rsidRPr="00621CB7" w:rsidRDefault="007E668D" w:rsidP="00F51EA2">
      <w:pPr>
        <w:keepNext/>
        <w:keepLines/>
        <w:tabs>
          <w:tab w:val="right" w:pos="9639"/>
        </w:tabs>
        <w:spacing w:before="600"/>
        <w:rPr>
          <w:rFonts w:asciiTheme="minorHAnsi" w:hAnsiTheme="minorHAnsi" w:cstheme="minorHAnsi"/>
          <w:sz w:val="24"/>
          <w:szCs w:val="24"/>
        </w:rPr>
      </w:pPr>
      <w:r w:rsidRPr="00621CB7">
        <w:rPr>
          <w:rFonts w:asciiTheme="minorHAnsi" w:hAnsiTheme="minorHAnsi" w:cstheme="minorHAnsi"/>
          <w:sz w:val="24"/>
          <w:szCs w:val="24"/>
          <w:u w:val="single"/>
        </w:rPr>
        <w:t xml:space="preserve">Proyecto de nueva Recomendación </w:t>
      </w:r>
      <w:r w:rsidRPr="00621CB7">
        <w:rPr>
          <w:rFonts w:asciiTheme="minorHAnsi" w:hAnsiTheme="minorHAnsi" w:cstheme="minorHAnsi"/>
          <w:bCs/>
          <w:sz w:val="24"/>
          <w:szCs w:val="24"/>
          <w:u w:val="single"/>
          <w:lang w:eastAsia="zh-CN"/>
        </w:rPr>
        <w:t>UIT-R M.[MS 14,5-15,35 GHz]</w:t>
      </w:r>
      <w:r w:rsidRPr="00621CB7">
        <w:rPr>
          <w:rFonts w:asciiTheme="minorHAnsi" w:hAnsiTheme="minorHAnsi" w:cstheme="minorHAnsi"/>
          <w:sz w:val="24"/>
          <w:szCs w:val="24"/>
          <w:lang w:eastAsia="zh-CN"/>
        </w:rPr>
        <w:tab/>
      </w:r>
      <w:r w:rsidRPr="00621CB7">
        <w:rPr>
          <w:rFonts w:asciiTheme="minorHAnsi" w:hAnsiTheme="minorHAnsi" w:cstheme="minorHAnsi"/>
          <w:bCs/>
          <w:sz w:val="24"/>
          <w:szCs w:val="24"/>
          <w:lang w:eastAsia="zh-CN"/>
        </w:rPr>
        <w:t>Doc. 5/148(Rev.1)</w:t>
      </w:r>
    </w:p>
    <w:p w:rsidR="007E668D" w:rsidRPr="007E668D" w:rsidRDefault="007E668D" w:rsidP="007E668D">
      <w:pPr>
        <w:pStyle w:val="Rectitle"/>
        <w:rPr>
          <w:rFonts w:cstheme="minorHAnsi"/>
        </w:rPr>
      </w:pPr>
      <w:r w:rsidRPr="007E668D">
        <w:rPr>
          <w:rFonts w:cstheme="minorHAnsi"/>
        </w:rPr>
        <w:t>Características y criterios de protección de los sistemas que funcionan en el servicio móvil en la gama de frecuencias 14,5-15,35 GHz</w:t>
      </w:r>
    </w:p>
    <w:p w:rsidR="007E668D" w:rsidRPr="00621CB7" w:rsidRDefault="007E668D" w:rsidP="00F51EA2">
      <w:pPr>
        <w:spacing w:before="240"/>
        <w:rPr>
          <w:rFonts w:asciiTheme="minorHAnsi" w:hAnsiTheme="minorHAnsi" w:cstheme="minorHAnsi"/>
          <w:sz w:val="24"/>
          <w:szCs w:val="24"/>
        </w:rPr>
      </w:pPr>
      <w:r w:rsidRPr="00621CB7">
        <w:rPr>
          <w:rFonts w:asciiTheme="minorHAnsi" w:hAnsiTheme="minorHAnsi" w:cstheme="minorHAnsi"/>
          <w:sz w:val="24"/>
          <w:szCs w:val="24"/>
        </w:rPr>
        <w:t>Esta Recomendación especifica las características y los criterios de protección para los sistemas del servicio móvil que funcionan en la gama de frecuencias 14,5-15,35 GHz. Estas características técnicas y de funcionamiento deben utilizarse cuando se analiza la compatibilidad entre sistemas del servicio móvil y sistemas de otros servicios.</w:t>
      </w:r>
    </w:p>
    <w:p w:rsidR="007E668D" w:rsidRPr="00621CB7" w:rsidRDefault="007E668D" w:rsidP="00621CB7">
      <w:pPr>
        <w:keepNext/>
        <w:keepLines/>
        <w:tabs>
          <w:tab w:val="right" w:pos="9639"/>
        </w:tabs>
        <w:spacing w:before="360"/>
        <w:rPr>
          <w:rFonts w:asciiTheme="minorHAnsi" w:hAnsiTheme="minorHAnsi" w:cstheme="minorHAnsi"/>
          <w:b/>
          <w:sz w:val="24"/>
          <w:szCs w:val="24"/>
          <w:u w:val="single"/>
          <w:lang w:eastAsia="zh-CN"/>
        </w:rPr>
      </w:pPr>
      <w:r w:rsidRPr="00621CB7">
        <w:rPr>
          <w:rFonts w:asciiTheme="minorHAnsi" w:hAnsiTheme="minorHAnsi" w:cstheme="minorHAnsi"/>
          <w:sz w:val="24"/>
          <w:szCs w:val="24"/>
          <w:u w:val="single"/>
        </w:rPr>
        <w:t>Proyecto de nueva Recomendación UIT-R M.[WAIC]</w:t>
      </w:r>
      <w:r w:rsidRPr="00621CB7">
        <w:rPr>
          <w:rFonts w:asciiTheme="minorHAnsi" w:hAnsiTheme="minorHAnsi" w:cstheme="minorHAnsi"/>
          <w:sz w:val="24"/>
          <w:szCs w:val="24"/>
        </w:rPr>
        <w:tab/>
        <w:t>Doc. 5/184(Rev.1)</w:t>
      </w:r>
    </w:p>
    <w:p w:rsidR="007E668D" w:rsidRPr="007E668D" w:rsidRDefault="007E668D" w:rsidP="007E668D">
      <w:pPr>
        <w:pStyle w:val="Rectitle"/>
        <w:tabs>
          <w:tab w:val="left" w:pos="9639"/>
        </w:tabs>
        <w:rPr>
          <w:rFonts w:cstheme="minorHAnsi"/>
        </w:rPr>
      </w:pPr>
      <w:r w:rsidRPr="007E668D">
        <w:rPr>
          <w:rFonts w:cstheme="minorHAnsi"/>
        </w:rPr>
        <w:t>Características técnicas y criterios de protección de los sistemas aviónicos de comunicaciones inalámbricas internas</w:t>
      </w:r>
    </w:p>
    <w:p w:rsidR="007E668D" w:rsidRPr="00621CB7" w:rsidRDefault="007E668D" w:rsidP="00F51EA2">
      <w:pPr>
        <w:spacing w:before="240"/>
        <w:rPr>
          <w:rFonts w:asciiTheme="minorHAnsi" w:hAnsiTheme="minorHAnsi" w:cstheme="minorHAnsi"/>
          <w:sz w:val="24"/>
          <w:szCs w:val="24"/>
        </w:rPr>
      </w:pPr>
      <w:r w:rsidRPr="00621CB7">
        <w:rPr>
          <w:rFonts w:asciiTheme="minorHAnsi" w:hAnsiTheme="minorHAnsi" w:cstheme="minorHAnsi"/>
          <w:sz w:val="24"/>
          <w:szCs w:val="24"/>
        </w:rPr>
        <w:t>Esta Recomendación proporciona las características técnicas y de funcionamiento de los sistemas aviónicos de comunicaciones inalámbricas (WAIC) y los criterios de protección de los mismos. Estas características deben emplearse cuando se evalúe la compatibilidad de los sistemas WAIC con otros servicios.</w:t>
      </w:r>
    </w:p>
    <w:p w:rsidR="007E668D" w:rsidRPr="00621CB7" w:rsidRDefault="007E668D" w:rsidP="00621CB7">
      <w:pPr>
        <w:keepNext/>
        <w:keepLines/>
        <w:tabs>
          <w:tab w:val="right" w:pos="9639"/>
        </w:tabs>
        <w:spacing w:before="360"/>
        <w:rPr>
          <w:rFonts w:asciiTheme="minorHAnsi" w:hAnsiTheme="minorHAnsi" w:cstheme="minorHAnsi"/>
          <w:b/>
          <w:bCs/>
          <w:sz w:val="24"/>
          <w:szCs w:val="24"/>
          <w:lang w:eastAsia="zh-CN"/>
        </w:rPr>
      </w:pPr>
      <w:bookmarkStart w:id="7" w:name="drec" w:colFirst="0" w:colLast="0"/>
      <w:r w:rsidRPr="00621CB7">
        <w:rPr>
          <w:rFonts w:asciiTheme="minorHAnsi" w:hAnsiTheme="minorHAnsi" w:cstheme="minorHAnsi"/>
          <w:sz w:val="24"/>
          <w:szCs w:val="24"/>
          <w:u w:val="single"/>
        </w:rPr>
        <w:t>Proyecto de revisión de la Recomendación UIT-R M</w:t>
      </w:r>
      <w:r w:rsidRPr="00621CB7">
        <w:rPr>
          <w:rStyle w:val="href"/>
          <w:rFonts w:asciiTheme="minorHAnsi" w:hAnsiTheme="minorHAnsi" w:cstheme="minorHAnsi"/>
          <w:bCs/>
          <w:sz w:val="24"/>
          <w:szCs w:val="24"/>
          <w:u w:val="single"/>
        </w:rPr>
        <w:t>.1457-11</w:t>
      </w:r>
      <w:r w:rsidRPr="00621CB7">
        <w:rPr>
          <w:rStyle w:val="href"/>
          <w:rFonts w:asciiTheme="minorHAnsi" w:hAnsiTheme="minorHAnsi" w:cstheme="minorHAnsi"/>
          <w:bCs/>
          <w:sz w:val="24"/>
          <w:szCs w:val="24"/>
        </w:rPr>
        <w:tab/>
        <w:t>Doc. 5/134(Rev.1)</w:t>
      </w:r>
    </w:p>
    <w:bookmarkEnd w:id="7"/>
    <w:p w:rsidR="007E668D" w:rsidRPr="007E668D" w:rsidRDefault="007E668D" w:rsidP="007E668D">
      <w:pPr>
        <w:pStyle w:val="Rectitle"/>
        <w:rPr>
          <w:rFonts w:cstheme="minorHAnsi"/>
        </w:rPr>
      </w:pPr>
      <w:r w:rsidRPr="007E668D">
        <w:rPr>
          <w:rFonts w:cstheme="minorHAnsi"/>
        </w:rPr>
        <w:t>Especificaciones detalladas de las interfaces radioeléctricas de las telecomunicaciones móviles internacionales-2000 (IMT-2000)</w:t>
      </w:r>
    </w:p>
    <w:p w:rsidR="007E668D" w:rsidRPr="00621CB7" w:rsidRDefault="007E668D" w:rsidP="00F51EA2">
      <w:pPr>
        <w:spacing w:before="240"/>
        <w:rPr>
          <w:rFonts w:asciiTheme="minorHAnsi" w:hAnsiTheme="minorHAnsi" w:cstheme="minorHAnsi"/>
          <w:sz w:val="24"/>
          <w:szCs w:val="24"/>
        </w:rPr>
      </w:pPr>
      <w:r w:rsidRPr="00621CB7">
        <w:rPr>
          <w:rFonts w:asciiTheme="minorHAnsi" w:hAnsiTheme="minorHAnsi" w:cstheme="minorHAnsi"/>
          <w:sz w:val="24"/>
          <w:szCs w:val="24"/>
        </w:rPr>
        <w:t>Esta revisión tiene por objeto mantener actualizadas las tecnologías específicas de la componente terrenal de las IMT-2000. Los cambios principales incluyen la adición de capacidades mejoradas para algunas de las interfaces radioeléctricas y las correspondientes modificaciones en los puntos sobre visión general del texto, así como las especificaciones globales básicas. Además, se han actualizado las referencias de la transposición.</w:t>
      </w:r>
    </w:p>
    <w:p w:rsidR="007E668D" w:rsidRPr="00621CB7" w:rsidRDefault="007E668D" w:rsidP="007E668D">
      <w:pPr>
        <w:rPr>
          <w:rFonts w:asciiTheme="minorHAnsi" w:hAnsiTheme="minorHAnsi" w:cstheme="minorHAnsi"/>
          <w:sz w:val="24"/>
          <w:szCs w:val="24"/>
        </w:rPr>
      </w:pPr>
      <w:r w:rsidRPr="00621CB7">
        <w:rPr>
          <w:rFonts w:asciiTheme="minorHAnsi" w:hAnsiTheme="minorHAnsi" w:cstheme="minorHAnsi"/>
          <w:sz w:val="24"/>
          <w:szCs w:val="24"/>
        </w:rPr>
        <w:t>Las modificaciones se aplican a los siguientes puntos:</w:t>
      </w:r>
    </w:p>
    <w:p w:rsidR="007E668D" w:rsidRPr="00621CB7" w:rsidRDefault="007E668D" w:rsidP="007E668D">
      <w:pPr>
        <w:pStyle w:val="enumlev1"/>
        <w:tabs>
          <w:tab w:val="right" w:pos="9639"/>
        </w:tabs>
        <w:rPr>
          <w:rFonts w:asciiTheme="minorHAnsi" w:hAnsiTheme="minorHAnsi" w:cstheme="minorHAnsi"/>
          <w:sz w:val="24"/>
          <w:szCs w:val="24"/>
        </w:rPr>
      </w:pPr>
      <w:r w:rsidRPr="00621CB7">
        <w:rPr>
          <w:rFonts w:asciiTheme="minorHAnsi" w:hAnsiTheme="minorHAnsi" w:cstheme="minorHAnsi"/>
          <w:sz w:val="24"/>
          <w:szCs w:val="24"/>
        </w:rPr>
        <w:t>–</w:t>
      </w:r>
      <w:r w:rsidRPr="00621CB7">
        <w:rPr>
          <w:rFonts w:asciiTheme="minorHAnsi" w:hAnsiTheme="minorHAnsi" w:cstheme="minorHAnsi"/>
          <w:sz w:val="24"/>
          <w:szCs w:val="24"/>
        </w:rPr>
        <w:tab/>
        <w:t>Ensanchamiento directo del AMDC de las IMT-2000 e IMT-2000 AMDC DDT (puntos 5.1 y 5.3)</w:t>
      </w:r>
    </w:p>
    <w:p w:rsidR="007E668D" w:rsidRPr="00621CB7" w:rsidRDefault="007E668D" w:rsidP="007E668D">
      <w:pPr>
        <w:pStyle w:val="enumlev1"/>
        <w:tabs>
          <w:tab w:val="right" w:pos="9639"/>
        </w:tabs>
        <w:rPr>
          <w:rFonts w:asciiTheme="minorHAnsi" w:hAnsiTheme="minorHAnsi" w:cstheme="minorHAnsi"/>
          <w:sz w:val="24"/>
          <w:szCs w:val="24"/>
        </w:rPr>
      </w:pPr>
      <w:r w:rsidRPr="00621CB7">
        <w:rPr>
          <w:rFonts w:asciiTheme="minorHAnsi" w:hAnsiTheme="minorHAnsi" w:cstheme="minorHAnsi"/>
          <w:sz w:val="24"/>
          <w:szCs w:val="24"/>
        </w:rPr>
        <w:t>–</w:t>
      </w:r>
      <w:r w:rsidRPr="00621CB7">
        <w:rPr>
          <w:rFonts w:asciiTheme="minorHAnsi" w:hAnsiTheme="minorHAnsi" w:cstheme="minorHAnsi"/>
          <w:sz w:val="24"/>
          <w:szCs w:val="24"/>
        </w:rPr>
        <w:tab/>
        <w:t>Multiportadora AMDC para las IMT-2000 (punto 5.2)</w:t>
      </w:r>
    </w:p>
    <w:p w:rsidR="007E668D" w:rsidRPr="00621CB7" w:rsidRDefault="007E668D" w:rsidP="007E668D">
      <w:pPr>
        <w:pStyle w:val="enumlev1"/>
        <w:tabs>
          <w:tab w:val="right" w:pos="9639"/>
        </w:tabs>
        <w:rPr>
          <w:rFonts w:asciiTheme="minorHAnsi" w:hAnsiTheme="minorHAnsi" w:cstheme="minorHAnsi"/>
          <w:sz w:val="24"/>
          <w:szCs w:val="24"/>
        </w:rPr>
      </w:pPr>
      <w:r w:rsidRPr="00621CB7">
        <w:rPr>
          <w:rFonts w:asciiTheme="minorHAnsi" w:hAnsiTheme="minorHAnsi" w:cstheme="minorHAnsi"/>
          <w:sz w:val="24"/>
          <w:szCs w:val="24"/>
        </w:rPr>
        <w:t>–</w:t>
      </w:r>
      <w:r w:rsidRPr="00621CB7">
        <w:rPr>
          <w:rFonts w:asciiTheme="minorHAnsi" w:hAnsiTheme="minorHAnsi" w:cstheme="minorHAnsi"/>
          <w:sz w:val="24"/>
          <w:szCs w:val="24"/>
        </w:rPr>
        <w:tab/>
        <w:t>Portadora única AMDT IMT-2000 (punto 5.4)</w:t>
      </w:r>
    </w:p>
    <w:p w:rsidR="007E668D" w:rsidRPr="00621CB7" w:rsidRDefault="007E668D" w:rsidP="007E668D">
      <w:pPr>
        <w:pStyle w:val="enumlev1"/>
        <w:tabs>
          <w:tab w:val="right" w:pos="9639"/>
        </w:tabs>
        <w:rPr>
          <w:rFonts w:asciiTheme="minorHAnsi" w:hAnsiTheme="minorHAnsi" w:cstheme="minorHAnsi"/>
          <w:sz w:val="24"/>
          <w:szCs w:val="24"/>
        </w:rPr>
      </w:pPr>
      <w:r w:rsidRPr="00621CB7">
        <w:rPr>
          <w:rFonts w:asciiTheme="minorHAnsi" w:hAnsiTheme="minorHAnsi" w:cstheme="minorHAnsi"/>
          <w:sz w:val="24"/>
          <w:szCs w:val="24"/>
        </w:rPr>
        <w:t>–</w:t>
      </w:r>
      <w:r w:rsidRPr="00621CB7">
        <w:rPr>
          <w:rFonts w:asciiTheme="minorHAnsi" w:hAnsiTheme="minorHAnsi" w:cstheme="minorHAnsi"/>
          <w:sz w:val="24"/>
          <w:szCs w:val="24"/>
        </w:rPr>
        <w:tab/>
        <w:t>AMDF/AMDT en las IMT-2000 (punto 5.5)</w:t>
      </w:r>
    </w:p>
    <w:p w:rsidR="007E668D" w:rsidRPr="00621CB7" w:rsidRDefault="007E668D" w:rsidP="007E668D">
      <w:pPr>
        <w:pStyle w:val="enumlev1"/>
        <w:tabs>
          <w:tab w:val="right" w:pos="9639"/>
        </w:tabs>
        <w:rPr>
          <w:rFonts w:asciiTheme="minorHAnsi" w:hAnsiTheme="minorHAnsi" w:cstheme="minorHAnsi"/>
          <w:sz w:val="24"/>
          <w:szCs w:val="24"/>
        </w:rPr>
      </w:pPr>
      <w:r w:rsidRPr="00621CB7">
        <w:rPr>
          <w:rFonts w:asciiTheme="minorHAnsi" w:hAnsiTheme="minorHAnsi" w:cstheme="minorHAnsi"/>
          <w:sz w:val="24"/>
          <w:szCs w:val="24"/>
        </w:rPr>
        <w:t>–</w:t>
      </w:r>
      <w:r w:rsidRPr="00621CB7">
        <w:rPr>
          <w:rFonts w:asciiTheme="minorHAnsi" w:hAnsiTheme="minorHAnsi" w:cstheme="minorHAnsi"/>
          <w:sz w:val="24"/>
          <w:szCs w:val="24"/>
        </w:rPr>
        <w:tab/>
        <w:t>IMT-2000 AMDFO DDT WMAN (punto 5.6)</w:t>
      </w:r>
    </w:p>
    <w:p w:rsidR="007E668D" w:rsidRPr="00621CB7" w:rsidRDefault="007E668D" w:rsidP="007E668D">
      <w:pPr>
        <w:keepNext/>
        <w:keepLines/>
        <w:tabs>
          <w:tab w:val="right" w:pos="9639"/>
        </w:tabs>
        <w:spacing w:before="360"/>
        <w:rPr>
          <w:rFonts w:asciiTheme="minorHAnsi" w:hAnsiTheme="minorHAnsi" w:cstheme="minorHAnsi"/>
          <w:b/>
          <w:bCs/>
          <w:sz w:val="24"/>
          <w:szCs w:val="24"/>
          <w:u w:val="single"/>
          <w:lang w:eastAsia="zh-CN"/>
        </w:rPr>
      </w:pPr>
      <w:r w:rsidRPr="00621CB7">
        <w:rPr>
          <w:rFonts w:asciiTheme="minorHAnsi" w:hAnsiTheme="minorHAnsi" w:cstheme="minorHAnsi"/>
          <w:sz w:val="24"/>
          <w:szCs w:val="24"/>
          <w:u w:val="single"/>
        </w:rPr>
        <w:lastRenderedPageBreak/>
        <w:t xml:space="preserve">Proyecto de revisión de la Recomendación </w:t>
      </w:r>
      <w:r w:rsidRPr="00621CB7">
        <w:rPr>
          <w:rFonts w:asciiTheme="minorHAnsi" w:hAnsiTheme="minorHAnsi" w:cstheme="minorHAnsi"/>
          <w:bCs/>
          <w:sz w:val="24"/>
          <w:szCs w:val="24"/>
          <w:u w:val="single"/>
        </w:rPr>
        <w:t xml:space="preserve">UIT-R </w:t>
      </w:r>
      <w:r w:rsidRPr="00621CB7">
        <w:rPr>
          <w:rStyle w:val="href"/>
          <w:rFonts w:asciiTheme="minorHAnsi" w:eastAsia="MS Mincho" w:hAnsiTheme="minorHAnsi" w:cstheme="minorHAnsi"/>
          <w:bCs/>
          <w:sz w:val="24"/>
          <w:szCs w:val="24"/>
          <w:u w:val="single"/>
        </w:rPr>
        <w:t>M.1824</w:t>
      </w:r>
      <w:r w:rsidR="005C418E">
        <w:rPr>
          <w:rStyle w:val="href"/>
          <w:rFonts w:asciiTheme="minorHAnsi" w:eastAsia="MS Mincho" w:hAnsiTheme="minorHAnsi" w:cstheme="minorHAnsi"/>
          <w:bCs/>
          <w:sz w:val="24"/>
          <w:szCs w:val="24"/>
          <w:u w:val="single"/>
        </w:rPr>
        <w:t>-0</w:t>
      </w:r>
      <w:r w:rsidRPr="00621CB7">
        <w:rPr>
          <w:rFonts w:asciiTheme="minorHAnsi" w:hAnsiTheme="minorHAnsi" w:cstheme="minorHAnsi"/>
          <w:bCs/>
          <w:caps/>
          <w:sz w:val="24"/>
          <w:szCs w:val="24"/>
        </w:rPr>
        <w:tab/>
      </w:r>
      <w:r w:rsidRPr="00621CB7">
        <w:rPr>
          <w:rFonts w:asciiTheme="minorHAnsi" w:hAnsiTheme="minorHAnsi" w:cstheme="minorHAnsi"/>
          <w:bCs/>
          <w:sz w:val="24"/>
          <w:szCs w:val="24"/>
        </w:rPr>
        <w:t>Doc. 5/150(Rev.1)</w:t>
      </w:r>
    </w:p>
    <w:p w:rsidR="007E668D" w:rsidRPr="007E668D" w:rsidRDefault="007E668D" w:rsidP="007E668D">
      <w:pPr>
        <w:pStyle w:val="Rectitle"/>
      </w:pPr>
      <w:r w:rsidRPr="007E668D">
        <w:t xml:space="preserve">Características del sistema de radiodifusión de televisión en exteriores, periodismo electrónico y producción en directo electrónica en el </w:t>
      </w:r>
      <w:r w:rsidRPr="007E668D">
        <w:br/>
        <w:t>servicio móvil para su utilización en estudios de compartición</w:t>
      </w:r>
    </w:p>
    <w:p w:rsidR="007E668D" w:rsidRPr="00621CB7" w:rsidRDefault="007E668D" w:rsidP="007E668D">
      <w:pPr>
        <w:tabs>
          <w:tab w:val="right" w:pos="9639"/>
        </w:tabs>
        <w:rPr>
          <w:rFonts w:asciiTheme="minorHAnsi" w:hAnsiTheme="minorHAnsi" w:cstheme="minorHAnsi"/>
          <w:sz w:val="24"/>
          <w:szCs w:val="24"/>
        </w:rPr>
      </w:pPr>
      <w:r w:rsidRPr="00621CB7">
        <w:rPr>
          <w:rFonts w:asciiTheme="minorHAnsi" w:hAnsiTheme="minorHAnsi" w:cstheme="minorHAnsi"/>
          <w:sz w:val="24"/>
          <w:szCs w:val="24"/>
        </w:rPr>
        <w:t>Esta revisión incluye:</w:t>
      </w:r>
    </w:p>
    <w:p w:rsidR="007E668D" w:rsidRPr="00621CB7" w:rsidRDefault="007E668D" w:rsidP="007E668D">
      <w:pPr>
        <w:pStyle w:val="enumlev1"/>
        <w:tabs>
          <w:tab w:val="right" w:pos="9639"/>
        </w:tabs>
        <w:rPr>
          <w:rFonts w:asciiTheme="minorHAnsi" w:hAnsiTheme="minorHAnsi" w:cstheme="minorHAnsi"/>
          <w:sz w:val="24"/>
          <w:szCs w:val="24"/>
        </w:rPr>
      </w:pPr>
      <w:r w:rsidRPr="00621CB7">
        <w:rPr>
          <w:rFonts w:asciiTheme="minorHAnsi" w:hAnsiTheme="minorHAnsi" w:cstheme="minorHAnsi"/>
          <w:sz w:val="24"/>
          <w:szCs w:val="24"/>
        </w:rPr>
        <w:t>–</w:t>
      </w:r>
      <w:r w:rsidRPr="00621CB7">
        <w:rPr>
          <w:rFonts w:asciiTheme="minorHAnsi" w:hAnsiTheme="minorHAnsi" w:cstheme="minorHAnsi"/>
          <w:sz w:val="24"/>
          <w:szCs w:val="24"/>
        </w:rPr>
        <w:tab/>
        <w:t>Actualizaciones redaccionales teniendo en cuenta los resultados de la AR-12 y la CMR-12.</w:t>
      </w:r>
    </w:p>
    <w:p w:rsidR="007E668D" w:rsidRPr="00621CB7" w:rsidRDefault="007E668D" w:rsidP="007E668D">
      <w:pPr>
        <w:pStyle w:val="enumlev1"/>
        <w:tabs>
          <w:tab w:val="right" w:pos="9639"/>
        </w:tabs>
        <w:rPr>
          <w:rFonts w:asciiTheme="minorHAnsi" w:hAnsiTheme="minorHAnsi" w:cstheme="minorHAnsi"/>
          <w:sz w:val="24"/>
          <w:szCs w:val="24"/>
        </w:rPr>
      </w:pPr>
      <w:r w:rsidRPr="00621CB7">
        <w:rPr>
          <w:rFonts w:asciiTheme="minorHAnsi" w:hAnsiTheme="minorHAnsi" w:cstheme="minorHAnsi"/>
          <w:sz w:val="24"/>
          <w:szCs w:val="24"/>
        </w:rPr>
        <w:t>–</w:t>
      </w:r>
      <w:r w:rsidRPr="00621CB7">
        <w:rPr>
          <w:rFonts w:asciiTheme="minorHAnsi" w:hAnsiTheme="minorHAnsi" w:cstheme="minorHAnsi"/>
          <w:sz w:val="24"/>
          <w:szCs w:val="24"/>
        </w:rPr>
        <w:tab/>
        <w:t>Información añadida sobre características técnicas y de funcionamiento que deben utilizarse en los estudios de compartición entre las redes de banda ancha móvil empleadas para aplicaciones de periodismo electrónico en el servicio móvil y otros servicios.</w:t>
      </w:r>
    </w:p>
    <w:p w:rsidR="007E668D" w:rsidRPr="00621CB7" w:rsidRDefault="007E668D" w:rsidP="00EC4F50">
      <w:pPr>
        <w:keepNext/>
        <w:keepLines/>
        <w:tabs>
          <w:tab w:val="right" w:pos="9639"/>
        </w:tabs>
        <w:spacing w:before="480"/>
        <w:rPr>
          <w:rFonts w:asciiTheme="minorHAnsi" w:hAnsiTheme="minorHAnsi" w:cstheme="minorHAnsi"/>
          <w:sz w:val="24"/>
          <w:szCs w:val="24"/>
        </w:rPr>
      </w:pPr>
      <w:r w:rsidRPr="00621CB7">
        <w:rPr>
          <w:rFonts w:asciiTheme="minorHAnsi" w:hAnsiTheme="minorHAnsi" w:cstheme="minorHAnsi"/>
          <w:sz w:val="24"/>
          <w:szCs w:val="24"/>
          <w:u w:val="single"/>
        </w:rPr>
        <w:t>Proyecto de revisión de la Recomendación UIT-R M.1076</w:t>
      </w:r>
      <w:r w:rsidR="005C418E" w:rsidRPr="005C418E">
        <w:rPr>
          <w:bCs/>
          <w:sz w:val="24"/>
          <w:szCs w:val="24"/>
          <w:u w:val="single"/>
        </w:rPr>
        <w:t>-0</w:t>
      </w:r>
      <w:r w:rsidRPr="00621CB7">
        <w:rPr>
          <w:bCs/>
          <w:sz w:val="24"/>
          <w:szCs w:val="24"/>
        </w:rPr>
        <w:tab/>
      </w:r>
      <w:r w:rsidRPr="00621CB7">
        <w:rPr>
          <w:rFonts w:asciiTheme="minorHAnsi" w:hAnsiTheme="minorHAnsi" w:cstheme="minorHAnsi"/>
          <w:bCs/>
          <w:sz w:val="24"/>
          <w:szCs w:val="24"/>
        </w:rPr>
        <w:t>Doc. 5/151(Rev.1)</w:t>
      </w:r>
    </w:p>
    <w:p w:rsidR="007E668D" w:rsidRPr="007E668D" w:rsidRDefault="007E668D" w:rsidP="007E668D">
      <w:pPr>
        <w:pStyle w:val="Rectitle"/>
      </w:pPr>
      <w:r w:rsidRPr="007E668D">
        <w:t>Sistemas de comunicaciones inalámbricos para personas con audición deficiente</w:t>
      </w:r>
    </w:p>
    <w:p w:rsidR="007E668D" w:rsidRPr="00621CB7" w:rsidRDefault="007E668D" w:rsidP="007E668D">
      <w:pPr>
        <w:tabs>
          <w:tab w:val="right" w:pos="9639"/>
        </w:tabs>
        <w:rPr>
          <w:rFonts w:asciiTheme="minorHAnsi" w:hAnsiTheme="minorHAnsi" w:cstheme="minorHAnsi"/>
          <w:sz w:val="24"/>
          <w:szCs w:val="24"/>
        </w:rPr>
      </w:pPr>
      <w:r w:rsidRPr="00621CB7">
        <w:rPr>
          <w:rFonts w:asciiTheme="minorHAnsi" w:hAnsiTheme="minorHAnsi" w:cstheme="minorHAnsi"/>
          <w:sz w:val="24"/>
          <w:szCs w:val="24"/>
        </w:rPr>
        <w:t>Esta revisión ha actualizado la información que muestra el uso actual, las características técnicas y la implementación de las comunicaciones inalámbricas para personas con discapacidad auditiva.</w:t>
      </w:r>
    </w:p>
    <w:p w:rsidR="007E668D" w:rsidRPr="00621CB7" w:rsidRDefault="007E668D" w:rsidP="00EC4F50">
      <w:pPr>
        <w:keepNext/>
        <w:keepLines/>
        <w:tabs>
          <w:tab w:val="right" w:pos="9639"/>
        </w:tabs>
        <w:spacing w:before="480"/>
        <w:rPr>
          <w:rFonts w:asciiTheme="minorHAnsi" w:hAnsiTheme="minorHAnsi" w:cstheme="minorHAnsi"/>
          <w:sz w:val="24"/>
          <w:szCs w:val="24"/>
          <w:u w:val="single"/>
        </w:rPr>
      </w:pPr>
      <w:r w:rsidRPr="00621CB7">
        <w:rPr>
          <w:rFonts w:asciiTheme="minorHAnsi" w:hAnsiTheme="minorHAnsi" w:cstheme="minorHAnsi"/>
          <w:sz w:val="24"/>
          <w:szCs w:val="24"/>
          <w:u w:val="single"/>
        </w:rPr>
        <w:t>Proyecto de revisión de la Recomendación UIT-R M.1464-1</w:t>
      </w:r>
      <w:r w:rsidRPr="00621CB7">
        <w:rPr>
          <w:bCs/>
          <w:sz w:val="24"/>
          <w:szCs w:val="24"/>
        </w:rPr>
        <w:tab/>
      </w:r>
      <w:r w:rsidRPr="00621CB7">
        <w:rPr>
          <w:rFonts w:asciiTheme="minorHAnsi" w:hAnsiTheme="minorHAnsi" w:cstheme="minorHAnsi"/>
          <w:bCs/>
          <w:sz w:val="24"/>
          <w:szCs w:val="24"/>
        </w:rPr>
        <w:t>Doc. 5/152(Rev.1)</w:t>
      </w:r>
    </w:p>
    <w:p w:rsidR="007E668D" w:rsidRPr="007E668D" w:rsidRDefault="007E668D" w:rsidP="007E668D">
      <w:pPr>
        <w:pStyle w:val="Rectitle"/>
      </w:pPr>
      <w:r w:rsidRPr="007E668D">
        <w:t xml:space="preserve">Características de los radares de radiolocalización y características y criterios de protección para estudios de compartición de los radares de radionavegación aeronáutica y meteorológicos en el servicio de radiodeterminación </w:t>
      </w:r>
      <w:r w:rsidRPr="007E668D">
        <w:br/>
        <w:t>que funcionan en la banda de frecuencias 2 700-2 900 MHz</w:t>
      </w:r>
    </w:p>
    <w:p w:rsidR="007E668D" w:rsidRPr="00621CB7" w:rsidRDefault="007E668D" w:rsidP="007E668D">
      <w:pPr>
        <w:tabs>
          <w:tab w:val="right" w:pos="9639"/>
        </w:tabs>
        <w:rPr>
          <w:rFonts w:asciiTheme="minorHAnsi" w:hAnsiTheme="minorHAnsi" w:cstheme="minorHAnsi"/>
          <w:sz w:val="24"/>
          <w:szCs w:val="24"/>
        </w:rPr>
      </w:pPr>
      <w:r w:rsidRPr="00621CB7">
        <w:rPr>
          <w:rFonts w:asciiTheme="minorHAnsi" w:hAnsiTheme="minorHAnsi" w:cstheme="minorHAnsi"/>
          <w:sz w:val="24"/>
          <w:szCs w:val="24"/>
        </w:rPr>
        <w:t>En esta revisión se han introducido cambios en los radares A, B y C del Cuadro 1 y se han añadido los nuevos radares F1 y F2 en dicho Cuadro. Las características de los radares de meteorología, Cuadro 2, y el texto relativo a estos radares se ha suprimido de la Recomendación. Se ha añadido el Radar M al Cuadro 3. Se ha modificado el punto 3 del Anexo 1 para aclarar el nivel de protección de los receptores de radar.</w:t>
      </w:r>
    </w:p>
    <w:p w:rsidR="007E668D" w:rsidRPr="00621CB7" w:rsidRDefault="007E668D" w:rsidP="00EC4F50">
      <w:pPr>
        <w:keepNext/>
        <w:keepLines/>
        <w:tabs>
          <w:tab w:val="right" w:pos="9639"/>
        </w:tabs>
        <w:spacing w:before="480"/>
        <w:rPr>
          <w:rFonts w:asciiTheme="minorHAnsi" w:hAnsiTheme="minorHAnsi" w:cstheme="minorHAnsi"/>
          <w:sz w:val="24"/>
          <w:szCs w:val="24"/>
        </w:rPr>
      </w:pPr>
      <w:r w:rsidRPr="00621CB7">
        <w:rPr>
          <w:rFonts w:asciiTheme="minorHAnsi" w:hAnsiTheme="minorHAnsi" w:cstheme="minorHAnsi"/>
          <w:sz w:val="24"/>
          <w:szCs w:val="24"/>
          <w:u w:val="single"/>
        </w:rPr>
        <w:t>Proyecto de revisión de la Recomendación UIT-R M.1465-1</w:t>
      </w:r>
      <w:r w:rsidRPr="00621CB7">
        <w:rPr>
          <w:bCs/>
          <w:sz w:val="24"/>
          <w:szCs w:val="24"/>
        </w:rPr>
        <w:tab/>
      </w:r>
      <w:r w:rsidRPr="00621CB7">
        <w:rPr>
          <w:rFonts w:asciiTheme="minorHAnsi" w:hAnsiTheme="minorHAnsi" w:cstheme="minorHAnsi"/>
          <w:bCs/>
          <w:sz w:val="24"/>
          <w:szCs w:val="24"/>
        </w:rPr>
        <w:t>Doc. 5/153(Rev.1)</w:t>
      </w:r>
    </w:p>
    <w:p w:rsidR="007E668D" w:rsidRPr="007E668D" w:rsidRDefault="007E668D" w:rsidP="007E668D">
      <w:pPr>
        <w:pStyle w:val="Rectitle"/>
      </w:pPr>
      <w:r w:rsidRPr="007E668D">
        <w:t>Características y criterios de protección para los radares que funcionan en el servicio de radiodeterminación en la banda de frecuencias 3 100-3 700 MHz</w:t>
      </w:r>
    </w:p>
    <w:p w:rsidR="007E668D" w:rsidRPr="00621CB7" w:rsidRDefault="007E668D" w:rsidP="007E668D">
      <w:pPr>
        <w:tabs>
          <w:tab w:val="right" w:pos="9639"/>
        </w:tabs>
        <w:rPr>
          <w:rFonts w:asciiTheme="minorHAnsi" w:hAnsiTheme="minorHAnsi" w:cstheme="minorHAnsi"/>
          <w:sz w:val="24"/>
          <w:szCs w:val="24"/>
        </w:rPr>
      </w:pPr>
      <w:r w:rsidRPr="00621CB7">
        <w:rPr>
          <w:rFonts w:asciiTheme="minorHAnsi" w:hAnsiTheme="minorHAnsi" w:cstheme="minorHAnsi"/>
          <w:sz w:val="24"/>
          <w:szCs w:val="24"/>
        </w:rPr>
        <w:t>En esta revisión se han añadido al Cuadro 1 los sistemas de barco C y D. Se ha añadido, además, texto adicional al punto 3 del Anexo 1 para aclarar los criterios de protección en presencia de interferencia procedente de señales de comunicaciones.</w:t>
      </w:r>
    </w:p>
    <w:p w:rsidR="00EC4F50" w:rsidRDefault="00EC4F5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7E668D" w:rsidRPr="00621CB7" w:rsidRDefault="007E668D" w:rsidP="00621CB7">
      <w:pPr>
        <w:keepNext/>
        <w:keepLines/>
        <w:tabs>
          <w:tab w:val="right" w:pos="9639"/>
        </w:tabs>
        <w:spacing w:before="360"/>
        <w:rPr>
          <w:rFonts w:asciiTheme="minorHAnsi" w:hAnsiTheme="minorHAnsi" w:cstheme="minorHAnsi"/>
          <w:sz w:val="24"/>
          <w:szCs w:val="24"/>
          <w:u w:val="single"/>
        </w:rPr>
      </w:pPr>
      <w:r w:rsidRPr="00621CB7">
        <w:rPr>
          <w:rFonts w:asciiTheme="minorHAnsi" w:hAnsiTheme="minorHAnsi" w:cstheme="minorHAnsi"/>
          <w:sz w:val="24"/>
          <w:szCs w:val="24"/>
          <w:u w:val="single"/>
        </w:rPr>
        <w:lastRenderedPageBreak/>
        <w:t>Proyecto de revisión de la Recomendación UIT-R M.1463-2</w:t>
      </w:r>
      <w:r w:rsidRPr="00621CB7">
        <w:rPr>
          <w:bCs/>
          <w:sz w:val="24"/>
          <w:szCs w:val="24"/>
        </w:rPr>
        <w:tab/>
      </w:r>
      <w:r w:rsidRPr="00621CB7">
        <w:rPr>
          <w:rFonts w:asciiTheme="minorHAnsi" w:hAnsiTheme="minorHAnsi" w:cstheme="minorHAnsi"/>
          <w:bCs/>
          <w:sz w:val="24"/>
          <w:szCs w:val="24"/>
        </w:rPr>
        <w:t>Doc. 5/160(Rev.1)</w:t>
      </w:r>
    </w:p>
    <w:p w:rsidR="007E668D" w:rsidRPr="007E668D" w:rsidRDefault="007E668D" w:rsidP="007E668D">
      <w:pPr>
        <w:pStyle w:val="Rectitle"/>
      </w:pPr>
      <w:r w:rsidRPr="007E668D">
        <w:t>Características y criterios de protección para los radares que funcionan en el servicio de radiodeterminación en la banda de frecuencias 1 215-1 400 MHz</w:t>
      </w:r>
    </w:p>
    <w:p w:rsidR="007E668D" w:rsidRPr="00621CB7" w:rsidRDefault="007E668D" w:rsidP="007E668D">
      <w:pPr>
        <w:tabs>
          <w:tab w:val="right" w:pos="9639"/>
        </w:tabs>
        <w:rPr>
          <w:rFonts w:asciiTheme="minorHAnsi" w:hAnsiTheme="minorHAnsi" w:cstheme="minorHAnsi"/>
          <w:sz w:val="24"/>
          <w:szCs w:val="24"/>
        </w:rPr>
      </w:pPr>
      <w:r w:rsidRPr="00621CB7">
        <w:rPr>
          <w:rFonts w:asciiTheme="minorHAnsi" w:hAnsiTheme="minorHAnsi" w:cstheme="minorHAnsi"/>
          <w:sz w:val="24"/>
          <w:szCs w:val="24"/>
        </w:rPr>
        <w:t>En esta revisión se han añadido al Cuadro 1 dos nuevos sistemas orientables electrónicamente (ESA). Se ha incorporado, además, una breve descripción de las características técnicas de los ESA.</w:t>
      </w:r>
    </w:p>
    <w:p w:rsidR="007E668D" w:rsidRPr="00621CB7" w:rsidRDefault="007E668D" w:rsidP="00EC4F50">
      <w:pPr>
        <w:keepNext/>
        <w:keepLines/>
        <w:tabs>
          <w:tab w:val="right" w:pos="9639"/>
        </w:tabs>
        <w:spacing w:before="480"/>
        <w:rPr>
          <w:rFonts w:asciiTheme="minorHAnsi" w:hAnsiTheme="minorHAnsi" w:cstheme="minorHAnsi"/>
          <w:sz w:val="24"/>
          <w:szCs w:val="24"/>
        </w:rPr>
      </w:pPr>
      <w:r w:rsidRPr="00621CB7">
        <w:rPr>
          <w:rFonts w:asciiTheme="minorHAnsi" w:hAnsiTheme="minorHAnsi" w:cstheme="minorHAnsi"/>
          <w:sz w:val="24"/>
          <w:szCs w:val="24"/>
          <w:u w:val="single"/>
        </w:rPr>
        <w:t>Proyecto de revisión de la Recomendación UIT-R M.1460-1</w:t>
      </w:r>
      <w:r w:rsidRPr="00621CB7">
        <w:rPr>
          <w:bCs/>
          <w:sz w:val="24"/>
          <w:szCs w:val="24"/>
        </w:rPr>
        <w:tab/>
      </w:r>
      <w:r w:rsidRPr="00621CB7">
        <w:rPr>
          <w:rFonts w:asciiTheme="minorHAnsi" w:hAnsiTheme="minorHAnsi" w:cstheme="minorHAnsi"/>
          <w:bCs/>
          <w:sz w:val="24"/>
          <w:szCs w:val="24"/>
        </w:rPr>
        <w:t>Doc. 5/161(Rev.1)</w:t>
      </w:r>
    </w:p>
    <w:p w:rsidR="007E668D" w:rsidRPr="007E668D" w:rsidRDefault="007E668D" w:rsidP="007E668D">
      <w:pPr>
        <w:pStyle w:val="Rectitle"/>
      </w:pPr>
      <w:r w:rsidRPr="007E668D">
        <w:t>Características técnicas y operacionales y criterios de protección para los radares de radiodeterminación en la banda de frecuencias 2 900-3 100 MHz</w:t>
      </w:r>
    </w:p>
    <w:p w:rsidR="007E668D" w:rsidRPr="00621CB7" w:rsidRDefault="007E668D" w:rsidP="00F51EA2">
      <w:pPr>
        <w:tabs>
          <w:tab w:val="right" w:pos="9639"/>
        </w:tabs>
        <w:spacing w:before="240"/>
        <w:rPr>
          <w:rFonts w:asciiTheme="minorHAnsi" w:hAnsiTheme="minorHAnsi" w:cstheme="minorHAnsi"/>
          <w:sz w:val="24"/>
          <w:szCs w:val="24"/>
        </w:rPr>
      </w:pPr>
      <w:r w:rsidRPr="00621CB7">
        <w:rPr>
          <w:rFonts w:asciiTheme="minorHAnsi" w:hAnsiTheme="minorHAnsi" w:cstheme="minorHAnsi"/>
          <w:sz w:val="24"/>
          <w:szCs w:val="24"/>
        </w:rPr>
        <w:t>En esta revisión se añade al Cuadro 1 una breve descripción de los radares marítimos 3A, 3B y 3C y de sus características. El Cuadro 1 se ha formateado para añadir una columna sobre unidades. Se han modificado las características del radar marítimo en el Cuadro 4.</w:t>
      </w:r>
    </w:p>
    <w:p w:rsidR="007E668D" w:rsidRPr="00621CB7" w:rsidRDefault="007E668D" w:rsidP="00EC4F50">
      <w:pPr>
        <w:keepNext/>
        <w:keepLines/>
        <w:tabs>
          <w:tab w:val="right" w:pos="9639"/>
        </w:tabs>
        <w:spacing w:before="480"/>
        <w:rPr>
          <w:rFonts w:asciiTheme="minorHAnsi" w:hAnsiTheme="minorHAnsi" w:cstheme="minorHAnsi"/>
          <w:sz w:val="24"/>
          <w:szCs w:val="24"/>
          <w:u w:val="single"/>
        </w:rPr>
      </w:pPr>
      <w:r w:rsidRPr="00621CB7">
        <w:rPr>
          <w:rFonts w:asciiTheme="minorHAnsi" w:hAnsiTheme="minorHAnsi" w:cstheme="minorHAnsi"/>
          <w:sz w:val="24"/>
          <w:szCs w:val="24"/>
          <w:u w:val="single"/>
        </w:rPr>
        <w:t>Proyecto de revisión de la Recomendación UIT-R F.1778</w:t>
      </w:r>
      <w:r w:rsidR="005C418E" w:rsidRPr="005C418E">
        <w:rPr>
          <w:bCs/>
          <w:sz w:val="24"/>
          <w:szCs w:val="24"/>
          <w:u w:val="single"/>
        </w:rPr>
        <w:t>-0</w:t>
      </w:r>
      <w:r w:rsidRPr="00621CB7">
        <w:rPr>
          <w:bCs/>
          <w:sz w:val="24"/>
          <w:szCs w:val="24"/>
        </w:rPr>
        <w:tab/>
      </w:r>
      <w:r w:rsidRPr="00621CB7">
        <w:rPr>
          <w:rFonts w:asciiTheme="minorHAnsi" w:hAnsiTheme="minorHAnsi" w:cstheme="minorHAnsi"/>
          <w:bCs/>
          <w:sz w:val="24"/>
          <w:szCs w:val="24"/>
        </w:rPr>
        <w:t>Doc. 5/166(Rev.1)</w:t>
      </w:r>
    </w:p>
    <w:p w:rsidR="007E668D" w:rsidRPr="007E668D" w:rsidRDefault="007E668D" w:rsidP="007E668D">
      <w:pPr>
        <w:pStyle w:val="Rectitle"/>
        <w:rPr>
          <w:rFonts w:cstheme="minorHAnsi"/>
        </w:rPr>
      </w:pPr>
      <w:r w:rsidRPr="007E668D">
        <w:t>Requisitos</w:t>
      </w:r>
      <w:r w:rsidRPr="007E668D">
        <w:rPr>
          <w:rFonts w:cstheme="minorHAnsi"/>
        </w:rPr>
        <w:t xml:space="preserve"> de acceso de canal para sistemas adaptativos en </w:t>
      </w:r>
      <w:r w:rsidRPr="007E668D">
        <w:rPr>
          <w:rFonts w:cstheme="minorHAnsi"/>
        </w:rPr>
        <w:br/>
        <w:t>ondas decamétricas del servicio fijo</w:t>
      </w:r>
    </w:p>
    <w:p w:rsidR="007E668D" w:rsidRPr="00621CB7" w:rsidRDefault="007E668D" w:rsidP="00F51EA2">
      <w:pPr>
        <w:tabs>
          <w:tab w:val="right" w:pos="9639"/>
        </w:tabs>
        <w:spacing w:before="240"/>
        <w:rPr>
          <w:rFonts w:asciiTheme="minorHAnsi" w:hAnsiTheme="minorHAnsi" w:cstheme="minorHAnsi"/>
          <w:sz w:val="24"/>
          <w:szCs w:val="24"/>
        </w:rPr>
      </w:pPr>
      <w:r w:rsidRPr="00621CB7">
        <w:rPr>
          <w:rFonts w:asciiTheme="minorHAnsi" w:hAnsiTheme="minorHAnsi" w:cstheme="minorHAnsi"/>
          <w:sz w:val="24"/>
          <w:szCs w:val="24"/>
        </w:rPr>
        <w:t>En esta revisión se actualizó el título de la Recomendación para reflejar la utilización de sistemas adaptativos en los sistemas móviles terrestres. Se explica detalladamente el funcionamiento del sistema de selección dinámica de frecuencias y se amplían los requisitos de detección para cubrir las señales típicas que podrían aparecer en las bandas de ondas decamétricas en las que pueden funcionar los sistemas adaptativos.</w:t>
      </w:r>
    </w:p>
    <w:p w:rsidR="007E668D" w:rsidRPr="00621CB7" w:rsidRDefault="007E668D" w:rsidP="00EC4F50">
      <w:pPr>
        <w:keepNext/>
        <w:keepLines/>
        <w:tabs>
          <w:tab w:val="right" w:pos="9639"/>
        </w:tabs>
        <w:spacing w:before="480"/>
        <w:rPr>
          <w:rFonts w:asciiTheme="minorHAnsi" w:hAnsiTheme="minorHAnsi" w:cstheme="minorHAnsi"/>
          <w:sz w:val="24"/>
          <w:szCs w:val="24"/>
          <w:u w:val="single"/>
        </w:rPr>
      </w:pPr>
      <w:r w:rsidRPr="00621CB7">
        <w:rPr>
          <w:rFonts w:asciiTheme="minorHAnsi" w:hAnsiTheme="minorHAnsi" w:cstheme="minorHAnsi"/>
          <w:sz w:val="24"/>
          <w:szCs w:val="24"/>
          <w:u w:val="single"/>
        </w:rPr>
        <w:t>Proyecto de revisión de la Recomendación UIT-R M.2009</w:t>
      </w:r>
      <w:r w:rsidR="005C418E" w:rsidRPr="005C418E">
        <w:rPr>
          <w:rFonts w:asciiTheme="minorHAnsi" w:hAnsiTheme="minorHAnsi" w:cstheme="minorHAnsi"/>
          <w:sz w:val="24"/>
          <w:szCs w:val="24"/>
          <w:u w:val="single"/>
        </w:rPr>
        <w:t>-0</w:t>
      </w:r>
      <w:r w:rsidRPr="00621CB7">
        <w:rPr>
          <w:rFonts w:asciiTheme="minorHAnsi" w:hAnsiTheme="minorHAnsi" w:cstheme="minorHAnsi"/>
          <w:sz w:val="24"/>
          <w:szCs w:val="24"/>
        </w:rPr>
        <w:tab/>
      </w:r>
      <w:r w:rsidRPr="00621CB7">
        <w:rPr>
          <w:rFonts w:asciiTheme="minorHAnsi" w:hAnsiTheme="minorHAnsi" w:cstheme="minorHAnsi"/>
          <w:bCs/>
          <w:sz w:val="24"/>
          <w:szCs w:val="24"/>
        </w:rPr>
        <w:t>Doc. 5/177(Rev.1)</w:t>
      </w:r>
    </w:p>
    <w:p w:rsidR="007E668D" w:rsidRPr="007E668D" w:rsidRDefault="007E668D" w:rsidP="00F51EA2">
      <w:pPr>
        <w:pStyle w:val="Rectitle"/>
        <w:rPr>
          <w:rFonts w:cstheme="minorHAnsi"/>
        </w:rPr>
      </w:pPr>
      <w:r w:rsidRPr="007E668D">
        <w:rPr>
          <w:rFonts w:cstheme="minorHAnsi"/>
        </w:rPr>
        <w:t>Normas de interfaz radioeléctrica para las actividades de protección pública y socorro en caso de catástrofe en algunas partes de la banda de ondas decimétricas, de conformidad con la Resolución 646 (</w:t>
      </w:r>
      <w:r w:rsidR="00F51EA2">
        <w:rPr>
          <w:rFonts w:cstheme="minorHAnsi"/>
        </w:rPr>
        <w:t>Rev.</w:t>
      </w:r>
      <w:r w:rsidRPr="007E668D">
        <w:rPr>
          <w:rFonts w:cstheme="minorHAnsi"/>
        </w:rPr>
        <w:t>CMR-</w:t>
      </w:r>
      <w:r w:rsidR="00F51EA2">
        <w:rPr>
          <w:rFonts w:cstheme="minorHAnsi"/>
        </w:rPr>
        <w:t>12</w:t>
      </w:r>
      <w:r w:rsidRPr="007E668D">
        <w:rPr>
          <w:rFonts w:cstheme="minorHAnsi"/>
        </w:rPr>
        <w:t>)</w:t>
      </w:r>
    </w:p>
    <w:p w:rsidR="007E668D" w:rsidRPr="00621CB7" w:rsidRDefault="007E668D" w:rsidP="00F51EA2">
      <w:pPr>
        <w:tabs>
          <w:tab w:val="right" w:pos="9639"/>
        </w:tabs>
        <w:spacing w:before="240"/>
        <w:rPr>
          <w:rFonts w:asciiTheme="minorHAnsi" w:hAnsiTheme="minorHAnsi" w:cstheme="minorHAnsi"/>
          <w:sz w:val="24"/>
          <w:szCs w:val="24"/>
        </w:rPr>
      </w:pPr>
      <w:r w:rsidRPr="00621CB7">
        <w:rPr>
          <w:rFonts w:asciiTheme="minorHAnsi" w:hAnsiTheme="minorHAnsi" w:cstheme="minorHAnsi"/>
          <w:sz w:val="24"/>
          <w:szCs w:val="24"/>
        </w:rPr>
        <w:t xml:space="preserve">En esta revisión se han añadido como parte de la Recomendación las normas de la interfaz radioeléctrica de banda ancha LTE-Avanzada, SCDMA y B-TrunC. Se ha suprimido el Anexo 3 y se ha sustituido por una referencia al Informe UIT-R M.2033 en el </w:t>
      </w:r>
      <w:r w:rsidRPr="00621CB7">
        <w:rPr>
          <w:rFonts w:asciiTheme="minorHAnsi" w:hAnsiTheme="minorHAnsi" w:cstheme="minorHAnsi"/>
          <w:i/>
          <w:iCs/>
          <w:sz w:val="24"/>
          <w:szCs w:val="24"/>
        </w:rPr>
        <w:t>observando</w:t>
      </w:r>
      <w:r w:rsidRPr="00621CB7">
        <w:rPr>
          <w:rFonts w:asciiTheme="minorHAnsi" w:hAnsiTheme="minorHAnsi" w:cstheme="minorHAnsi"/>
          <w:sz w:val="24"/>
          <w:szCs w:val="24"/>
        </w:rPr>
        <w:t>. También se han introducido algunas mejoras redaccionales tales como la incorporación de las Recomendaciones UIT-R pertinentes a la lista de referencias, la modificación de los títulos de algunos puntos para que reflejen mejor sus contenido y la eliminación de acrónimos/abreviaturas que ya no se utilizan o se emplean sólo una vez.</w:t>
      </w:r>
    </w:p>
    <w:p w:rsidR="00F51EA2" w:rsidRDefault="00F51EA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7E668D" w:rsidRPr="00621CB7" w:rsidRDefault="007E668D" w:rsidP="00621CB7">
      <w:pPr>
        <w:keepNext/>
        <w:keepLines/>
        <w:tabs>
          <w:tab w:val="right" w:pos="9639"/>
        </w:tabs>
        <w:spacing w:before="360"/>
        <w:rPr>
          <w:rFonts w:asciiTheme="minorHAnsi" w:hAnsiTheme="minorHAnsi" w:cstheme="minorHAnsi"/>
          <w:sz w:val="24"/>
          <w:szCs w:val="24"/>
          <w:u w:val="single"/>
        </w:rPr>
      </w:pPr>
      <w:r w:rsidRPr="00621CB7">
        <w:rPr>
          <w:rFonts w:asciiTheme="minorHAnsi" w:hAnsiTheme="minorHAnsi" w:cstheme="minorHAnsi"/>
          <w:sz w:val="24"/>
          <w:szCs w:val="24"/>
          <w:u w:val="single"/>
        </w:rPr>
        <w:lastRenderedPageBreak/>
        <w:t>Proyecto de revisión de la Recomendación UIT-R M.2015</w:t>
      </w:r>
      <w:r w:rsidR="005C418E">
        <w:rPr>
          <w:rFonts w:asciiTheme="minorHAnsi" w:hAnsiTheme="minorHAnsi" w:cstheme="minorHAnsi"/>
          <w:sz w:val="24"/>
          <w:szCs w:val="24"/>
          <w:u w:val="single"/>
        </w:rPr>
        <w:t>-0</w:t>
      </w:r>
      <w:r w:rsidRPr="00621CB7">
        <w:rPr>
          <w:rFonts w:asciiTheme="minorHAnsi" w:hAnsiTheme="minorHAnsi" w:cstheme="minorHAnsi"/>
          <w:sz w:val="24"/>
          <w:szCs w:val="24"/>
        </w:rPr>
        <w:tab/>
      </w:r>
      <w:r w:rsidRPr="00621CB7">
        <w:rPr>
          <w:rFonts w:asciiTheme="minorHAnsi" w:hAnsiTheme="minorHAnsi" w:cstheme="minorHAnsi"/>
          <w:bCs/>
          <w:sz w:val="24"/>
          <w:szCs w:val="24"/>
        </w:rPr>
        <w:t>Doc. 5/179(Rev.1)</w:t>
      </w:r>
    </w:p>
    <w:p w:rsidR="007E668D" w:rsidRPr="007E668D" w:rsidRDefault="007E668D" w:rsidP="007E668D">
      <w:pPr>
        <w:pStyle w:val="Rectitle"/>
        <w:rPr>
          <w:rFonts w:cstheme="minorHAnsi"/>
        </w:rPr>
      </w:pPr>
      <w:r w:rsidRPr="007E668D">
        <w:rPr>
          <w:rFonts w:cstheme="minorHAnsi"/>
        </w:rPr>
        <w:t>Disposición de frecuencias para sistemas de radiocomunicaciones de protección pública y operaciones de socorro en caso de catástrofe en las bandas de ondas decimétricas con arreglo a la Resolución 646 (Rev.CMR-12)</w:t>
      </w:r>
    </w:p>
    <w:p w:rsidR="007E668D" w:rsidRPr="00621CB7" w:rsidRDefault="007E668D" w:rsidP="00F51EA2">
      <w:pPr>
        <w:tabs>
          <w:tab w:val="right" w:pos="9639"/>
        </w:tabs>
        <w:spacing w:before="240"/>
        <w:rPr>
          <w:rFonts w:asciiTheme="minorHAnsi" w:hAnsiTheme="minorHAnsi" w:cstheme="minorHAnsi"/>
          <w:sz w:val="24"/>
          <w:szCs w:val="24"/>
        </w:rPr>
      </w:pPr>
      <w:r w:rsidRPr="00621CB7">
        <w:rPr>
          <w:rFonts w:asciiTheme="minorHAnsi" w:hAnsiTheme="minorHAnsi" w:cstheme="minorHAnsi"/>
          <w:sz w:val="24"/>
          <w:szCs w:val="24"/>
        </w:rPr>
        <w:t>En esta revisión se han añadido en el Anexo 4 las disposiciones de frecuencias para la</w:t>
      </w:r>
      <w:r w:rsidR="00621CB7">
        <w:rPr>
          <w:rFonts w:asciiTheme="minorHAnsi" w:hAnsiTheme="minorHAnsi" w:cstheme="minorHAnsi"/>
          <w:sz w:val="24"/>
          <w:szCs w:val="24"/>
        </w:rPr>
        <w:t> </w:t>
      </w:r>
      <w:r w:rsidRPr="00621CB7">
        <w:rPr>
          <w:rFonts w:asciiTheme="minorHAnsi" w:hAnsiTheme="minorHAnsi" w:cstheme="minorHAnsi"/>
          <w:sz w:val="24"/>
          <w:szCs w:val="24"/>
        </w:rPr>
        <w:t>banda 406,1</w:t>
      </w:r>
      <w:r w:rsidRPr="00621CB7">
        <w:rPr>
          <w:rFonts w:asciiTheme="minorHAnsi" w:hAnsiTheme="minorHAnsi" w:cstheme="minorHAnsi"/>
          <w:sz w:val="24"/>
          <w:szCs w:val="24"/>
        </w:rPr>
        <w:noBreakHyphen/>
        <w:t>430 MHz y en el Anexo 5 dos disposiciones de frecuencias adicionales para las bandas 806-824/851-869 MHz a fin de reflejar las actuales instalaciones de redes de protección pública y</w:t>
      </w:r>
      <w:r w:rsidR="00621CB7">
        <w:rPr>
          <w:rFonts w:asciiTheme="minorHAnsi" w:hAnsiTheme="minorHAnsi" w:cstheme="minorHAnsi"/>
          <w:sz w:val="24"/>
          <w:szCs w:val="24"/>
        </w:rPr>
        <w:t> </w:t>
      </w:r>
      <w:r w:rsidRPr="00621CB7">
        <w:rPr>
          <w:rFonts w:asciiTheme="minorHAnsi" w:hAnsiTheme="minorHAnsi" w:cstheme="minorHAnsi"/>
          <w:sz w:val="24"/>
          <w:szCs w:val="24"/>
        </w:rPr>
        <w:t xml:space="preserve">socorro en caso de catástrofe. Se han introducido en los </w:t>
      </w:r>
      <w:r w:rsidRPr="00621CB7">
        <w:rPr>
          <w:rFonts w:asciiTheme="minorHAnsi" w:hAnsiTheme="minorHAnsi" w:cstheme="minorHAnsi"/>
          <w:i/>
          <w:iCs/>
          <w:sz w:val="24"/>
          <w:szCs w:val="24"/>
        </w:rPr>
        <w:t>considerando</w:t>
      </w:r>
      <w:r w:rsidRPr="00621CB7">
        <w:rPr>
          <w:rFonts w:asciiTheme="minorHAnsi" w:hAnsiTheme="minorHAnsi" w:cstheme="minorHAnsi"/>
          <w:sz w:val="24"/>
          <w:szCs w:val="24"/>
        </w:rPr>
        <w:t xml:space="preserve"> y en los </w:t>
      </w:r>
      <w:r w:rsidRPr="00621CB7">
        <w:rPr>
          <w:rFonts w:asciiTheme="minorHAnsi" w:hAnsiTheme="minorHAnsi" w:cstheme="minorHAnsi"/>
          <w:i/>
          <w:iCs/>
          <w:sz w:val="24"/>
          <w:szCs w:val="24"/>
        </w:rPr>
        <w:t>observando</w:t>
      </w:r>
      <w:r w:rsidRPr="00621CB7">
        <w:rPr>
          <w:rFonts w:asciiTheme="minorHAnsi" w:hAnsiTheme="minorHAnsi" w:cstheme="minorHAnsi"/>
          <w:sz w:val="24"/>
          <w:szCs w:val="24"/>
        </w:rPr>
        <w:t xml:space="preserve"> un</w:t>
      </w:r>
      <w:r w:rsidR="00621CB7">
        <w:rPr>
          <w:rFonts w:asciiTheme="minorHAnsi" w:hAnsiTheme="minorHAnsi" w:cstheme="minorHAnsi"/>
          <w:sz w:val="24"/>
          <w:szCs w:val="24"/>
        </w:rPr>
        <w:t> </w:t>
      </w:r>
      <w:r w:rsidRPr="00621CB7">
        <w:rPr>
          <w:rFonts w:asciiTheme="minorHAnsi" w:hAnsiTheme="minorHAnsi" w:cstheme="minorHAnsi"/>
          <w:sz w:val="24"/>
          <w:szCs w:val="24"/>
        </w:rPr>
        <w:t xml:space="preserve">cierto número de adiciones y cambios redaccionales. Se ha añadido el </w:t>
      </w:r>
      <w:r w:rsidRPr="00621CB7">
        <w:rPr>
          <w:rFonts w:asciiTheme="minorHAnsi" w:hAnsiTheme="minorHAnsi" w:cstheme="minorHAnsi"/>
          <w:i/>
          <w:iCs/>
          <w:sz w:val="24"/>
          <w:szCs w:val="24"/>
        </w:rPr>
        <w:t>reconociendo</w:t>
      </w:r>
      <w:r w:rsidRPr="00621CB7">
        <w:rPr>
          <w:rFonts w:asciiTheme="minorHAnsi" w:hAnsiTheme="minorHAnsi" w:cstheme="minorHAnsi"/>
          <w:sz w:val="24"/>
          <w:szCs w:val="24"/>
        </w:rPr>
        <w:t xml:space="preserve"> </w:t>
      </w:r>
      <w:r w:rsidRPr="00621CB7">
        <w:rPr>
          <w:rFonts w:asciiTheme="minorHAnsi" w:hAnsiTheme="minorHAnsi" w:cstheme="minorHAnsi"/>
          <w:i/>
          <w:iCs/>
          <w:sz w:val="24"/>
          <w:szCs w:val="24"/>
        </w:rPr>
        <w:t>d)</w:t>
      </w:r>
      <w:r w:rsidRPr="00621CB7">
        <w:rPr>
          <w:rFonts w:asciiTheme="minorHAnsi" w:hAnsiTheme="minorHAnsi" w:cstheme="minorHAnsi"/>
          <w:sz w:val="24"/>
          <w:szCs w:val="24"/>
        </w:rPr>
        <w:t xml:space="preserve"> de la Resolución </w:t>
      </w:r>
      <w:r w:rsidRPr="00621CB7">
        <w:rPr>
          <w:rFonts w:asciiTheme="minorHAnsi" w:hAnsiTheme="minorHAnsi" w:cstheme="minorHAnsi"/>
          <w:b/>
          <w:bCs/>
          <w:sz w:val="24"/>
          <w:szCs w:val="24"/>
        </w:rPr>
        <w:t>646 (Rev.CMR-12)</w:t>
      </w:r>
      <w:r w:rsidRPr="00621CB7">
        <w:rPr>
          <w:rFonts w:asciiTheme="minorHAnsi" w:hAnsiTheme="minorHAnsi" w:cstheme="minorHAnsi"/>
          <w:sz w:val="24"/>
          <w:szCs w:val="24"/>
        </w:rPr>
        <w:t xml:space="preserve"> así como una nueva nota 4 que incluye gamas/bandas de frecuencia utilizadas o cuya utilización se está considerando por algunas administraciones no incluidas en la Resolución </w:t>
      </w:r>
      <w:r w:rsidRPr="00621CB7">
        <w:rPr>
          <w:rFonts w:asciiTheme="minorHAnsi" w:hAnsiTheme="minorHAnsi" w:cstheme="minorHAnsi"/>
          <w:b/>
          <w:bCs/>
          <w:sz w:val="24"/>
          <w:szCs w:val="24"/>
        </w:rPr>
        <w:t>646 (Rev.CMR-12)</w:t>
      </w:r>
      <w:r w:rsidRPr="00621CB7">
        <w:rPr>
          <w:rFonts w:asciiTheme="minorHAnsi" w:hAnsiTheme="minorHAnsi" w:cstheme="minorHAnsi"/>
          <w:sz w:val="24"/>
          <w:szCs w:val="24"/>
        </w:rPr>
        <w:t>.</w:t>
      </w:r>
    </w:p>
    <w:p w:rsidR="007E668D" w:rsidRPr="00621CB7" w:rsidRDefault="007E668D" w:rsidP="007E6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4"/>
          <w:szCs w:val="24"/>
        </w:rPr>
      </w:pPr>
      <w:r w:rsidRPr="00621CB7">
        <w:rPr>
          <w:rFonts w:asciiTheme="minorHAnsi" w:hAnsiTheme="minorHAnsi" w:cstheme="minorHAnsi"/>
          <w:sz w:val="24"/>
          <w:szCs w:val="24"/>
        </w:rPr>
        <w:br w:type="page"/>
      </w:r>
    </w:p>
    <w:p w:rsidR="007E668D" w:rsidRPr="007E668D" w:rsidRDefault="007E668D" w:rsidP="007E668D">
      <w:pPr>
        <w:pStyle w:val="Annextitle"/>
        <w:rPr>
          <w:rFonts w:asciiTheme="minorHAnsi" w:hAnsiTheme="minorHAnsi" w:cstheme="minorHAnsi"/>
        </w:rPr>
      </w:pPr>
      <w:r w:rsidRPr="007E668D">
        <w:rPr>
          <w:rFonts w:asciiTheme="minorHAnsi" w:hAnsiTheme="minorHAnsi" w:cstheme="minorHAnsi"/>
        </w:rPr>
        <w:lastRenderedPageBreak/>
        <w:t>Anexo 2</w:t>
      </w:r>
    </w:p>
    <w:p w:rsidR="007E668D" w:rsidRPr="00DD1B27" w:rsidRDefault="007E668D" w:rsidP="007E668D">
      <w:pPr>
        <w:tabs>
          <w:tab w:val="right" w:pos="9639"/>
        </w:tabs>
        <w:jc w:val="center"/>
        <w:rPr>
          <w:rFonts w:asciiTheme="minorHAnsi" w:hAnsiTheme="minorHAnsi" w:cstheme="minorHAnsi"/>
          <w:sz w:val="24"/>
          <w:szCs w:val="24"/>
        </w:rPr>
      </w:pPr>
      <w:r w:rsidRPr="00DD1B27">
        <w:rPr>
          <w:rFonts w:asciiTheme="minorHAnsi" w:hAnsiTheme="minorHAnsi" w:cstheme="minorHAnsi"/>
          <w:sz w:val="24"/>
          <w:szCs w:val="24"/>
        </w:rPr>
        <w:t xml:space="preserve">(Documento </w:t>
      </w:r>
      <w:hyperlink r:id="rId11" w:history="1">
        <w:r w:rsidRPr="00DD1B27">
          <w:rPr>
            <w:rStyle w:val="Hyperlink"/>
            <w:rFonts w:asciiTheme="minorHAnsi" w:eastAsia="SimSun" w:hAnsiTheme="minorHAnsi" w:cstheme="majorBidi"/>
            <w:bCs/>
            <w:sz w:val="24"/>
            <w:szCs w:val="24"/>
            <w:lang w:eastAsia="zh-CN"/>
          </w:rPr>
          <w:t>5/164</w:t>
        </w:r>
      </w:hyperlink>
      <w:r w:rsidRPr="00DD1B27">
        <w:rPr>
          <w:rFonts w:asciiTheme="minorHAnsi" w:hAnsiTheme="minorHAnsi" w:cstheme="minorHAnsi"/>
          <w:sz w:val="24"/>
          <w:szCs w:val="24"/>
        </w:rPr>
        <w:t>)</w:t>
      </w:r>
    </w:p>
    <w:p w:rsidR="007E668D" w:rsidRPr="00F51EA2" w:rsidRDefault="007E668D" w:rsidP="007E668D">
      <w:pPr>
        <w:pStyle w:val="QuestionNoBR"/>
        <w:rPr>
          <w:rFonts w:asciiTheme="majorBidi" w:hAnsiTheme="majorBidi" w:cstheme="majorBidi"/>
          <w:lang w:val="es-ES_tradnl"/>
        </w:rPr>
      </w:pPr>
      <w:r w:rsidRPr="00F51EA2">
        <w:rPr>
          <w:rFonts w:asciiTheme="majorBidi" w:hAnsiTheme="majorBidi" w:cstheme="majorBidi"/>
          <w:caps w:val="0"/>
          <w:lang w:val="es-ES_tradnl"/>
        </w:rPr>
        <w:t>PROYECTO</w:t>
      </w:r>
      <w:r w:rsidRPr="00F51EA2">
        <w:rPr>
          <w:rFonts w:asciiTheme="majorBidi" w:hAnsiTheme="majorBidi" w:cstheme="majorBidi"/>
          <w:lang w:val="es-ES_tradnl"/>
        </w:rPr>
        <w:t xml:space="preserve"> DE NUEVA CUESTIÓN UIT-R [PERFORM]/5</w:t>
      </w:r>
    </w:p>
    <w:p w:rsidR="007E668D" w:rsidRPr="00F51EA2" w:rsidRDefault="007E668D" w:rsidP="00F51EA2">
      <w:pPr>
        <w:pStyle w:val="Rectitle"/>
        <w:spacing w:before="240"/>
        <w:ind w:left="108"/>
        <w:rPr>
          <w:rFonts w:asciiTheme="majorBidi" w:hAnsiTheme="majorBidi" w:cstheme="majorBidi"/>
        </w:rPr>
      </w:pPr>
      <w:r w:rsidRPr="00F51EA2">
        <w:rPr>
          <w:rFonts w:asciiTheme="majorBidi" w:hAnsiTheme="majorBidi" w:cstheme="majorBidi"/>
        </w:rPr>
        <w:t xml:space="preserve">Objetivos y requisitos de </w:t>
      </w:r>
      <w:r w:rsidRPr="00F51EA2">
        <w:rPr>
          <w:rFonts w:asciiTheme="majorBidi" w:hAnsiTheme="majorBidi" w:cstheme="majorBidi"/>
          <w:lang w:eastAsia="zh-CN"/>
        </w:rPr>
        <w:t>calidad</w:t>
      </w:r>
      <w:r w:rsidRPr="00F51EA2">
        <w:rPr>
          <w:rFonts w:asciiTheme="majorBidi" w:hAnsiTheme="majorBidi" w:cstheme="majorBidi"/>
        </w:rPr>
        <w:t xml:space="preserve"> de funcionamiento y disponibilidad para los sistemas inalámbricos fijos, incluidos los sistemas de paquetes</w:t>
      </w:r>
    </w:p>
    <w:p w:rsidR="007E668D" w:rsidRPr="00F51EA2" w:rsidRDefault="007E668D" w:rsidP="007E668D">
      <w:pPr>
        <w:pStyle w:val="Normalaftertitle"/>
        <w:rPr>
          <w:rFonts w:asciiTheme="majorBidi" w:hAnsiTheme="majorBidi" w:cstheme="majorBidi"/>
          <w:sz w:val="24"/>
          <w:szCs w:val="24"/>
        </w:rPr>
      </w:pPr>
      <w:r w:rsidRPr="00F51EA2">
        <w:rPr>
          <w:rFonts w:asciiTheme="majorBidi" w:hAnsiTheme="majorBidi" w:cstheme="majorBidi"/>
          <w:sz w:val="24"/>
          <w:szCs w:val="24"/>
        </w:rPr>
        <w:t>La Asamblea de Radiocomunicaciones de</w:t>
      </w:r>
      <w:r w:rsidR="00D031EF">
        <w:rPr>
          <w:rFonts w:asciiTheme="majorBidi" w:hAnsiTheme="majorBidi" w:cstheme="majorBidi"/>
          <w:sz w:val="24"/>
          <w:szCs w:val="24"/>
        </w:rPr>
        <w:t xml:space="preserve"> </w:t>
      </w:r>
      <w:r w:rsidRPr="00F51EA2">
        <w:rPr>
          <w:rFonts w:asciiTheme="majorBidi" w:hAnsiTheme="majorBidi" w:cstheme="majorBidi"/>
          <w:sz w:val="24"/>
          <w:szCs w:val="24"/>
        </w:rPr>
        <w:t>l</w:t>
      </w:r>
      <w:r w:rsidR="00D031EF">
        <w:rPr>
          <w:rFonts w:asciiTheme="majorBidi" w:hAnsiTheme="majorBidi" w:cstheme="majorBidi"/>
          <w:sz w:val="24"/>
          <w:szCs w:val="24"/>
        </w:rPr>
        <w:t>a UIT</w:t>
      </w:r>
      <w:r w:rsidRPr="00F51EA2">
        <w:rPr>
          <w:rFonts w:asciiTheme="majorBidi" w:hAnsiTheme="majorBidi" w:cstheme="majorBidi"/>
          <w:sz w:val="24"/>
          <w:szCs w:val="24"/>
        </w:rPr>
        <w:t>,</w:t>
      </w:r>
    </w:p>
    <w:p w:rsidR="007E668D" w:rsidRPr="00F51EA2" w:rsidRDefault="007E668D" w:rsidP="00F51EA2">
      <w:pPr>
        <w:pStyle w:val="Call"/>
        <w:spacing w:before="160"/>
        <w:rPr>
          <w:rFonts w:asciiTheme="majorBidi" w:hAnsiTheme="majorBidi" w:cstheme="majorBidi"/>
          <w:sz w:val="24"/>
          <w:szCs w:val="24"/>
        </w:rPr>
      </w:pPr>
      <w:r w:rsidRPr="00F51EA2">
        <w:rPr>
          <w:rFonts w:asciiTheme="majorBidi" w:hAnsiTheme="majorBidi" w:cstheme="majorBidi"/>
          <w:sz w:val="24"/>
          <w:szCs w:val="24"/>
        </w:rPr>
        <w:t>considerando</w:t>
      </w:r>
    </w:p>
    <w:p w:rsidR="007E668D" w:rsidRPr="00F51EA2" w:rsidRDefault="007E668D" w:rsidP="00F51EA2">
      <w:pPr>
        <w:spacing w:before="120"/>
        <w:jc w:val="left"/>
        <w:rPr>
          <w:rFonts w:asciiTheme="majorBidi" w:hAnsiTheme="majorBidi" w:cstheme="majorBidi"/>
          <w:sz w:val="24"/>
          <w:szCs w:val="24"/>
        </w:rPr>
      </w:pPr>
      <w:r w:rsidRPr="00F51EA2">
        <w:rPr>
          <w:rFonts w:asciiTheme="majorBidi" w:hAnsiTheme="majorBidi" w:cstheme="majorBidi"/>
          <w:i/>
          <w:iCs/>
          <w:sz w:val="24"/>
          <w:szCs w:val="24"/>
        </w:rPr>
        <w:t>a)</w:t>
      </w:r>
      <w:r w:rsidRPr="00F51EA2">
        <w:rPr>
          <w:rFonts w:asciiTheme="majorBidi" w:hAnsiTheme="majorBidi" w:cstheme="majorBidi"/>
          <w:sz w:val="24"/>
          <w:szCs w:val="24"/>
        </w:rPr>
        <w:tab/>
        <w:t>que actualmente ha crecido significativamente la demanda de anchura de banda y por ello la tecnología de los sistemas inalámbricos fijos (FWS) también ha evolucionado desde el soporte de baja capacidad a soporte de alta capacidad que pueda proporcionar una transmisión de datos a una velocidad más elevada;</w:t>
      </w:r>
    </w:p>
    <w:p w:rsidR="007E668D" w:rsidRPr="00F51EA2" w:rsidRDefault="007E668D" w:rsidP="00F51EA2">
      <w:pPr>
        <w:spacing w:before="120"/>
        <w:jc w:val="left"/>
        <w:rPr>
          <w:rFonts w:asciiTheme="majorBidi" w:hAnsiTheme="majorBidi" w:cstheme="majorBidi"/>
          <w:sz w:val="24"/>
          <w:szCs w:val="24"/>
        </w:rPr>
      </w:pPr>
      <w:r w:rsidRPr="00F51EA2">
        <w:rPr>
          <w:rFonts w:asciiTheme="majorBidi" w:hAnsiTheme="majorBidi" w:cstheme="majorBidi"/>
          <w:i/>
          <w:iCs/>
          <w:sz w:val="24"/>
          <w:szCs w:val="24"/>
        </w:rPr>
        <w:t>b)</w:t>
      </w:r>
      <w:r w:rsidRPr="00F51EA2">
        <w:rPr>
          <w:rFonts w:asciiTheme="majorBidi" w:hAnsiTheme="majorBidi" w:cstheme="majorBidi"/>
          <w:sz w:val="24"/>
          <w:szCs w:val="24"/>
        </w:rPr>
        <w:tab/>
        <w:t>que con respecto a la evolución de la capacidad, los FWS han evolucionado con los años tanto en términos de tecnología como de aplicaciones;</w:t>
      </w:r>
    </w:p>
    <w:p w:rsidR="007E668D" w:rsidRPr="00F51EA2" w:rsidRDefault="007E668D" w:rsidP="00F51EA2">
      <w:pPr>
        <w:spacing w:before="120"/>
        <w:jc w:val="left"/>
        <w:rPr>
          <w:rFonts w:asciiTheme="majorBidi" w:hAnsiTheme="majorBidi" w:cstheme="majorBidi"/>
          <w:sz w:val="24"/>
          <w:szCs w:val="24"/>
        </w:rPr>
      </w:pPr>
      <w:r w:rsidRPr="00F51EA2">
        <w:rPr>
          <w:rFonts w:asciiTheme="majorBidi" w:hAnsiTheme="majorBidi" w:cstheme="majorBidi"/>
          <w:i/>
          <w:iCs/>
          <w:sz w:val="24"/>
          <w:szCs w:val="24"/>
        </w:rPr>
        <w:t>c)</w:t>
      </w:r>
      <w:r w:rsidRPr="00F51EA2">
        <w:rPr>
          <w:rFonts w:asciiTheme="majorBidi" w:hAnsiTheme="majorBidi" w:cstheme="majorBidi"/>
          <w:sz w:val="24"/>
          <w:szCs w:val="24"/>
        </w:rPr>
        <w:tab/>
        <w:t>que esta evolución en la tecnología FWS también se está traduciendo en una evolución coherente de los requisitos de calidad de funcionamiento, disponibilidad, arquitecturas, capacidad y anchura de banda de la red;</w:t>
      </w:r>
    </w:p>
    <w:p w:rsidR="007E668D" w:rsidRPr="00F51EA2" w:rsidRDefault="007E668D" w:rsidP="00F51EA2">
      <w:pPr>
        <w:spacing w:before="120"/>
        <w:jc w:val="left"/>
        <w:rPr>
          <w:rFonts w:asciiTheme="majorBidi" w:hAnsiTheme="majorBidi" w:cstheme="majorBidi"/>
          <w:sz w:val="24"/>
          <w:szCs w:val="24"/>
        </w:rPr>
      </w:pPr>
      <w:r w:rsidRPr="00F51EA2">
        <w:rPr>
          <w:rFonts w:asciiTheme="majorBidi" w:hAnsiTheme="majorBidi" w:cstheme="majorBidi"/>
          <w:i/>
          <w:iCs/>
          <w:sz w:val="24"/>
          <w:szCs w:val="24"/>
        </w:rPr>
        <w:t>d)</w:t>
      </w:r>
      <w:r w:rsidRPr="00F51EA2">
        <w:rPr>
          <w:rFonts w:asciiTheme="majorBidi" w:hAnsiTheme="majorBidi" w:cstheme="majorBidi"/>
          <w:sz w:val="24"/>
          <w:szCs w:val="24"/>
        </w:rPr>
        <w:tab/>
        <w:t>que las aplicaciones de paquetes constituyen la parte principal de las actuales redes de transporte y acceso y cabe esperar que experimenten un fuerte incremento en un próximo futuro;</w:t>
      </w:r>
    </w:p>
    <w:p w:rsidR="007E668D" w:rsidRPr="00F51EA2" w:rsidRDefault="007E668D" w:rsidP="00F51EA2">
      <w:pPr>
        <w:spacing w:before="120"/>
        <w:jc w:val="left"/>
        <w:rPr>
          <w:rFonts w:asciiTheme="majorBidi" w:hAnsiTheme="majorBidi" w:cstheme="majorBidi"/>
          <w:sz w:val="24"/>
          <w:szCs w:val="24"/>
        </w:rPr>
      </w:pPr>
      <w:r w:rsidRPr="00F51EA2">
        <w:rPr>
          <w:rFonts w:asciiTheme="majorBidi" w:hAnsiTheme="majorBidi" w:cstheme="majorBidi"/>
          <w:i/>
          <w:iCs/>
          <w:sz w:val="24"/>
          <w:szCs w:val="24"/>
        </w:rPr>
        <w:t>e)</w:t>
      </w:r>
      <w:r w:rsidRPr="00F51EA2">
        <w:rPr>
          <w:rFonts w:asciiTheme="majorBidi" w:hAnsiTheme="majorBidi" w:cstheme="majorBidi"/>
          <w:sz w:val="24"/>
          <w:szCs w:val="24"/>
        </w:rPr>
        <w:tab/>
        <w:t>que es necesario comprender los objetivos y requisitos de la calidad de funcionamiento y disponibilidad de la capa de datos física de los FWS evolucionados, incluidos los sistemas de paquetes;</w:t>
      </w:r>
    </w:p>
    <w:p w:rsidR="007E668D" w:rsidRPr="00F51EA2" w:rsidRDefault="007E668D" w:rsidP="00F51EA2">
      <w:pPr>
        <w:spacing w:before="120"/>
        <w:jc w:val="left"/>
        <w:rPr>
          <w:rFonts w:asciiTheme="majorBidi" w:hAnsiTheme="majorBidi" w:cstheme="majorBidi"/>
          <w:sz w:val="24"/>
          <w:szCs w:val="24"/>
        </w:rPr>
      </w:pPr>
      <w:r w:rsidRPr="00F51EA2">
        <w:rPr>
          <w:rFonts w:asciiTheme="majorBidi" w:hAnsiTheme="majorBidi" w:cstheme="majorBidi"/>
          <w:i/>
          <w:iCs/>
          <w:sz w:val="24"/>
          <w:szCs w:val="24"/>
        </w:rPr>
        <w:t>f)</w:t>
      </w:r>
      <w:r w:rsidRPr="00F51EA2">
        <w:rPr>
          <w:rFonts w:asciiTheme="majorBidi" w:hAnsiTheme="majorBidi" w:cstheme="majorBidi"/>
          <w:sz w:val="24"/>
          <w:szCs w:val="24"/>
        </w:rPr>
        <w:tab/>
        <w:t>que es preciso proporcionar directrices que ayuden a las administraciones, a los fabricantes y a los operadores de telecomunicaciones a la creación y mantenimiento de redes,</w:t>
      </w:r>
    </w:p>
    <w:p w:rsidR="007E668D" w:rsidRPr="00F51EA2" w:rsidRDefault="007E668D" w:rsidP="00F51EA2">
      <w:pPr>
        <w:pStyle w:val="Call"/>
        <w:spacing w:before="160"/>
        <w:rPr>
          <w:rFonts w:asciiTheme="majorBidi" w:hAnsiTheme="majorBidi" w:cstheme="majorBidi"/>
          <w:sz w:val="24"/>
          <w:szCs w:val="24"/>
        </w:rPr>
      </w:pPr>
      <w:r w:rsidRPr="00F51EA2">
        <w:rPr>
          <w:rFonts w:asciiTheme="majorBidi" w:hAnsiTheme="majorBidi" w:cstheme="majorBidi"/>
          <w:sz w:val="24"/>
          <w:szCs w:val="24"/>
        </w:rPr>
        <w:t>observando</w:t>
      </w:r>
    </w:p>
    <w:p w:rsidR="007E668D" w:rsidRPr="00F51EA2" w:rsidRDefault="007E668D" w:rsidP="00DD1B27">
      <w:pPr>
        <w:spacing w:before="120"/>
        <w:jc w:val="left"/>
        <w:rPr>
          <w:rFonts w:asciiTheme="majorBidi" w:hAnsiTheme="majorBidi" w:cstheme="majorBidi"/>
          <w:sz w:val="24"/>
          <w:szCs w:val="24"/>
        </w:rPr>
      </w:pPr>
      <w:r w:rsidRPr="00F51EA2">
        <w:rPr>
          <w:rFonts w:asciiTheme="majorBidi" w:hAnsiTheme="majorBidi" w:cstheme="majorBidi"/>
          <w:sz w:val="24"/>
          <w:szCs w:val="24"/>
        </w:rPr>
        <w:t>que la</w:t>
      </w:r>
      <w:r w:rsidR="00D031EF">
        <w:rPr>
          <w:rFonts w:asciiTheme="majorBidi" w:hAnsiTheme="majorBidi" w:cstheme="majorBidi"/>
          <w:sz w:val="24"/>
          <w:szCs w:val="24"/>
        </w:rPr>
        <w:t>s Recomendacio</w:t>
      </w:r>
      <w:r w:rsidRPr="00F51EA2">
        <w:rPr>
          <w:rFonts w:asciiTheme="majorBidi" w:hAnsiTheme="majorBidi" w:cstheme="majorBidi"/>
          <w:sz w:val="24"/>
          <w:szCs w:val="24"/>
        </w:rPr>
        <w:t>n</w:t>
      </w:r>
      <w:r w:rsidR="00D031EF">
        <w:rPr>
          <w:rFonts w:asciiTheme="majorBidi" w:hAnsiTheme="majorBidi" w:cstheme="majorBidi"/>
          <w:sz w:val="24"/>
          <w:szCs w:val="24"/>
        </w:rPr>
        <w:t>es</w:t>
      </w:r>
      <w:r w:rsidRPr="00F51EA2">
        <w:rPr>
          <w:rFonts w:asciiTheme="majorBidi" w:hAnsiTheme="majorBidi" w:cstheme="majorBidi"/>
          <w:sz w:val="24"/>
          <w:szCs w:val="24"/>
        </w:rPr>
        <w:t xml:space="preserve"> UIT-R F.1668 y UIT-R F.1703 especifican los objetivos de característica de error y de disponibilidad para los enlaces inalámbricos fijos reales utilizados en las conexiones y trayectos ficticios de referencia de 27</w:t>
      </w:r>
      <w:r w:rsidR="00DD1B27">
        <w:rPr>
          <w:rFonts w:asciiTheme="majorBidi" w:hAnsiTheme="majorBidi" w:cstheme="majorBidi"/>
          <w:sz w:val="24"/>
          <w:szCs w:val="24"/>
        </w:rPr>
        <w:t> </w:t>
      </w:r>
      <w:r w:rsidRPr="00F51EA2">
        <w:rPr>
          <w:rFonts w:asciiTheme="majorBidi" w:hAnsiTheme="majorBidi" w:cstheme="majorBidi"/>
          <w:sz w:val="24"/>
          <w:szCs w:val="24"/>
        </w:rPr>
        <w:t>500 km, basados en las Recomendaciones UIT-T G.826 y UIT</w:t>
      </w:r>
      <w:r w:rsidRPr="00F51EA2">
        <w:rPr>
          <w:rFonts w:asciiTheme="majorBidi" w:hAnsiTheme="majorBidi" w:cstheme="majorBidi"/>
          <w:sz w:val="24"/>
          <w:szCs w:val="24"/>
        </w:rPr>
        <w:noBreakHyphen/>
        <w:t>T G.827, respectivamente,</w:t>
      </w:r>
    </w:p>
    <w:p w:rsidR="007E668D" w:rsidRPr="00F51EA2" w:rsidRDefault="007E668D" w:rsidP="00F51EA2">
      <w:pPr>
        <w:pStyle w:val="Call"/>
        <w:spacing w:before="160"/>
        <w:rPr>
          <w:rFonts w:asciiTheme="majorBidi" w:hAnsiTheme="majorBidi" w:cstheme="majorBidi"/>
          <w:sz w:val="24"/>
          <w:szCs w:val="24"/>
        </w:rPr>
      </w:pPr>
      <w:r w:rsidRPr="00F51EA2">
        <w:rPr>
          <w:rFonts w:asciiTheme="majorBidi" w:hAnsiTheme="majorBidi" w:cstheme="majorBidi"/>
          <w:sz w:val="24"/>
          <w:szCs w:val="24"/>
        </w:rPr>
        <w:t xml:space="preserve">decide </w:t>
      </w:r>
      <w:r w:rsidRPr="00D031EF">
        <w:rPr>
          <w:rFonts w:asciiTheme="majorBidi" w:hAnsiTheme="majorBidi" w:cstheme="majorBidi"/>
          <w:i w:val="0"/>
          <w:iCs/>
          <w:sz w:val="24"/>
          <w:szCs w:val="24"/>
        </w:rPr>
        <w:t>poner a estudios la siguiente Cuestión</w:t>
      </w:r>
    </w:p>
    <w:p w:rsidR="007E668D" w:rsidRPr="00F51EA2" w:rsidRDefault="007E668D" w:rsidP="00F51EA2">
      <w:pPr>
        <w:tabs>
          <w:tab w:val="right" w:pos="9639"/>
        </w:tabs>
        <w:spacing w:before="120"/>
        <w:jc w:val="left"/>
        <w:rPr>
          <w:rFonts w:asciiTheme="majorBidi" w:hAnsiTheme="majorBidi" w:cstheme="majorBidi"/>
          <w:sz w:val="24"/>
          <w:szCs w:val="24"/>
        </w:rPr>
      </w:pPr>
      <w:r w:rsidRPr="00F51EA2">
        <w:rPr>
          <w:rFonts w:asciiTheme="majorBidi" w:hAnsiTheme="majorBidi" w:cstheme="majorBidi"/>
          <w:sz w:val="24"/>
          <w:szCs w:val="24"/>
        </w:rPr>
        <w:t>cuáles son los elementos fundamentales relativos a los objetos y requisitos de calidad de funcionamiento y disponibilidad de la capa de datos física de los FWS, incluidos los sistemas de paquetes, teniendo en cuenta:</w:t>
      </w:r>
    </w:p>
    <w:p w:rsidR="007E668D" w:rsidRPr="00F51EA2" w:rsidRDefault="007E668D" w:rsidP="00F51EA2">
      <w:pPr>
        <w:pStyle w:val="enumlev1"/>
        <w:jc w:val="left"/>
        <w:rPr>
          <w:rFonts w:asciiTheme="majorBidi" w:hAnsiTheme="majorBidi" w:cstheme="majorBidi"/>
          <w:sz w:val="24"/>
          <w:szCs w:val="24"/>
        </w:rPr>
      </w:pPr>
      <w:r w:rsidRPr="00F51EA2">
        <w:rPr>
          <w:rFonts w:asciiTheme="majorBidi" w:hAnsiTheme="majorBidi" w:cstheme="majorBidi"/>
          <w:sz w:val="24"/>
          <w:szCs w:val="24"/>
        </w:rPr>
        <w:t>–</w:t>
      </w:r>
      <w:r w:rsidRPr="00F51EA2">
        <w:rPr>
          <w:rFonts w:asciiTheme="majorBidi" w:hAnsiTheme="majorBidi" w:cstheme="majorBidi"/>
          <w:sz w:val="24"/>
          <w:szCs w:val="24"/>
        </w:rPr>
        <w:tab/>
        <w:t>las actuales especificaciones independientes de los medios del UIT-T sobre arquitectura e</w:t>
      </w:r>
      <w:r w:rsidR="00E80B6D" w:rsidRPr="00F51EA2">
        <w:rPr>
          <w:rFonts w:asciiTheme="majorBidi" w:hAnsiTheme="majorBidi" w:cstheme="majorBidi"/>
          <w:sz w:val="24"/>
          <w:szCs w:val="24"/>
        </w:rPr>
        <w:t> </w:t>
      </w:r>
      <w:r w:rsidRPr="00F51EA2">
        <w:rPr>
          <w:rFonts w:asciiTheme="majorBidi" w:hAnsiTheme="majorBidi" w:cstheme="majorBidi"/>
          <w:sz w:val="24"/>
          <w:szCs w:val="24"/>
        </w:rPr>
        <w:t>interfaces;</w:t>
      </w:r>
    </w:p>
    <w:p w:rsidR="007E668D" w:rsidRPr="00F51EA2" w:rsidRDefault="007E668D" w:rsidP="00F51EA2">
      <w:pPr>
        <w:pStyle w:val="enumlev1"/>
        <w:jc w:val="left"/>
        <w:rPr>
          <w:rFonts w:asciiTheme="majorBidi" w:hAnsiTheme="majorBidi" w:cstheme="majorBidi"/>
          <w:sz w:val="24"/>
          <w:szCs w:val="24"/>
        </w:rPr>
      </w:pPr>
      <w:r w:rsidRPr="00F51EA2">
        <w:rPr>
          <w:rFonts w:asciiTheme="majorBidi" w:hAnsiTheme="majorBidi" w:cstheme="majorBidi"/>
          <w:sz w:val="24"/>
          <w:szCs w:val="24"/>
        </w:rPr>
        <w:t>–</w:t>
      </w:r>
      <w:r w:rsidRPr="00F51EA2">
        <w:rPr>
          <w:rFonts w:asciiTheme="majorBidi" w:hAnsiTheme="majorBidi" w:cstheme="majorBidi"/>
          <w:sz w:val="24"/>
          <w:szCs w:val="24"/>
        </w:rPr>
        <w:tab/>
        <w:t>las actuales Recomendaciones específicas del UIT-T sobre objetivos de característica de error y de disponibilidad;</w:t>
      </w:r>
    </w:p>
    <w:p w:rsidR="007E668D" w:rsidRPr="00F51EA2" w:rsidRDefault="007E668D" w:rsidP="00F51EA2">
      <w:pPr>
        <w:pStyle w:val="enumlev1"/>
        <w:jc w:val="left"/>
        <w:rPr>
          <w:rFonts w:asciiTheme="majorBidi" w:hAnsiTheme="majorBidi" w:cstheme="majorBidi"/>
          <w:sz w:val="24"/>
          <w:szCs w:val="24"/>
        </w:rPr>
      </w:pPr>
      <w:r w:rsidRPr="00F51EA2">
        <w:rPr>
          <w:rFonts w:asciiTheme="majorBidi" w:hAnsiTheme="majorBidi" w:cstheme="majorBidi"/>
          <w:sz w:val="24"/>
          <w:szCs w:val="24"/>
        </w:rPr>
        <w:t>–</w:t>
      </w:r>
      <w:r w:rsidRPr="00F51EA2">
        <w:rPr>
          <w:rFonts w:asciiTheme="majorBidi" w:hAnsiTheme="majorBidi" w:cstheme="majorBidi"/>
          <w:sz w:val="24"/>
          <w:szCs w:val="24"/>
        </w:rPr>
        <w:tab/>
        <w:t>las actuales Recomendaciones específicas del UIT-R sobre planificación de los enlaces y propagación;</w:t>
      </w:r>
    </w:p>
    <w:p w:rsidR="007E668D" w:rsidRPr="00F51EA2" w:rsidRDefault="007E668D" w:rsidP="00F51EA2">
      <w:pPr>
        <w:pStyle w:val="enumlev1"/>
        <w:jc w:val="left"/>
        <w:rPr>
          <w:rFonts w:asciiTheme="majorBidi" w:hAnsiTheme="majorBidi" w:cstheme="majorBidi"/>
          <w:sz w:val="24"/>
          <w:szCs w:val="24"/>
        </w:rPr>
      </w:pPr>
      <w:r w:rsidRPr="00F51EA2">
        <w:rPr>
          <w:rFonts w:asciiTheme="majorBidi" w:hAnsiTheme="majorBidi" w:cstheme="majorBidi"/>
          <w:sz w:val="24"/>
          <w:szCs w:val="24"/>
        </w:rPr>
        <w:t>–</w:t>
      </w:r>
      <w:r w:rsidRPr="00F51EA2">
        <w:rPr>
          <w:rFonts w:asciiTheme="majorBidi" w:hAnsiTheme="majorBidi" w:cstheme="majorBidi"/>
          <w:sz w:val="24"/>
          <w:szCs w:val="24"/>
        </w:rPr>
        <w:tab/>
        <w:t>las actuales publicaciones de otras organizaciones con las que convendría coordinar para realizar estos trabajos,</w:t>
      </w:r>
    </w:p>
    <w:p w:rsidR="007E668D" w:rsidRPr="00F51EA2" w:rsidRDefault="007E668D" w:rsidP="007E668D">
      <w:pPr>
        <w:pStyle w:val="Call"/>
        <w:rPr>
          <w:rFonts w:asciiTheme="majorBidi" w:hAnsiTheme="majorBidi" w:cstheme="majorBidi"/>
          <w:sz w:val="24"/>
          <w:szCs w:val="24"/>
        </w:rPr>
      </w:pPr>
      <w:r w:rsidRPr="00F51EA2">
        <w:rPr>
          <w:rFonts w:asciiTheme="majorBidi" w:hAnsiTheme="majorBidi" w:cstheme="majorBidi"/>
          <w:sz w:val="24"/>
          <w:szCs w:val="24"/>
        </w:rPr>
        <w:lastRenderedPageBreak/>
        <w:t>decide también</w:t>
      </w:r>
    </w:p>
    <w:p w:rsidR="007E668D" w:rsidRPr="00F51EA2" w:rsidRDefault="007E668D" w:rsidP="00F51EA2">
      <w:pPr>
        <w:jc w:val="left"/>
        <w:rPr>
          <w:rFonts w:asciiTheme="majorBidi" w:hAnsiTheme="majorBidi" w:cstheme="majorBidi"/>
          <w:sz w:val="24"/>
          <w:szCs w:val="24"/>
        </w:rPr>
      </w:pPr>
      <w:r w:rsidRPr="00F51EA2">
        <w:rPr>
          <w:rFonts w:asciiTheme="majorBidi" w:hAnsiTheme="majorBidi" w:cstheme="majorBidi"/>
          <w:sz w:val="24"/>
          <w:szCs w:val="24"/>
        </w:rPr>
        <w:t>1</w:t>
      </w:r>
      <w:r w:rsidRPr="00F51EA2">
        <w:rPr>
          <w:rFonts w:asciiTheme="majorBidi" w:hAnsiTheme="majorBidi" w:cstheme="majorBidi"/>
          <w:sz w:val="24"/>
          <w:szCs w:val="24"/>
        </w:rPr>
        <w:tab/>
        <w:t>que la resolución de los problemas identificados en el análisis debe coordinarse con el UIT</w:t>
      </w:r>
      <w:r w:rsidR="00E80B6D" w:rsidRPr="00F51EA2">
        <w:rPr>
          <w:rFonts w:asciiTheme="majorBidi" w:hAnsiTheme="majorBidi" w:cstheme="majorBidi"/>
          <w:sz w:val="24"/>
          <w:szCs w:val="24"/>
        </w:rPr>
        <w:noBreakHyphen/>
      </w:r>
      <w:r w:rsidRPr="00F51EA2">
        <w:rPr>
          <w:rFonts w:asciiTheme="majorBidi" w:hAnsiTheme="majorBidi" w:cstheme="majorBidi"/>
          <w:sz w:val="24"/>
          <w:szCs w:val="24"/>
        </w:rPr>
        <w:t>T y/o con otros foros para establecer directrices y alineamientos;</w:t>
      </w:r>
    </w:p>
    <w:p w:rsidR="007E668D" w:rsidRPr="00F51EA2" w:rsidRDefault="007E668D" w:rsidP="00F51EA2">
      <w:pPr>
        <w:jc w:val="left"/>
        <w:rPr>
          <w:rFonts w:asciiTheme="majorBidi" w:hAnsiTheme="majorBidi" w:cstheme="majorBidi"/>
          <w:sz w:val="24"/>
          <w:szCs w:val="24"/>
        </w:rPr>
      </w:pPr>
      <w:r w:rsidRPr="00F51EA2">
        <w:rPr>
          <w:rFonts w:asciiTheme="majorBidi" w:hAnsiTheme="majorBidi" w:cstheme="majorBidi"/>
          <w:sz w:val="24"/>
          <w:szCs w:val="24"/>
        </w:rPr>
        <w:t>2</w:t>
      </w:r>
      <w:r w:rsidRPr="00F51EA2">
        <w:rPr>
          <w:rFonts w:asciiTheme="majorBidi" w:hAnsiTheme="majorBidi" w:cstheme="majorBidi"/>
          <w:sz w:val="24"/>
          <w:szCs w:val="24"/>
        </w:rPr>
        <w:tab/>
        <w:t>que los resultados de estos estudios anteriores se incluyan en Informes/Recomendaciones UIT-R nuevos y/o revisados, según el caso;</w:t>
      </w:r>
    </w:p>
    <w:p w:rsidR="007E668D" w:rsidRPr="00F51EA2" w:rsidRDefault="007E668D" w:rsidP="00F51EA2">
      <w:pPr>
        <w:jc w:val="left"/>
        <w:rPr>
          <w:rFonts w:asciiTheme="majorBidi" w:hAnsiTheme="majorBidi" w:cstheme="majorBidi"/>
          <w:sz w:val="24"/>
          <w:szCs w:val="24"/>
        </w:rPr>
      </w:pPr>
      <w:r w:rsidRPr="00F51EA2">
        <w:rPr>
          <w:rFonts w:asciiTheme="majorBidi" w:hAnsiTheme="majorBidi" w:cstheme="majorBidi"/>
          <w:sz w:val="24"/>
          <w:szCs w:val="24"/>
        </w:rPr>
        <w:t>3</w:t>
      </w:r>
      <w:r w:rsidRPr="00F51EA2">
        <w:rPr>
          <w:rFonts w:asciiTheme="majorBidi" w:hAnsiTheme="majorBidi" w:cstheme="majorBidi"/>
          <w:sz w:val="24"/>
          <w:szCs w:val="24"/>
        </w:rPr>
        <w:tab/>
        <w:t>que dichos estudios iniciales se terminen en 2019.</w:t>
      </w:r>
    </w:p>
    <w:p w:rsidR="007E668D" w:rsidRPr="00F51EA2" w:rsidRDefault="007E668D" w:rsidP="007E668D">
      <w:pPr>
        <w:tabs>
          <w:tab w:val="right" w:pos="9639"/>
        </w:tabs>
        <w:rPr>
          <w:rFonts w:asciiTheme="majorBidi" w:hAnsiTheme="majorBidi" w:cstheme="majorBidi"/>
          <w:sz w:val="24"/>
          <w:szCs w:val="24"/>
        </w:rPr>
      </w:pPr>
    </w:p>
    <w:p w:rsidR="007E668D" w:rsidRPr="00F51EA2" w:rsidRDefault="007E668D" w:rsidP="007E668D">
      <w:pPr>
        <w:tabs>
          <w:tab w:val="right" w:pos="9639"/>
        </w:tabs>
        <w:rPr>
          <w:rFonts w:asciiTheme="majorBidi" w:hAnsiTheme="majorBidi" w:cstheme="majorBidi"/>
          <w:sz w:val="24"/>
          <w:szCs w:val="24"/>
        </w:rPr>
      </w:pPr>
      <w:r w:rsidRPr="00F51EA2">
        <w:rPr>
          <w:rFonts w:asciiTheme="majorBidi" w:hAnsiTheme="majorBidi" w:cstheme="majorBidi"/>
          <w:sz w:val="24"/>
          <w:szCs w:val="24"/>
        </w:rPr>
        <w:t>Categoría: S2</w:t>
      </w:r>
    </w:p>
    <w:p w:rsidR="007E668D" w:rsidRPr="007E668D" w:rsidRDefault="007E668D" w:rsidP="007E668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 w:val="28"/>
          <w:szCs w:val="28"/>
        </w:rPr>
      </w:pPr>
      <w:r w:rsidRPr="007E668D">
        <w:rPr>
          <w:rFonts w:asciiTheme="minorHAnsi" w:hAnsiTheme="minorHAnsi" w:cstheme="minorHAnsi"/>
          <w:sz w:val="28"/>
          <w:szCs w:val="28"/>
        </w:rPr>
        <w:br w:type="page"/>
      </w:r>
    </w:p>
    <w:p w:rsidR="007E668D" w:rsidRPr="007E668D" w:rsidRDefault="007E668D" w:rsidP="007E668D">
      <w:pPr>
        <w:pStyle w:val="Headingb"/>
        <w:spacing w:before="360" w:after="120"/>
        <w:jc w:val="center"/>
        <w:rPr>
          <w:rFonts w:asciiTheme="minorHAnsi" w:hAnsiTheme="minorHAnsi" w:cstheme="minorHAnsi"/>
          <w:sz w:val="28"/>
          <w:szCs w:val="28"/>
        </w:rPr>
      </w:pPr>
      <w:r w:rsidRPr="007E668D">
        <w:rPr>
          <w:rFonts w:asciiTheme="minorHAnsi" w:hAnsiTheme="minorHAnsi" w:cstheme="minorHAnsi"/>
          <w:sz w:val="28"/>
          <w:szCs w:val="28"/>
        </w:rPr>
        <w:lastRenderedPageBreak/>
        <w:t>Anexo 3</w:t>
      </w:r>
    </w:p>
    <w:p w:rsidR="007E668D" w:rsidRPr="00D031EF" w:rsidRDefault="007E668D" w:rsidP="007E668D">
      <w:pPr>
        <w:spacing w:before="360"/>
        <w:jc w:val="center"/>
        <w:rPr>
          <w:rFonts w:asciiTheme="minorHAnsi" w:hAnsiTheme="minorHAnsi" w:cstheme="minorHAnsi"/>
          <w:sz w:val="24"/>
          <w:szCs w:val="24"/>
        </w:rPr>
      </w:pPr>
      <w:r w:rsidRPr="00D031EF">
        <w:rPr>
          <w:rFonts w:asciiTheme="minorHAnsi" w:hAnsiTheme="minorHAnsi" w:cstheme="minorHAnsi"/>
          <w:sz w:val="24"/>
          <w:szCs w:val="24"/>
        </w:rPr>
        <w:t xml:space="preserve">(Documento </w:t>
      </w:r>
      <w:hyperlink r:id="rId12" w:history="1">
        <w:r w:rsidRPr="00D031EF">
          <w:rPr>
            <w:rStyle w:val="Hyperlink"/>
            <w:rFonts w:asciiTheme="minorHAnsi" w:hAnsiTheme="minorHAnsi" w:cstheme="minorHAnsi"/>
            <w:sz w:val="24"/>
            <w:szCs w:val="24"/>
          </w:rPr>
          <w:t>5/180</w:t>
        </w:r>
      </w:hyperlink>
      <w:r w:rsidRPr="00D031EF">
        <w:rPr>
          <w:rFonts w:asciiTheme="minorHAnsi" w:hAnsiTheme="minorHAnsi" w:cstheme="minorHAnsi"/>
          <w:sz w:val="24"/>
          <w:szCs w:val="24"/>
        </w:rPr>
        <w:t>)</w:t>
      </w:r>
    </w:p>
    <w:p w:rsidR="007E668D" w:rsidRPr="007E668D" w:rsidRDefault="007E668D" w:rsidP="007E668D">
      <w:pPr>
        <w:spacing w:before="360"/>
        <w:jc w:val="center"/>
        <w:rPr>
          <w:rFonts w:asciiTheme="minorHAnsi" w:hAnsiTheme="minorHAnsi" w:cstheme="minorHAnsi"/>
          <w:b/>
          <w:bCs/>
          <w:sz w:val="28"/>
          <w:szCs w:val="28"/>
        </w:rPr>
      </w:pPr>
      <w:r w:rsidRPr="007E668D">
        <w:rPr>
          <w:rFonts w:asciiTheme="minorHAnsi" w:hAnsiTheme="minorHAnsi" w:cstheme="minorHAnsi"/>
          <w:b/>
          <w:bCs/>
          <w:sz w:val="28"/>
          <w:szCs w:val="28"/>
        </w:rPr>
        <w:t>Cuestión cuya supresión se propone</w:t>
      </w:r>
    </w:p>
    <w:p w:rsidR="007E668D" w:rsidRPr="007E668D" w:rsidRDefault="007E668D" w:rsidP="007E668D"/>
    <w:tbl>
      <w:tblPr>
        <w:tblStyle w:val="TableGrid"/>
        <w:tblW w:w="0" w:type="auto"/>
        <w:jc w:val="center"/>
        <w:tblLook w:val="04A0" w:firstRow="1" w:lastRow="0" w:firstColumn="1" w:lastColumn="0" w:noHBand="0" w:noVBand="1"/>
      </w:tblPr>
      <w:tblGrid>
        <w:gridCol w:w="2296"/>
        <w:gridCol w:w="4961"/>
      </w:tblGrid>
      <w:tr w:rsidR="007E668D" w:rsidRPr="007E668D" w:rsidTr="002F5325">
        <w:trPr>
          <w:jc w:val="center"/>
        </w:trPr>
        <w:tc>
          <w:tcPr>
            <w:tcW w:w="2296" w:type="dxa"/>
            <w:tcBorders>
              <w:top w:val="single" w:sz="4" w:space="0" w:color="auto"/>
              <w:left w:val="single" w:sz="4" w:space="0" w:color="auto"/>
              <w:bottom w:val="single" w:sz="4" w:space="0" w:color="auto"/>
              <w:right w:val="single" w:sz="4" w:space="0" w:color="auto"/>
            </w:tcBorders>
            <w:hideMark/>
          </w:tcPr>
          <w:p w:rsidR="007E668D" w:rsidRPr="007E668D" w:rsidRDefault="007E668D" w:rsidP="002F5325">
            <w:pPr>
              <w:pStyle w:val="Tablehead"/>
              <w:rPr>
                <w:rFonts w:asciiTheme="minorHAnsi" w:hAnsiTheme="minorHAnsi" w:cstheme="minorHAnsi"/>
              </w:rPr>
            </w:pPr>
            <w:r w:rsidRPr="007E668D">
              <w:rPr>
                <w:rFonts w:asciiTheme="minorHAnsi" w:hAnsiTheme="minorHAnsi" w:cstheme="minorHAnsi"/>
              </w:rPr>
              <w:t xml:space="preserve">Cuestión </w:t>
            </w:r>
            <w:r w:rsidRPr="007E668D">
              <w:rPr>
                <w:rFonts w:asciiTheme="minorHAnsi" w:hAnsiTheme="minorHAnsi" w:cstheme="minorHAnsi"/>
              </w:rPr>
              <w:br/>
              <w:t>UIT-R</w:t>
            </w:r>
          </w:p>
        </w:tc>
        <w:tc>
          <w:tcPr>
            <w:tcW w:w="4961" w:type="dxa"/>
            <w:tcBorders>
              <w:top w:val="single" w:sz="4" w:space="0" w:color="auto"/>
              <w:left w:val="single" w:sz="4" w:space="0" w:color="auto"/>
              <w:bottom w:val="single" w:sz="4" w:space="0" w:color="auto"/>
              <w:right w:val="single" w:sz="4" w:space="0" w:color="auto"/>
            </w:tcBorders>
            <w:vAlign w:val="center"/>
            <w:hideMark/>
          </w:tcPr>
          <w:p w:rsidR="007E668D" w:rsidRPr="007E668D" w:rsidRDefault="007E668D" w:rsidP="002F5325">
            <w:pPr>
              <w:pStyle w:val="Tablehead"/>
              <w:rPr>
                <w:rFonts w:asciiTheme="minorHAnsi" w:hAnsiTheme="minorHAnsi" w:cstheme="minorHAnsi"/>
              </w:rPr>
            </w:pPr>
            <w:r w:rsidRPr="007E668D">
              <w:rPr>
                <w:rFonts w:asciiTheme="minorHAnsi" w:hAnsiTheme="minorHAnsi" w:cstheme="minorHAnsi"/>
              </w:rPr>
              <w:t>Título</w:t>
            </w:r>
          </w:p>
        </w:tc>
      </w:tr>
      <w:tr w:rsidR="007E668D" w:rsidRPr="007E668D" w:rsidTr="002F5325">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7E668D" w:rsidRPr="007E668D" w:rsidRDefault="00191581" w:rsidP="002F5325">
            <w:pPr>
              <w:pStyle w:val="Tabletext"/>
              <w:jc w:val="center"/>
              <w:rPr>
                <w:rFonts w:asciiTheme="minorHAnsi" w:eastAsia="SimSun" w:hAnsiTheme="minorHAnsi" w:cstheme="minorHAnsi"/>
              </w:rPr>
            </w:pPr>
            <w:hyperlink r:id="rId13" w:history="1">
              <w:r w:rsidR="007E668D" w:rsidRPr="007E668D">
                <w:rPr>
                  <w:rStyle w:val="Hyperlink"/>
                  <w:rFonts w:asciiTheme="minorHAnsi" w:eastAsia="SimSun" w:hAnsiTheme="minorHAnsi" w:cstheme="minorHAnsi"/>
                </w:rPr>
                <w:t>230-3/5</w:t>
              </w:r>
            </w:hyperlink>
          </w:p>
        </w:tc>
        <w:tc>
          <w:tcPr>
            <w:tcW w:w="4961" w:type="dxa"/>
            <w:tcBorders>
              <w:top w:val="single" w:sz="4" w:space="0" w:color="auto"/>
              <w:left w:val="single" w:sz="4" w:space="0" w:color="auto"/>
              <w:bottom w:val="single" w:sz="4" w:space="0" w:color="auto"/>
              <w:right w:val="single" w:sz="4" w:space="0" w:color="auto"/>
            </w:tcBorders>
          </w:tcPr>
          <w:p w:rsidR="007E668D" w:rsidRPr="007E668D" w:rsidRDefault="007E668D" w:rsidP="002F5325">
            <w:pPr>
              <w:pStyle w:val="Tabletext"/>
              <w:rPr>
                <w:rFonts w:asciiTheme="minorHAnsi" w:hAnsiTheme="minorHAnsi" w:cstheme="minorHAnsi"/>
              </w:rPr>
            </w:pPr>
            <w:r w:rsidRPr="007E668D">
              <w:rPr>
                <w:rFonts w:asciiTheme="minorHAnsi" w:hAnsiTheme="minorHAnsi" w:cstheme="minorHAnsi"/>
              </w:rPr>
              <w:t>Equipo radioeléctrico especificado por soporte lógico</w:t>
            </w:r>
          </w:p>
        </w:tc>
      </w:tr>
    </w:tbl>
    <w:p w:rsidR="007E668D" w:rsidRPr="007E668D" w:rsidRDefault="007E668D" w:rsidP="0032202E">
      <w:pPr>
        <w:pStyle w:val="Reasons"/>
        <w:rPr>
          <w:lang w:val="es-ES_tradnl"/>
        </w:rPr>
      </w:pPr>
    </w:p>
    <w:p w:rsidR="007E668D" w:rsidRPr="007E668D" w:rsidRDefault="007E668D" w:rsidP="0032202E">
      <w:pPr>
        <w:pStyle w:val="Reasons"/>
        <w:rPr>
          <w:lang w:val="es-ES_tradnl"/>
        </w:rPr>
      </w:pPr>
    </w:p>
    <w:p w:rsidR="007E668D" w:rsidRPr="007E668D" w:rsidRDefault="007E668D">
      <w:pPr>
        <w:jc w:val="center"/>
      </w:pPr>
      <w:r w:rsidRPr="007E668D">
        <w:t>______________</w:t>
      </w:r>
    </w:p>
    <w:p w:rsidR="007E668D" w:rsidRPr="007E668D" w:rsidRDefault="007E668D" w:rsidP="007E668D"/>
    <w:sectPr w:rsidR="007E668D" w:rsidRPr="007E668D" w:rsidSect="00235A29">
      <w:headerReference w:type="even" r:id="rId14"/>
      <w:headerReference w:type="default" r:id="rId15"/>
      <w:headerReference w:type="first" r:id="rId16"/>
      <w:footerReference w:type="first" r:id="rId17"/>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654EA" w:rsidRDefault="00F51EA2" w:rsidP="00181334">
    <w:pPr>
      <w:pStyle w:val="Header"/>
      <w:jc w:val="center"/>
      <w:rPr>
        <w:sz w:val="18"/>
        <w:szCs w:val="18"/>
      </w:rPr>
    </w:pPr>
    <w:r>
      <w:rPr>
        <w:rStyle w:val="PageNumber"/>
        <w:rFonts w:cs="Calibri"/>
        <w:sz w:val="18"/>
        <w:szCs w:val="18"/>
      </w:rPr>
      <w:t xml:space="preserve">- </w:t>
    </w:r>
    <w:r w:rsidR="00026CF8" w:rsidRPr="00A654EA">
      <w:rPr>
        <w:rStyle w:val="PageNumber"/>
        <w:rFonts w:cs="Calibri"/>
        <w:sz w:val="18"/>
        <w:szCs w:val="18"/>
      </w:rPr>
      <w:fldChar w:fldCharType="begin"/>
    </w:r>
    <w:r w:rsidR="00026CF8" w:rsidRPr="00A654EA">
      <w:rPr>
        <w:rStyle w:val="PageNumber"/>
        <w:rFonts w:cs="Calibri"/>
        <w:sz w:val="18"/>
        <w:szCs w:val="18"/>
      </w:rPr>
      <w:instrText xml:space="preserve"> PAGE </w:instrText>
    </w:r>
    <w:r w:rsidR="00026CF8" w:rsidRPr="00A654EA">
      <w:rPr>
        <w:rStyle w:val="PageNumber"/>
        <w:rFonts w:cs="Calibri"/>
        <w:sz w:val="18"/>
        <w:szCs w:val="18"/>
      </w:rPr>
      <w:fldChar w:fldCharType="separate"/>
    </w:r>
    <w:r w:rsidR="00191581">
      <w:rPr>
        <w:rStyle w:val="PageNumber"/>
        <w:rFonts w:cs="Calibri"/>
        <w:noProof/>
        <w:sz w:val="18"/>
        <w:szCs w:val="18"/>
      </w:rPr>
      <w:t>8</w:t>
    </w:r>
    <w:r w:rsidR="00026CF8" w:rsidRPr="00A654EA">
      <w:rPr>
        <w:rStyle w:val="PageNumber"/>
        <w:rFonts w:cs="Calibri"/>
        <w:sz w:val="18"/>
        <w:szCs w:val="18"/>
      </w:rPr>
      <w:fldChar w:fldCharType="end"/>
    </w:r>
    <w:r>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F3325" w:rsidRDefault="00F51EA2" w:rsidP="00D940F0">
    <w:pPr>
      <w:pStyle w:val="Header"/>
      <w:jc w:val="center"/>
    </w:pPr>
    <w:r>
      <w:rPr>
        <w:sz w:val="18"/>
        <w:szCs w:val="18"/>
      </w:rPr>
      <w:t xml:space="preserve">- </w:t>
    </w:r>
    <w:r w:rsidR="00AD1140" w:rsidRPr="00A654EA">
      <w:rPr>
        <w:sz w:val="18"/>
        <w:szCs w:val="18"/>
      </w:rPr>
      <w:fldChar w:fldCharType="begin"/>
    </w:r>
    <w:r w:rsidR="00AD1140" w:rsidRPr="00A654EA">
      <w:rPr>
        <w:sz w:val="18"/>
        <w:szCs w:val="18"/>
      </w:rPr>
      <w:instrText xml:space="preserve"> PAGE   \* MERGEFORMAT </w:instrText>
    </w:r>
    <w:r w:rsidR="00AD1140" w:rsidRPr="00A654EA">
      <w:rPr>
        <w:sz w:val="18"/>
        <w:szCs w:val="18"/>
      </w:rPr>
      <w:fldChar w:fldCharType="separate"/>
    </w:r>
    <w:r w:rsidR="00191581">
      <w:rPr>
        <w:noProof/>
        <w:sz w:val="18"/>
        <w:szCs w:val="18"/>
      </w:rPr>
      <w:t>9</w:t>
    </w:r>
    <w:r w:rsidR="00AD1140" w:rsidRPr="00A654EA">
      <w:rPr>
        <w:noProof/>
        <w:sz w:val="18"/>
        <w:szCs w:val="18"/>
      </w:rPr>
      <w:fldChar w:fldCharType="end"/>
    </w:r>
    <w:r>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14:anchorId="0D9DDC9E" wp14:editId="7C2547DA">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10E30"/>
    <w:rsid w:val="000248B1"/>
    <w:rsid w:val="00026CF8"/>
    <w:rsid w:val="00031523"/>
    <w:rsid w:val="00031E64"/>
    <w:rsid w:val="00040DF5"/>
    <w:rsid w:val="00054534"/>
    <w:rsid w:val="000603DE"/>
    <w:rsid w:val="00070258"/>
    <w:rsid w:val="00072B9B"/>
    <w:rsid w:val="00072E16"/>
    <w:rsid w:val="0007323C"/>
    <w:rsid w:val="00086D03"/>
    <w:rsid w:val="000A7051"/>
    <w:rsid w:val="000C03C7"/>
    <w:rsid w:val="000C4E7D"/>
    <w:rsid w:val="000D786F"/>
    <w:rsid w:val="000E2185"/>
    <w:rsid w:val="000E3DEE"/>
    <w:rsid w:val="00103C76"/>
    <w:rsid w:val="0011265F"/>
    <w:rsid w:val="00145AA2"/>
    <w:rsid w:val="00147B54"/>
    <w:rsid w:val="0016308F"/>
    <w:rsid w:val="00181334"/>
    <w:rsid w:val="00191581"/>
    <w:rsid w:val="00196710"/>
    <w:rsid w:val="00197324"/>
    <w:rsid w:val="001B1CE8"/>
    <w:rsid w:val="001D7070"/>
    <w:rsid w:val="001F0046"/>
    <w:rsid w:val="001F5A49"/>
    <w:rsid w:val="00200936"/>
    <w:rsid w:val="00201097"/>
    <w:rsid w:val="00201B6E"/>
    <w:rsid w:val="0020364D"/>
    <w:rsid w:val="00210D08"/>
    <w:rsid w:val="002240B2"/>
    <w:rsid w:val="00235A29"/>
    <w:rsid w:val="00251036"/>
    <w:rsid w:val="00251766"/>
    <w:rsid w:val="00274CFD"/>
    <w:rsid w:val="002861E6"/>
    <w:rsid w:val="00290AEE"/>
    <w:rsid w:val="002A2700"/>
    <w:rsid w:val="002C2618"/>
    <w:rsid w:val="002C54C3"/>
    <w:rsid w:val="002C6790"/>
    <w:rsid w:val="002D6688"/>
    <w:rsid w:val="002E1472"/>
    <w:rsid w:val="002F0890"/>
    <w:rsid w:val="003133F9"/>
    <w:rsid w:val="00314C01"/>
    <w:rsid w:val="003370B8"/>
    <w:rsid w:val="003666FF"/>
    <w:rsid w:val="003741EE"/>
    <w:rsid w:val="00380D0E"/>
    <w:rsid w:val="003817D8"/>
    <w:rsid w:val="00383CAE"/>
    <w:rsid w:val="003B2BDA"/>
    <w:rsid w:val="003B55EC"/>
    <w:rsid w:val="003C4471"/>
    <w:rsid w:val="003C6050"/>
    <w:rsid w:val="003C7CC3"/>
    <w:rsid w:val="003E504F"/>
    <w:rsid w:val="0041334A"/>
    <w:rsid w:val="004326DB"/>
    <w:rsid w:val="0043682E"/>
    <w:rsid w:val="00460CEC"/>
    <w:rsid w:val="00467117"/>
    <w:rsid w:val="0047142C"/>
    <w:rsid w:val="004815EB"/>
    <w:rsid w:val="00496920"/>
    <w:rsid w:val="004A28B6"/>
    <w:rsid w:val="004A353B"/>
    <w:rsid w:val="004B7C9A"/>
    <w:rsid w:val="004E0DC4"/>
    <w:rsid w:val="004E0FB5"/>
    <w:rsid w:val="004E43BB"/>
    <w:rsid w:val="004F178E"/>
    <w:rsid w:val="004F6466"/>
    <w:rsid w:val="00505309"/>
    <w:rsid w:val="0050789B"/>
    <w:rsid w:val="00512795"/>
    <w:rsid w:val="00515771"/>
    <w:rsid w:val="00542A47"/>
    <w:rsid w:val="00543DF8"/>
    <w:rsid w:val="00546101"/>
    <w:rsid w:val="00553DD7"/>
    <w:rsid w:val="005558BD"/>
    <w:rsid w:val="0057469A"/>
    <w:rsid w:val="00577A01"/>
    <w:rsid w:val="00580814"/>
    <w:rsid w:val="005A03A3"/>
    <w:rsid w:val="005B214C"/>
    <w:rsid w:val="005C418E"/>
    <w:rsid w:val="00602D53"/>
    <w:rsid w:val="0061778F"/>
    <w:rsid w:val="006200CE"/>
    <w:rsid w:val="00621CB7"/>
    <w:rsid w:val="00651777"/>
    <w:rsid w:val="006622D7"/>
    <w:rsid w:val="006722D8"/>
    <w:rsid w:val="00674F4F"/>
    <w:rsid w:val="006A6A75"/>
    <w:rsid w:val="006B0590"/>
    <w:rsid w:val="006B49DA"/>
    <w:rsid w:val="006C04E0"/>
    <w:rsid w:val="006F6898"/>
    <w:rsid w:val="00700636"/>
    <w:rsid w:val="00707216"/>
    <w:rsid w:val="00712C78"/>
    <w:rsid w:val="00713706"/>
    <w:rsid w:val="0071418A"/>
    <w:rsid w:val="007234B1"/>
    <w:rsid w:val="00730B9A"/>
    <w:rsid w:val="007375FD"/>
    <w:rsid w:val="007673D5"/>
    <w:rsid w:val="00783681"/>
    <w:rsid w:val="007921A7"/>
    <w:rsid w:val="007A5C27"/>
    <w:rsid w:val="007B0592"/>
    <w:rsid w:val="007B3DB1"/>
    <w:rsid w:val="007D183E"/>
    <w:rsid w:val="007E0D0C"/>
    <w:rsid w:val="007E304D"/>
    <w:rsid w:val="007E3F13"/>
    <w:rsid w:val="007E59D7"/>
    <w:rsid w:val="007E668D"/>
    <w:rsid w:val="007F1390"/>
    <w:rsid w:val="00800012"/>
    <w:rsid w:val="0081513E"/>
    <w:rsid w:val="00823210"/>
    <w:rsid w:val="00843445"/>
    <w:rsid w:val="00847D46"/>
    <w:rsid w:val="00854131"/>
    <w:rsid w:val="0085652D"/>
    <w:rsid w:val="00865A1D"/>
    <w:rsid w:val="0087694B"/>
    <w:rsid w:val="008E03C2"/>
    <w:rsid w:val="008F4F21"/>
    <w:rsid w:val="00904D4A"/>
    <w:rsid w:val="009151BA"/>
    <w:rsid w:val="0092529F"/>
    <w:rsid w:val="009277BC"/>
    <w:rsid w:val="00927D57"/>
    <w:rsid w:val="00941D23"/>
    <w:rsid w:val="0095010C"/>
    <w:rsid w:val="00963D9D"/>
    <w:rsid w:val="00972264"/>
    <w:rsid w:val="00976AAD"/>
    <w:rsid w:val="00981B54"/>
    <w:rsid w:val="009842C3"/>
    <w:rsid w:val="0099005E"/>
    <w:rsid w:val="009A6349"/>
    <w:rsid w:val="009A6BB6"/>
    <w:rsid w:val="009B3F43"/>
    <w:rsid w:val="009C161F"/>
    <w:rsid w:val="009C7017"/>
    <w:rsid w:val="009E4AEC"/>
    <w:rsid w:val="009E5BD8"/>
    <w:rsid w:val="009E681E"/>
    <w:rsid w:val="00A000AD"/>
    <w:rsid w:val="00A05186"/>
    <w:rsid w:val="00A34D6F"/>
    <w:rsid w:val="00A369C5"/>
    <w:rsid w:val="00A41F91"/>
    <w:rsid w:val="00A654EA"/>
    <w:rsid w:val="00A963DF"/>
    <w:rsid w:val="00A9747B"/>
    <w:rsid w:val="00AC3896"/>
    <w:rsid w:val="00AD1140"/>
    <w:rsid w:val="00AE6772"/>
    <w:rsid w:val="00AE6CFA"/>
    <w:rsid w:val="00AF3325"/>
    <w:rsid w:val="00B04FD8"/>
    <w:rsid w:val="00B34CF9"/>
    <w:rsid w:val="00B52D00"/>
    <w:rsid w:val="00B67004"/>
    <w:rsid w:val="00B864C8"/>
    <w:rsid w:val="00B90C45"/>
    <w:rsid w:val="00B933BE"/>
    <w:rsid w:val="00BB4069"/>
    <w:rsid w:val="00BC2CC3"/>
    <w:rsid w:val="00BD38D8"/>
    <w:rsid w:val="00BD7E5E"/>
    <w:rsid w:val="00BD7FF7"/>
    <w:rsid w:val="00BE6574"/>
    <w:rsid w:val="00BF49D2"/>
    <w:rsid w:val="00C23806"/>
    <w:rsid w:val="00C57E2C"/>
    <w:rsid w:val="00C608B7"/>
    <w:rsid w:val="00C66F24"/>
    <w:rsid w:val="00C713E2"/>
    <w:rsid w:val="00C764BA"/>
    <w:rsid w:val="00C80B60"/>
    <w:rsid w:val="00C8247A"/>
    <w:rsid w:val="00C9291E"/>
    <w:rsid w:val="00CA3F44"/>
    <w:rsid w:val="00CA4E58"/>
    <w:rsid w:val="00CA5FE6"/>
    <w:rsid w:val="00CB2A93"/>
    <w:rsid w:val="00CB3771"/>
    <w:rsid w:val="00CB5153"/>
    <w:rsid w:val="00CC0DA0"/>
    <w:rsid w:val="00CD0E47"/>
    <w:rsid w:val="00CD7234"/>
    <w:rsid w:val="00CE6299"/>
    <w:rsid w:val="00CF6752"/>
    <w:rsid w:val="00D031EF"/>
    <w:rsid w:val="00D10BA0"/>
    <w:rsid w:val="00D2339B"/>
    <w:rsid w:val="00D24EB5"/>
    <w:rsid w:val="00D41571"/>
    <w:rsid w:val="00D416A0"/>
    <w:rsid w:val="00D47672"/>
    <w:rsid w:val="00D5123C"/>
    <w:rsid w:val="00D51C9E"/>
    <w:rsid w:val="00D55560"/>
    <w:rsid w:val="00D6191B"/>
    <w:rsid w:val="00D61C5A"/>
    <w:rsid w:val="00D940F0"/>
    <w:rsid w:val="00DB3A18"/>
    <w:rsid w:val="00DC6E2C"/>
    <w:rsid w:val="00DD1B27"/>
    <w:rsid w:val="00DD6B13"/>
    <w:rsid w:val="00DE66A5"/>
    <w:rsid w:val="00DF2B50"/>
    <w:rsid w:val="00E003F5"/>
    <w:rsid w:val="00E010B8"/>
    <w:rsid w:val="00E04C86"/>
    <w:rsid w:val="00E20F30"/>
    <w:rsid w:val="00E2675E"/>
    <w:rsid w:val="00E27BBA"/>
    <w:rsid w:val="00E3437E"/>
    <w:rsid w:val="00E34CD1"/>
    <w:rsid w:val="00E35E8F"/>
    <w:rsid w:val="00E438E8"/>
    <w:rsid w:val="00E520E2"/>
    <w:rsid w:val="00E64254"/>
    <w:rsid w:val="00E80B6D"/>
    <w:rsid w:val="00EA15B3"/>
    <w:rsid w:val="00EB2358"/>
    <w:rsid w:val="00EB3EB8"/>
    <w:rsid w:val="00EC4F50"/>
    <w:rsid w:val="00ED7997"/>
    <w:rsid w:val="00F071D9"/>
    <w:rsid w:val="00F1226E"/>
    <w:rsid w:val="00F25AA4"/>
    <w:rsid w:val="00F27A97"/>
    <w:rsid w:val="00F42C8C"/>
    <w:rsid w:val="00F468C5"/>
    <w:rsid w:val="00F51EA2"/>
    <w:rsid w:val="00F52F39"/>
    <w:rsid w:val="00F55EAB"/>
    <w:rsid w:val="00F852E7"/>
    <w:rsid w:val="00F914DD"/>
    <w:rsid w:val="00F938C0"/>
    <w:rsid w:val="00FA2358"/>
    <w:rsid w:val="00FB2592"/>
    <w:rsid w:val="00FB2810"/>
    <w:rsid w:val="00FC2947"/>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2E8C8093-4E21-4AAB-8063-2D35033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uiPriority w:val="99"/>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rsid w:val="00CE6299"/>
    <w:pPr>
      <w:keepNext/>
      <w:keepLines/>
      <w:spacing w:before="480" w:line="240" w:lineRule="auto"/>
      <w:jc w:val="center"/>
    </w:pPr>
    <w:rPr>
      <w:rFonts w:ascii="Times New Roman" w:hAnsi="Times New Roman" w:cs="Times New Roman"/>
      <w:b/>
      <w:sz w:val="28"/>
      <w:szCs w:val="20"/>
    </w:rPr>
  </w:style>
  <w:style w:type="character" w:customStyle="1" w:styleId="TableheadChar">
    <w:name w:val="Table_head Char"/>
    <w:basedOn w:val="DefaultParagraphFont"/>
    <w:link w:val="Tablehead"/>
    <w:uiPriority w:val="99"/>
    <w:locked/>
    <w:rsid w:val="00E3437E"/>
    <w:rPr>
      <w:b/>
      <w:szCs w:val="22"/>
      <w:lang w:val="es-ES_tradnl" w:eastAsia="en-US"/>
    </w:rPr>
  </w:style>
  <w:style w:type="character" w:customStyle="1" w:styleId="TabletextChar">
    <w:name w:val="Table_text Char"/>
    <w:link w:val="Tabletext"/>
    <w:locked/>
    <w:rsid w:val="00E3437E"/>
    <w:rPr>
      <w:szCs w:val="22"/>
      <w:lang w:val="es-ES_tradnl" w:eastAsia="en-US"/>
    </w:rPr>
  </w:style>
  <w:style w:type="table" w:styleId="TableGrid">
    <w:name w:val="Table Grid"/>
    <w:basedOn w:val="TableNormal"/>
    <w:rsid w:val="00E34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7E66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rPr>
  </w:style>
  <w:style w:type="paragraph" w:customStyle="1" w:styleId="QuestionNoBR">
    <w:name w:val="Question_No_BR"/>
    <w:basedOn w:val="Normal"/>
    <w:next w:val="Questiontitle"/>
    <w:link w:val="QuestionNoBRChar"/>
    <w:rsid w:val="007E668D"/>
    <w:pPr>
      <w:keepNext/>
      <w:keepLines/>
      <w:spacing w:before="480" w:line="240" w:lineRule="auto"/>
      <w:jc w:val="center"/>
    </w:pPr>
    <w:rPr>
      <w:rFonts w:ascii="Times New Roman" w:hAnsi="Times New Roman" w:cs="Times New Roman"/>
      <w:caps/>
      <w:sz w:val="28"/>
      <w:szCs w:val="20"/>
      <w:lang w:val="fr-FR"/>
    </w:rPr>
  </w:style>
  <w:style w:type="character" w:customStyle="1" w:styleId="QuestionNoBRChar">
    <w:name w:val="Question_No_BR Char"/>
    <w:basedOn w:val="DefaultParagraphFont"/>
    <w:link w:val="QuestionNoBR"/>
    <w:rsid w:val="007E668D"/>
    <w:rPr>
      <w:rFonts w:ascii="Times New Roman" w:hAnsi="Times New Roman" w:cs="Times New Roman"/>
      <w:caps/>
      <w:sz w:val="28"/>
      <w:lang w:val="fr-FR" w:eastAsia="en-US"/>
    </w:rPr>
  </w:style>
  <w:style w:type="character" w:customStyle="1" w:styleId="RectitleChar">
    <w:name w:val="Rec_title Char"/>
    <w:link w:val="Rectitle"/>
    <w:rsid w:val="007E668D"/>
    <w:rPr>
      <w:b/>
      <w:sz w:val="28"/>
      <w:szCs w:val="22"/>
      <w:lang w:val="es-ES_tradnl" w:eastAsia="en-US"/>
    </w:rPr>
  </w:style>
  <w:style w:type="character" w:customStyle="1" w:styleId="HeadingbChar">
    <w:name w:val="Heading_b Char"/>
    <w:basedOn w:val="DefaultParagraphFont"/>
    <w:link w:val="Headingb"/>
    <w:rsid w:val="007E668D"/>
    <w:rPr>
      <w:b/>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pub/R-QUE-SG05.2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G05-C-0180/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016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QUE-SG05/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B84DA-061A-4B5D-AB49-BC3FFD52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123</TotalTime>
  <Pages>9</Pages>
  <Words>2195</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ITU</cp:lastModifiedBy>
  <cp:revision>58</cp:revision>
  <cp:lastPrinted>2014-12-01T07:33:00Z</cp:lastPrinted>
  <dcterms:created xsi:type="dcterms:W3CDTF">2014-11-20T07:14:00Z</dcterms:created>
  <dcterms:modified xsi:type="dcterms:W3CDTF">2014-12-02T09:06:00Z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