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D2D21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D2D2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D2D2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7D2D2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7D2D21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F4289B">
              <w:rPr>
                <w:b/>
                <w:bCs/>
                <w:szCs w:val="24"/>
                <w:lang w:val="fr-CH"/>
              </w:rPr>
              <w:t>691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F4289B" w:rsidP="007D2D21">
            <w:pPr>
              <w:spacing w:before="0" w:line="240" w:lineRule="auto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2014</w:t>
            </w:r>
            <w:r>
              <w:rPr>
                <w:rFonts w:hint="eastAsia"/>
                <w:szCs w:val="24"/>
                <w:lang w:val="en-GB" w:eastAsia="zh-CN"/>
              </w:rPr>
              <w:t>年</w:t>
            </w:r>
            <w:r>
              <w:rPr>
                <w:rFonts w:hint="eastAsia"/>
                <w:szCs w:val="24"/>
                <w:lang w:val="en-GB" w:eastAsia="zh-CN"/>
              </w:rPr>
              <w:t>10</w:t>
            </w:r>
            <w:r>
              <w:rPr>
                <w:rFonts w:hint="eastAsia"/>
                <w:szCs w:val="24"/>
                <w:lang w:val="en-GB" w:eastAsia="zh-CN"/>
              </w:rPr>
              <w:t>月</w:t>
            </w:r>
            <w:r>
              <w:rPr>
                <w:szCs w:val="24"/>
                <w:lang w:val="en-GB"/>
              </w:rPr>
              <w:t>3</w:t>
            </w:r>
            <w:r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D2D21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D2D21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7D2D21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1E031F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F4289B">
              <w:rPr>
                <w:rFonts w:eastAsia="SimSun" w:hint="eastAsia"/>
                <w:b/>
                <w:lang w:eastAsia="zh-CN"/>
              </w:rPr>
              <w:t>4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7D2D21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D2D21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D2D21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7D2D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7D2D21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F4289B">
              <w:rPr>
                <w:rFonts w:hint="eastAsia"/>
                <w:b/>
                <w:bCs/>
                <w:lang w:eastAsia="zh-CN"/>
              </w:rPr>
              <w:t>4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F4289B">
              <w:rPr>
                <w:rFonts w:hint="eastAsia"/>
                <w:b/>
                <w:bCs/>
                <w:lang w:eastAsia="zh-CN"/>
              </w:rPr>
              <w:t>卫星业务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334544" w:rsidRDefault="00E91EDF" w:rsidP="007D2D21">
            <w:pPr>
              <w:pStyle w:val="enumlev1"/>
              <w:spacing w:line="240" w:lineRule="auto"/>
              <w:rPr>
                <w:szCs w:val="24"/>
                <w:lang w:eastAsia="zh-CN"/>
              </w:rPr>
            </w:pPr>
            <w:r w:rsidRPr="009C7E95">
              <w:rPr>
                <w:b/>
                <w:bCs/>
                <w:lang w:eastAsia="zh-CN"/>
              </w:rPr>
              <w:t>–</w:t>
            </w:r>
            <w:r w:rsidRPr="009C7E95">
              <w:rPr>
                <w:b/>
                <w:bCs/>
                <w:lang w:eastAsia="zh-CN"/>
              </w:rPr>
              <w:tab/>
            </w:r>
            <w:r w:rsidR="00F4289B">
              <w:rPr>
                <w:rFonts w:hint="eastAsia"/>
                <w:b/>
                <w:bCs/>
                <w:lang w:eastAsia="zh-CN"/>
              </w:rPr>
              <w:t>批准</w:t>
            </w:r>
            <w:r w:rsidR="00F4289B">
              <w:rPr>
                <w:rFonts w:hint="eastAsia"/>
                <w:b/>
                <w:bCs/>
                <w:lang w:eastAsia="zh-CN"/>
              </w:rPr>
              <w:t>1</w:t>
            </w:r>
            <w:r w:rsidR="004730D5" w:rsidRPr="009C7E95">
              <w:rPr>
                <w:b/>
                <w:bCs/>
                <w:lang w:eastAsia="zh-CN"/>
              </w:rPr>
              <w:t>份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ITU-R</w:t>
            </w:r>
            <w:r w:rsidR="004730D5" w:rsidRPr="009C7E95">
              <w:rPr>
                <w:b/>
                <w:bCs/>
                <w:lang w:eastAsia="zh-CN"/>
              </w:rPr>
              <w:t>新建议书和</w:t>
            </w:r>
            <w:r w:rsidR="00F4289B">
              <w:rPr>
                <w:rFonts w:hint="eastAsia"/>
                <w:b/>
                <w:bCs/>
                <w:lang w:eastAsia="zh-CN"/>
              </w:rPr>
              <w:t>2</w:t>
            </w:r>
            <w:r w:rsidR="004730D5" w:rsidRPr="009C7E95">
              <w:rPr>
                <w:b/>
                <w:bCs/>
                <w:lang w:eastAsia="zh-CN"/>
              </w:rPr>
              <w:t>份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ITU-R</w:t>
            </w:r>
            <w:r w:rsidR="004730D5" w:rsidRPr="009C7E95">
              <w:rPr>
                <w:b/>
                <w:bCs/>
                <w:lang w:eastAsia="zh-CN"/>
              </w:rPr>
              <w:t>修订建议书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7D2D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7D2D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7D2D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7D2D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D2D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D2D21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4730D5" w:rsidRPr="004730D5" w:rsidRDefault="004730D5" w:rsidP="007D2D21">
      <w:pPr>
        <w:spacing w:before="360"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通过</w:t>
      </w:r>
      <w:r w:rsidR="007D2D21">
        <w:rPr>
          <w:rFonts w:hint="eastAsia"/>
          <w:lang w:eastAsia="zh-CN"/>
        </w:rPr>
        <w:t>2</w:t>
      </w:r>
      <w:r w:rsidR="007D2D21">
        <w:rPr>
          <w:lang w:eastAsia="zh-CN"/>
        </w:rPr>
        <w:t>014</w:t>
      </w:r>
      <w:r w:rsidR="007D2D21">
        <w:rPr>
          <w:lang w:eastAsia="zh-CN"/>
        </w:rPr>
        <w:t>年</w:t>
      </w:r>
      <w:r w:rsidR="007D2D21">
        <w:rPr>
          <w:rFonts w:hint="eastAsia"/>
          <w:lang w:eastAsia="zh-CN"/>
        </w:rPr>
        <w:t>7</w:t>
      </w:r>
      <w:r w:rsidRPr="004730D5">
        <w:rPr>
          <w:lang w:eastAsia="zh-CN"/>
        </w:rPr>
        <w:t>月</w:t>
      </w:r>
      <w:r w:rsidR="007D2D21">
        <w:rPr>
          <w:lang w:eastAsia="zh-CN"/>
        </w:rPr>
        <w:t>29</w:t>
      </w:r>
      <w:r w:rsidRPr="004730D5">
        <w:rPr>
          <w:lang w:eastAsia="zh-CN"/>
        </w:rPr>
        <w:t>日的第</w:t>
      </w:r>
      <w:r w:rsidRPr="004730D5">
        <w:rPr>
          <w:lang w:eastAsia="zh-CN"/>
        </w:rPr>
        <w:t>CA</w:t>
      </w:r>
      <w:r w:rsidR="00BC0E56">
        <w:rPr>
          <w:rFonts w:hint="eastAsia"/>
          <w:lang w:eastAsia="zh-CN"/>
        </w:rPr>
        <w:t>CE</w:t>
      </w:r>
      <w:r w:rsidRPr="004730D5">
        <w:rPr>
          <w:lang w:eastAsia="zh-CN"/>
        </w:rPr>
        <w:t>/</w:t>
      </w:r>
      <w:r w:rsidR="00F4289B" w:rsidRPr="00057462">
        <w:rPr>
          <w:rFonts w:asciiTheme="minorHAnsi" w:hAnsiTheme="minorHAnsi" w:cstheme="minorHAnsi"/>
          <w:lang w:eastAsia="zh-CN"/>
        </w:rPr>
        <w:t>685</w:t>
      </w:r>
      <w:r w:rsidRPr="004730D5">
        <w:rPr>
          <w:lang w:eastAsia="zh-CN"/>
        </w:rPr>
        <w:t>号行政通函，提交了</w:t>
      </w:r>
      <w:r w:rsidR="00F4289B">
        <w:rPr>
          <w:rFonts w:hint="eastAsia"/>
          <w:lang w:eastAsia="zh-CN"/>
        </w:rPr>
        <w:t>1</w:t>
      </w:r>
      <w:r w:rsidRPr="004730D5">
        <w:rPr>
          <w:lang w:eastAsia="zh-CN"/>
        </w:rPr>
        <w:t>份</w:t>
      </w:r>
      <w:r w:rsidRPr="004730D5">
        <w:rPr>
          <w:lang w:eastAsia="zh-CN"/>
        </w:rPr>
        <w:t>ITU-R</w:t>
      </w:r>
      <w:r w:rsidRPr="004730D5">
        <w:rPr>
          <w:lang w:eastAsia="zh-CN"/>
        </w:rPr>
        <w:t>新建议书草案和</w:t>
      </w:r>
      <w:r w:rsidR="00F4289B">
        <w:rPr>
          <w:rFonts w:hint="eastAsia"/>
          <w:lang w:eastAsia="zh-CN"/>
        </w:rPr>
        <w:t>2</w:t>
      </w:r>
      <w:r w:rsidRPr="004730D5">
        <w:rPr>
          <w:lang w:eastAsia="zh-CN"/>
        </w:rPr>
        <w:t>份</w:t>
      </w:r>
      <w:r w:rsidRPr="004730D5">
        <w:rPr>
          <w:lang w:eastAsia="zh-CN"/>
        </w:rPr>
        <w:t>ITU-R</w:t>
      </w:r>
      <w:r w:rsidR="007D2D21">
        <w:rPr>
          <w:rFonts w:hint="eastAsia"/>
          <w:lang w:eastAsia="zh-CN"/>
        </w:rPr>
        <w:t>修订</w:t>
      </w:r>
      <w:r w:rsidR="00F4289B">
        <w:rPr>
          <w:lang w:eastAsia="zh-CN"/>
        </w:rPr>
        <w:t>建议书</w:t>
      </w:r>
      <w:r w:rsidRPr="004730D5">
        <w:rPr>
          <w:lang w:eastAsia="zh-CN"/>
        </w:rPr>
        <w:t>草案，以便</w:t>
      </w:r>
      <w:r w:rsidR="00F4289B">
        <w:rPr>
          <w:rFonts w:hint="eastAsia"/>
          <w:lang w:eastAsia="zh-CN"/>
        </w:rPr>
        <w:t>按照</w:t>
      </w:r>
      <w:r w:rsidR="00F4289B" w:rsidRPr="00057462">
        <w:rPr>
          <w:rFonts w:asciiTheme="minorHAnsi" w:hAnsiTheme="minorHAnsi" w:cstheme="minorHAnsi"/>
          <w:lang w:eastAsia="zh-CN"/>
        </w:rPr>
        <w:t>ITU</w:t>
      </w:r>
      <w:r w:rsidR="00F4289B" w:rsidRPr="00057462">
        <w:rPr>
          <w:rFonts w:asciiTheme="minorHAnsi" w:hAnsiTheme="minorHAnsi" w:cstheme="minorHAnsi"/>
          <w:lang w:eastAsia="zh-CN"/>
        </w:rPr>
        <w:noBreakHyphen/>
        <w:t>R</w:t>
      </w:r>
      <w:r w:rsidR="00F4289B">
        <w:rPr>
          <w:rFonts w:asciiTheme="minorHAnsi" w:hAnsiTheme="minorHAnsi" w:cstheme="minorHAnsi" w:hint="eastAsia"/>
          <w:lang w:eastAsia="zh-CN"/>
        </w:rPr>
        <w:t>第</w:t>
      </w:r>
      <w:r w:rsidR="00F4289B" w:rsidRPr="00057462">
        <w:rPr>
          <w:rFonts w:asciiTheme="minorHAnsi" w:hAnsiTheme="minorHAnsi" w:cstheme="minorHAnsi"/>
          <w:lang w:eastAsia="zh-CN"/>
        </w:rPr>
        <w:t>1-6</w:t>
      </w:r>
      <w:r w:rsidR="00F4289B">
        <w:rPr>
          <w:rFonts w:asciiTheme="minorHAnsi" w:hAnsiTheme="minorHAnsi" w:cstheme="minorHAnsi" w:hint="eastAsia"/>
          <w:lang w:eastAsia="zh-CN"/>
        </w:rPr>
        <w:t>号决议（第</w:t>
      </w:r>
      <w:r w:rsidR="00F4289B" w:rsidRPr="00057462">
        <w:rPr>
          <w:rFonts w:asciiTheme="minorHAnsi" w:hAnsiTheme="minorHAnsi" w:cstheme="minorHAnsi"/>
          <w:lang w:eastAsia="zh-CN"/>
        </w:rPr>
        <w:t>10.4.5</w:t>
      </w:r>
      <w:r w:rsidR="00F4289B">
        <w:rPr>
          <w:rFonts w:asciiTheme="minorHAnsi" w:hAnsiTheme="minorHAnsi" w:cstheme="minorHAnsi" w:hint="eastAsia"/>
          <w:lang w:eastAsia="zh-CN"/>
        </w:rPr>
        <w:t>段）规定的程序</w:t>
      </w:r>
      <w:r w:rsidR="007D2D21">
        <w:rPr>
          <w:rFonts w:asciiTheme="minorHAnsi" w:hAnsiTheme="minorHAnsi" w:cstheme="minorHAnsi" w:hint="eastAsia"/>
          <w:lang w:eastAsia="zh-CN"/>
        </w:rPr>
        <w:t>予以</w:t>
      </w:r>
      <w:r w:rsidRPr="004730D5">
        <w:rPr>
          <w:lang w:eastAsia="zh-CN"/>
        </w:rPr>
        <w:t>批准。</w:t>
      </w:r>
    </w:p>
    <w:p w:rsidR="004730D5" w:rsidRPr="004730D5" w:rsidRDefault="004730D5" w:rsidP="007D2D21">
      <w:pPr>
        <w:spacing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有关该程序的条件已于</w:t>
      </w:r>
      <w:r w:rsidRPr="004730D5">
        <w:rPr>
          <w:lang w:eastAsia="zh-CN"/>
        </w:rPr>
        <w:t>201</w:t>
      </w:r>
      <w:r w:rsidR="007D2D21">
        <w:rPr>
          <w:lang w:eastAsia="zh-CN"/>
        </w:rPr>
        <w:t>4</w:t>
      </w:r>
      <w:r w:rsidRPr="004730D5">
        <w:rPr>
          <w:lang w:eastAsia="zh-CN"/>
        </w:rPr>
        <w:t>年</w:t>
      </w:r>
      <w:r w:rsidR="007D2D21">
        <w:rPr>
          <w:lang w:eastAsia="zh-CN"/>
        </w:rPr>
        <w:t>9</w:t>
      </w:r>
      <w:r w:rsidRPr="004730D5">
        <w:rPr>
          <w:lang w:eastAsia="zh-CN"/>
        </w:rPr>
        <w:t>月</w:t>
      </w:r>
      <w:r w:rsidR="007D2D21">
        <w:rPr>
          <w:lang w:eastAsia="zh-CN"/>
        </w:rPr>
        <w:t>29</w:t>
      </w:r>
      <w:r w:rsidRPr="004730D5">
        <w:rPr>
          <w:lang w:eastAsia="zh-CN"/>
        </w:rPr>
        <w:t>日得到满足。</w:t>
      </w:r>
    </w:p>
    <w:p w:rsidR="00E91EDF" w:rsidRPr="004730D5" w:rsidRDefault="004730D5" w:rsidP="007D2D21">
      <w:pPr>
        <w:spacing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已经批准的建议书将由国际电联公布出版。本通函附件</w:t>
      </w:r>
      <w:r w:rsidRPr="004730D5">
        <w:rPr>
          <w:rFonts w:hint="eastAsia"/>
          <w:lang w:eastAsia="zh-CN"/>
        </w:rPr>
        <w:t>提供</w:t>
      </w:r>
      <w:r w:rsidRPr="004730D5">
        <w:rPr>
          <w:lang w:eastAsia="zh-CN"/>
        </w:rPr>
        <w:t>了这些建议书的标题和分配的编号。</w:t>
      </w:r>
      <w:bookmarkStart w:id="0" w:name="StartTyping_E"/>
      <w:bookmarkEnd w:id="0"/>
    </w:p>
    <w:p w:rsidR="00D631CE" w:rsidRPr="00334544" w:rsidRDefault="00D631CE" w:rsidP="007D2D21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7D2D21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7D2D21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BC0E56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7D2D21">
      <w:pPr>
        <w:spacing w:line="240" w:lineRule="auto"/>
        <w:rPr>
          <w:lang w:eastAsia="zh-CN"/>
        </w:rPr>
      </w:pPr>
    </w:p>
    <w:p w:rsidR="00E91EDF" w:rsidRPr="00E91EDF" w:rsidRDefault="00E91EDF" w:rsidP="007D2D21">
      <w:pPr>
        <w:spacing w:line="240" w:lineRule="auto"/>
        <w:rPr>
          <w:lang w:eastAsia="zh-CN"/>
        </w:rPr>
      </w:pPr>
    </w:p>
    <w:p w:rsidR="00E91EDF" w:rsidRDefault="00E91EDF" w:rsidP="007D2D21">
      <w:pPr>
        <w:spacing w:line="240" w:lineRule="auto"/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7D2D21">
        <w:rPr>
          <w:lang w:eastAsia="zh-CN"/>
        </w:rPr>
        <w:t>1</w:t>
      </w:r>
      <w:r w:rsidR="00BC0E56">
        <w:rPr>
          <w:rFonts w:hint="eastAsia"/>
          <w:lang w:eastAsia="zh-CN"/>
        </w:rPr>
        <w:t>件</w:t>
      </w:r>
    </w:p>
    <w:p w:rsidR="00E91EDF" w:rsidRPr="00E91EDF" w:rsidRDefault="00E91EDF" w:rsidP="007D2D21">
      <w:pPr>
        <w:spacing w:line="240" w:lineRule="auto"/>
        <w:rPr>
          <w:lang w:eastAsia="zh-CN"/>
        </w:rPr>
      </w:pPr>
    </w:p>
    <w:p w:rsidR="00E91EDF" w:rsidRPr="00E91EDF" w:rsidRDefault="00E91EDF" w:rsidP="007D2D21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1EDF" w:rsidRPr="00E91EDF" w:rsidRDefault="00E91EDF" w:rsidP="007D2D21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 w:rsidR="007D2D21">
        <w:rPr>
          <w:sz w:val="16"/>
          <w:szCs w:val="16"/>
          <w:lang w:eastAsia="zh-CN"/>
        </w:rPr>
        <w:t>4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E91EDF" w:rsidRPr="00E91EDF" w:rsidRDefault="00E91EDF" w:rsidP="007D2D21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 w:rsidR="007D2D21">
        <w:rPr>
          <w:sz w:val="16"/>
          <w:szCs w:val="16"/>
          <w:lang w:eastAsia="zh-CN"/>
        </w:rPr>
        <w:t>4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E91EDF" w:rsidRPr="00E91EDF" w:rsidRDefault="00E91EDF" w:rsidP="007D2D21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E91EDF" w:rsidRPr="00E91EDF" w:rsidRDefault="00E91EDF" w:rsidP="007D2D21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E91EDF" w:rsidRPr="00E91EDF" w:rsidRDefault="00E91EDF" w:rsidP="007D2D21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E91EDF" w:rsidP="007D2D21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924F53" w:rsidRDefault="00E91EDF" w:rsidP="007D2D21">
      <w:pPr>
        <w:pStyle w:val="AnnexNoTitle"/>
        <w:spacing w:line="240" w:lineRule="auto"/>
        <w:rPr>
          <w:sz w:val="28"/>
          <w:szCs w:val="28"/>
          <w:lang w:eastAsia="zh-CN"/>
        </w:rPr>
      </w:pPr>
      <w:r w:rsidRPr="00726FB7">
        <w:rPr>
          <w:rFonts w:hint="eastAsia"/>
          <w:sz w:val="28"/>
          <w:szCs w:val="28"/>
          <w:lang w:eastAsia="zh-CN"/>
        </w:rPr>
        <w:lastRenderedPageBreak/>
        <w:t>附件</w:t>
      </w:r>
      <w:r w:rsidR="00BC0E56">
        <w:rPr>
          <w:rFonts w:hint="eastAsia"/>
          <w:sz w:val="28"/>
          <w:szCs w:val="28"/>
          <w:lang w:eastAsia="zh-CN"/>
        </w:rPr>
        <w:t xml:space="preserve"> </w:t>
      </w:r>
    </w:p>
    <w:p w:rsidR="00924F53" w:rsidRPr="00924F53" w:rsidRDefault="00924F53" w:rsidP="007D2D21">
      <w:pPr>
        <w:pStyle w:val="AnnexNoTitle"/>
        <w:spacing w:before="360" w:line="24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已经批准的</w:t>
      </w:r>
      <w:r w:rsidR="004A41BE">
        <w:rPr>
          <w:rFonts w:hint="eastAsia"/>
          <w:sz w:val="28"/>
          <w:szCs w:val="28"/>
          <w:lang w:eastAsia="zh-CN"/>
        </w:rPr>
        <w:t>ITU-R</w:t>
      </w:r>
      <w:bookmarkStart w:id="1" w:name="_GoBack"/>
      <w:bookmarkEnd w:id="1"/>
      <w:r>
        <w:rPr>
          <w:rFonts w:hint="eastAsia"/>
          <w:sz w:val="28"/>
          <w:szCs w:val="28"/>
          <w:lang w:eastAsia="zh-CN"/>
        </w:rPr>
        <w:t>建议书的标题</w:t>
      </w:r>
    </w:p>
    <w:p w:rsidR="00924F53" w:rsidRDefault="007D2D21" w:rsidP="007D2D21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line="240" w:lineRule="auto"/>
        <w:rPr>
          <w:lang w:eastAsia="zh-CN"/>
        </w:rPr>
      </w:pPr>
      <w:r w:rsidRPr="00137A0B">
        <w:rPr>
          <w:u w:val="single"/>
          <w:lang w:val="en-GB" w:eastAsia="zh-CN"/>
        </w:rPr>
        <w:t>ITU-R BO.</w:t>
      </w:r>
      <w:r>
        <w:rPr>
          <w:u w:val="single"/>
          <w:lang w:val="en-GB" w:eastAsia="zh-CN"/>
        </w:rPr>
        <w:t>2063-0</w:t>
      </w:r>
      <w:r w:rsidR="00924F53">
        <w:rPr>
          <w:u w:val="single"/>
          <w:lang w:eastAsia="zh-CN"/>
        </w:rPr>
        <w:t>建议书</w:t>
      </w:r>
      <w:r w:rsidR="00924F53">
        <w:rPr>
          <w:lang w:eastAsia="zh-CN"/>
        </w:rPr>
        <w:tab/>
        <w:t>4/BL/5</w:t>
      </w:r>
      <w:r w:rsidR="00924F53">
        <w:rPr>
          <w:rFonts w:hint="eastAsia"/>
          <w:lang w:eastAsia="zh-CN"/>
        </w:rPr>
        <w:t>号</w:t>
      </w:r>
      <w:r w:rsidR="00924F53">
        <w:rPr>
          <w:lang w:eastAsia="zh-CN"/>
        </w:rPr>
        <w:t>文件</w:t>
      </w:r>
    </w:p>
    <w:p w:rsidR="00924F53" w:rsidRPr="00DD4677" w:rsidRDefault="00924F53" w:rsidP="007D2D21">
      <w:pPr>
        <w:pStyle w:val="Rectitle"/>
        <w:rPr>
          <w:szCs w:val="28"/>
          <w:lang w:eastAsia="zh-CN"/>
        </w:rPr>
      </w:pPr>
      <w:r>
        <w:rPr>
          <w:rFonts w:hint="eastAsia"/>
          <w:lang w:val="en-GB" w:eastAsia="zh-CN"/>
        </w:rPr>
        <w:t>用于</w:t>
      </w:r>
      <w:r>
        <w:rPr>
          <w:rFonts w:hint="eastAsia"/>
          <w:lang w:val="en-GB" w:eastAsia="zh-CN"/>
        </w:rPr>
        <w:t>12 GHz</w:t>
      </w:r>
      <w:r>
        <w:rPr>
          <w:rFonts w:hint="eastAsia"/>
          <w:lang w:eastAsia="zh-CN"/>
        </w:rPr>
        <w:t>的</w:t>
      </w:r>
      <w:r>
        <w:rPr>
          <w:rFonts w:hint="eastAsia"/>
          <w:lang w:val="en-GB" w:eastAsia="zh-CN"/>
        </w:rPr>
        <w:t>BSS</w:t>
      </w:r>
      <w:r>
        <w:rPr>
          <w:rFonts w:hint="eastAsia"/>
          <w:lang w:val="en-GB" w:eastAsia="zh-CN"/>
        </w:rPr>
        <w:t>频段、有效孔径范围为</w:t>
      </w:r>
      <w:r>
        <w:rPr>
          <w:rFonts w:hint="eastAsia"/>
          <w:lang w:val="en-GB" w:eastAsia="zh-CN"/>
        </w:rPr>
        <w:t>55-75</w:t>
      </w:r>
      <w:r>
        <w:rPr>
          <w:rFonts w:hint="eastAsia"/>
          <w:lang w:val="en-GB" w:eastAsia="zh-CN"/>
        </w:rPr>
        <w:t>厘米的</w:t>
      </w:r>
      <w:r>
        <w:rPr>
          <w:lang w:val="en-GB" w:eastAsia="zh-CN"/>
        </w:rPr>
        <w:br/>
      </w:r>
      <w:r>
        <w:rPr>
          <w:rFonts w:hint="eastAsia"/>
          <w:lang w:val="en-GB" w:eastAsia="zh-CN"/>
        </w:rPr>
        <w:t>备选</w:t>
      </w:r>
      <w:r>
        <w:rPr>
          <w:rFonts w:hint="eastAsia"/>
          <w:lang w:val="en-GB" w:eastAsia="zh-CN"/>
        </w:rPr>
        <w:t>BSS</w:t>
      </w:r>
      <w:r w:rsidRPr="004B7D3F">
        <w:rPr>
          <w:rFonts w:hint="eastAsia"/>
          <w:lang w:val="en-GB" w:eastAsia="zh-CN"/>
        </w:rPr>
        <w:t>地球站天线辐射方向图</w:t>
      </w:r>
    </w:p>
    <w:p w:rsidR="00924F53" w:rsidRDefault="00924F53" w:rsidP="007D2D21">
      <w:pPr>
        <w:tabs>
          <w:tab w:val="right" w:pos="9639"/>
        </w:tabs>
        <w:spacing w:line="240" w:lineRule="auto"/>
        <w:rPr>
          <w:szCs w:val="24"/>
          <w:lang w:eastAsia="zh-CN"/>
        </w:rPr>
      </w:pPr>
    </w:p>
    <w:p w:rsidR="00924F53" w:rsidRPr="00AC5221" w:rsidRDefault="00924F53" w:rsidP="007D2D21">
      <w:pPr>
        <w:tabs>
          <w:tab w:val="right" w:pos="9639"/>
        </w:tabs>
        <w:spacing w:line="240" w:lineRule="auto"/>
        <w:rPr>
          <w:rFonts w:asciiTheme="minorHAnsi" w:hAnsiTheme="minorHAnsi" w:cstheme="minorHAnsi"/>
          <w:bCs/>
          <w:szCs w:val="24"/>
          <w:u w:val="single"/>
          <w:lang w:eastAsia="zh-CN"/>
        </w:rPr>
      </w:pPr>
      <w:r w:rsidRPr="00AC5221">
        <w:rPr>
          <w:bCs/>
          <w:szCs w:val="24"/>
          <w:u w:val="single"/>
          <w:lang w:val="en-GB" w:eastAsia="zh-CN"/>
        </w:rPr>
        <w:t>ITU-R M.1787-</w:t>
      </w:r>
      <w:r w:rsidR="007D2D21">
        <w:rPr>
          <w:bCs/>
          <w:szCs w:val="24"/>
          <w:u w:val="single"/>
          <w:lang w:val="en-GB" w:eastAsia="zh-CN"/>
        </w:rPr>
        <w:t>2</w:t>
      </w:r>
      <w:r w:rsidRPr="00AC5221">
        <w:rPr>
          <w:rFonts w:hint="eastAsia"/>
          <w:bCs/>
          <w:szCs w:val="24"/>
          <w:u w:val="single"/>
          <w:lang w:val="en-GB" w:eastAsia="zh-CN"/>
        </w:rPr>
        <w:t>建议书</w:t>
      </w:r>
      <w:r w:rsidRPr="00AC5221">
        <w:rPr>
          <w:rFonts w:hint="eastAsia"/>
          <w:bCs/>
          <w:szCs w:val="24"/>
          <w:lang w:val="en-GB" w:eastAsia="zh-CN"/>
        </w:rPr>
        <w:tab/>
      </w:r>
      <w:r w:rsidRPr="00C23B1B">
        <w:rPr>
          <w:rFonts w:asciiTheme="minorHAnsi" w:hAnsiTheme="minorHAnsi" w:cstheme="minorHAnsi" w:hint="eastAsia"/>
          <w:bCs/>
          <w:szCs w:val="24"/>
          <w:lang w:eastAsia="zh-CN"/>
        </w:rPr>
        <w:t>4/BL/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6</w:t>
      </w:r>
      <w:r w:rsidRPr="00C23B1B">
        <w:rPr>
          <w:rFonts w:asciiTheme="minorHAnsi" w:hAnsiTheme="minorHAnsi" w:cstheme="minorHAnsi" w:hint="eastAsia"/>
          <w:bCs/>
          <w:szCs w:val="24"/>
          <w:lang w:eastAsia="zh-CN"/>
        </w:rPr>
        <w:t>号文件</w:t>
      </w:r>
    </w:p>
    <w:p w:rsidR="00924F53" w:rsidRDefault="00924F53" w:rsidP="00DF6D75">
      <w:pPr>
        <w:pStyle w:val="Rectitle"/>
        <w:rPr>
          <w:lang w:eastAsia="zh-CN"/>
        </w:rPr>
      </w:pPr>
      <w:r w:rsidRPr="00D02749">
        <w:rPr>
          <w:rFonts w:hint="eastAsia"/>
          <w:lang w:eastAsia="zh-CN"/>
        </w:rPr>
        <w:t>关于在</w:t>
      </w:r>
      <w:r w:rsidRPr="00D02749">
        <w:rPr>
          <w:rFonts w:hint="eastAsia"/>
          <w:lang w:eastAsia="zh-CN"/>
        </w:rPr>
        <w:t>1</w:t>
      </w:r>
      <w:r w:rsidR="007D2D21">
        <w:rPr>
          <w:lang w:eastAsia="zh-CN"/>
        </w:rPr>
        <w:t> </w:t>
      </w:r>
      <w:r w:rsidRPr="00D02749">
        <w:rPr>
          <w:rFonts w:hint="eastAsia"/>
          <w:lang w:eastAsia="zh-CN"/>
        </w:rPr>
        <w:t>164-1</w:t>
      </w:r>
      <w:r w:rsidR="007D2D21">
        <w:rPr>
          <w:lang w:eastAsia="zh-CN"/>
        </w:rPr>
        <w:t> </w:t>
      </w:r>
      <w:r w:rsidRPr="00D02749">
        <w:rPr>
          <w:rFonts w:hint="eastAsia"/>
          <w:lang w:eastAsia="zh-CN"/>
        </w:rPr>
        <w:t>215 MHz</w:t>
      </w:r>
      <w:r w:rsidRPr="00D02749">
        <w:rPr>
          <w:rFonts w:hint="eastAsia"/>
          <w:lang w:eastAsia="zh-CN"/>
        </w:rPr>
        <w:t>、</w:t>
      </w:r>
      <w:r w:rsidRPr="00D02749">
        <w:rPr>
          <w:rFonts w:hint="eastAsia"/>
          <w:lang w:eastAsia="zh-CN"/>
        </w:rPr>
        <w:t>1</w:t>
      </w:r>
      <w:r w:rsidR="007D2D21">
        <w:rPr>
          <w:lang w:eastAsia="zh-CN"/>
        </w:rPr>
        <w:t> </w:t>
      </w:r>
      <w:r w:rsidRPr="00D02749">
        <w:rPr>
          <w:rFonts w:hint="eastAsia"/>
          <w:lang w:eastAsia="zh-CN"/>
        </w:rPr>
        <w:t>215-1</w:t>
      </w:r>
      <w:r w:rsidR="007D2D21">
        <w:rPr>
          <w:lang w:eastAsia="zh-CN"/>
        </w:rPr>
        <w:t> </w:t>
      </w:r>
      <w:r w:rsidRPr="00D02749">
        <w:rPr>
          <w:rFonts w:hint="eastAsia"/>
          <w:lang w:eastAsia="zh-CN"/>
        </w:rPr>
        <w:t>300 MHz</w:t>
      </w:r>
      <w:r w:rsidRPr="00D02749">
        <w:rPr>
          <w:rFonts w:hint="eastAsia"/>
          <w:lang w:eastAsia="zh-CN"/>
        </w:rPr>
        <w:t>和</w:t>
      </w:r>
      <w:r w:rsidRPr="00D02749">
        <w:rPr>
          <w:rFonts w:hint="eastAsia"/>
          <w:lang w:eastAsia="zh-CN"/>
        </w:rPr>
        <w:t>1</w:t>
      </w:r>
      <w:r w:rsidR="007D2D21">
        <w:rPr>
          <w:lang w:eastAsia="zh-CN"/>
        </w:rPr>
        <w:t> </w:t>
      </w:r>
      <w:r w:rsidRPr="00D02749">
        <w:rPr>
          <w:rFonts w:hint="eastAsia"/>
          <w:lang w:eastAsia="zh-CN"/>
        </w:rPr>
        <w:t>559-1</w:t>
      </w:r>
      <w:r w:rsidR="007D2D21">
        <w:rPr>
          <w:lang w:eastAsia="zh-CN"/>
        </w:rPr>
        <w:t> </w:t>
      </w:r>
      <w:r w:rsidRPr="00D02749">
        <w:rPr>
          <w:rFonts w:hint="eastAsia"/>
          <w:lang w:eastAsia="zh-CN"/>
        </w:rPr>
        <w:t>610 MHz</w:t>
      </w:r>
      <w:r w:rsidRPr="00D02749">
        <w:rPr>
          <w:rFonts w:hint="eastAsia"/>
          <w:lang w:eastAsia="zh-CN"/>
        </w:rPr>
        <w:t>频段</w:t>
      </w:r>
      <w:r w:rsidR="00DF6D75">
        <w:rPr>
          <w:lang w:eastAsia="zh-CN"/>
        </w:rPr>
        <w:br/>
      </w:r>
      <w:r w:rsidRPr="00D02749">
        <w:rPr>
          <w:rFonts w:hint="eastAsia"/>
          <w:lang w:eastAsia="zh-CN"/>
        </w:rPr>
        <w:t>运行的卫星无线电导航业务（空对地和地对空）系统和</w:t>
      </w:r>
      <w:r>
        <w:rPr>
          <w:lang w:eastAsia="zh-CN"/>
        </w:rPr>
        <w:br/>
      </w:r>
      <w:r w:rsidRPr="00D02749">
        <w:rPr>
          <w:rFonts w:hint="eastAsia"/>
          <w:lang w:eastAsia="zh-CN"/>
        </w:rPr>
        <w:t>网络及发射空间电台技术特性的说明</w:t>
      </w:r>
    </w:p>
    <w:p w:rsidR="00924F53" w:rsidRDefault="00924F53" w:rsidP="007D2D21">
      <w:pPr>
        <w:tabs>
          <w:tab w:val="right" w:pos="9639"/>
        </w:tabs>
        <w:spacing w:line="240" w:lineRule="auto"/>
        <w:rPr>
          <w:lang w:eastAsia="zh-CN"/>
        </w:rPr>
      </w:pPr>
    </w:p>
    <w:p w:rsidR="00924F53" w:rsidRPr="00AC5221" w:rsidRDefault="00924F53" w:rsidP="007D2D21">
      <w:pPr>
        <w:tabs>
          <w:tab w:val="right" w:pos="9639"/>
        </w:tabs>
        <w:spacing w:line="240" w:lineRule="auto"/>
        <w:rPr>
          <w:rFonts w:asciiTheme="minorHAnsi" w:eastAsia="SimSun" w:hAnsiTheme="minorHAnsi" w:cstheme="minorHAnsi"/>
          <w:b/>
          <w:bCs/>
          <w:color w:val="333333"/>
          <w:lang w:eastAsia="zh-CN"/>
        </w:rPr>
      </w:pPr>
      <w:r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ITU-R M.1850-</w:t>
      </w:r>
      <w:r w:rsidR="007D2D21">
        <w:rPr>
          <w:rFonts w:asciiTheme="minorHAnsi" w:hAnsiTheme="minorHAnsi" w:cstheme="minorHAnsi"/>
          <w:bCs/>
          <w:szCs w:val="24"/>
          <w:u w:val="single"/>
          <w:lang w:eastAsia="zh-CN"/>
        </w:rPr>
        <w:t>2</w:t>
      </w:r>
      <w:r w:rsidRPr="005A4587">
        <w:rPr>
          <w:rFonts w:hint="eastAsia"/>
          <w:bCs/>
          <w:szCs w:val="24"/>
          <w:u w:val="single"/>
          <w:lang w:val="en-GB" w:eastAsia="zh-CN"/>
        </w:rPr>
        <w:t>建议书</w:t>
      </w:r>
      <w:r w:rsidRPr="00AC5221">
        <w:rPr>
          <w:rFonts w:asciiTheme="minorHAnsi" w:hAnsiTheme="minorHAnsi" w:cstheme="minorHAnsi" w:hint="eastAsia"/>
          <w:bCs/>
          <w:szCs w:val="24"/>
          <w:lang w:eastAsia="zh-CN"/>
        </w:rPr>
        <w:tab/>
      </w:r>
      <w:r w:rsidRPr="00C23B1B">
        <w:rPr>
          <w:rFonts w:asciiTheme="minorHAnsi" w:hAnsiTheme="minorHAnsi" w:cstheme="minorHAnsi" w:hint="eastAsia"/>
          <w:bCs/>
          <w:szCs w:val="24"/>
          <w:lang w:eastAsia="zh-CN"/>
        </w:rPr>
        <w:t>4/BL/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7</w:t>
      </w:r>
      <w:r w:rsidRPr="00C23B1B">
        <w:rPr>
          <w:rFonts w:asciiTheme="minorHAnsi" w:hAnsiTheme="minorHAnsi" w:cstheme="minorHAnsi" w:hint="eastAsia"/>
          <w:bCs/>
          <w:szCs w:val="24"/>
          <w:lang w:eastAsia="zh-CN"/>
        </w:rPr>
        <w:t>号文件</w:t>
      </w:r>
    </w:p>
    <w:p w:rsidR="00924F53" w:rsidRDefault="00924F53" w:rsidP="007D2D21">
      <w:pPr>
        <w:pStyle w:val="Rectitle"/>
        <w:rPr>
          <w:lang w:eastAsia="zh-CN"/>
        </w:rPr>
      </w:pPr>
      <w:r w:rsidRPr="003D1D0E">
        <w:rPr>
          <w:rFonts w:hint="eastAsia"/>
          <w:lang w:eastAsia="zh-CN"/>
        </w:rPr>
        <w:t>国际移动通信</w:t>
      </w:r>
      <w:r w:rsidRPr="003D1D0E">
        <w:rPr>
          <w:rFonts w:hint="eastAsia"/>
          <w:lang w:eastAsia="zh-CN"/>
        </w:rPr>
        <w:t>-2000</w:t>
      </w:r>
      <w:r w:rsidRPr="003D1D0E">
        <w:rPr>
          <w:rFonts w:hint="eastAsia"/>
          <w:lang w:eastAsia="zh-CN"/>
        </w:rPr>
        <w:t>（</w:t>
      </w:r>
      <w:r w:rsidRPr="003D1D0E">
        <w:rPr>
          <w:rFonts w:hint="eastAsia"/>
          <w:lang w:eastAsia="zh-CN"/>
        </w:rPr>
        <w:t>IMT-2000</w:t>
      </w:r>
      <w:r w:rsidRPr="003D1D0E">
        <w:rPr>
          <w:rFonts w:hint="eastAsia"/>
          <w:lang w:eastAsia="zh-CN"/>
        </w:rPr>
        <w:t>）卫星部分无线电接口</w:t>
      </w:r>
      <w:r>
        <w:rPr>
          <w:lang w:eastAsia="zh-CN"/>
        </w:rPr>
        <w:br/>
      </w:r>
      <w:r w:rsidRPr="003D1D0E">
        <w:rPr>
          <w:rFonts w:hint="eastAsia"/>
          <w:lang w:eastAsia="zh-CN"/>
        </w:rPr>
        <w:t>的详细技术要求</w:t>
      </w:r>
    </w:p>
    <w:p w:rsidR="0052166F" w:rsidRDefault="0052166F" w:rsidP="0032202E">
      <w:pPr>
        <w:pStyle w:val="Reasons"/>
        <w:rPr>
          <w:lang w:eastAsia="zh-CN"/>
        </w:rPr>
      </w:pPr>
    </w:p>
    <w:p w:rsidR="0052166F" w:rsidRDefault="0052166F" w:rsidP="0032202E">
      <w:pPr>
        <w:pStyle w:val="Reasons"/>
        <w:rPr>
          <w:lang w:eastAsia="zh-CN"/>
        </w:rPr>
      </w:pPr>
    </w:p>
    <w:p w:rsidR="0052166F" w:rsidRDefault="0052166F">
      <w:pPr>
        <w:jc w:val="center"/>
      </w:pPr>
      <w:r>
        <w:t>______________</w:t>
      </w:r>
    </w:p>
    <w:sectPr w:rsidR="0052166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A41BE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7D2D21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097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1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30D5"/>
    <w:rsid w:val="00480F51"/>
    <w:rsid w:val="00481124"/>
    <w:rsid w:val="004815EB"/>
    <w:rsid w:val="00487569"/>
    <w:rsid w:val="00496864"/>
    <w:rsid w:val="00496920"/>
    <w:rsid w:val="004A41BE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66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2D21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4F53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C7E95"/>
    <w:rsid w:val="009D51A2"/>
    <w:rsid w:val="009E04A8"/>
    <w:rsid w:val="009E4AEC"/>
    <w:rsid w:val="009E5BD8"/>
    <w:rsid w:val="009E681E"/>
    <w:rsid w:val="009F2A55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C0E56"/>
    <w:rsid w:val="00BD6738"/>
    <w:rsid w:val="00BD7E5E"/>
    <w:rsid w:val="00BE1A14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810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DF6D75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16949"/>
    <w:rsid w:val="00F424BF"/>
    <w:rsid w:val="00F4289B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3437D5E-5CB0-4028-B081-3047932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rsid w:val="00924F53"/>
    <w:pPr>
      <w:keepNext/>
      <w:keepLines/>
      <w:spacing w:before="480" w:line="240" w:lineRule="auto"/>
      <w:jc w:val="center"/>
    </w:pPr>
    <w:rPr>
      <w:rFonts w:asciiTheme="minorHAnsi" w:eastAsia="SimSun" w:hAnsiTheme="minorHAnsi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924F5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2D5B-C0AD-4883-BBC5-E7FDE95F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5</TotalTime>
  <Pages>2</Pages>
  <Words>536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4</cp:revision>
  <cp:lastPrinted>2014-10-01T13:45:00Z</cp:lastPrinted>
  <dcterms:created xsi:type="dcterms:W3CDTF">2014-10-01T13:44:00Z</dcterms:created>
  <dcterms:modified xsi:type="dcterms:W3CDTF">2014-10-02T08:14:00Z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