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7D38DC" w:rsidRDefault="00B83DAF" w:rsidP="006160CB">
            <w:pPr>
              <w:jc w:val="left"/>
              <w:rPr>
                <w:rFonts w:ascii="Calibri"/>
                <w:b/>
                <w:bCs/>
                <w:color w:val="808080"/>
                <w:sz w:val="32"/>
                <w:szCs w:val="36"/>
                <w:lang w:val="fr-FR"/>
              </w:rPr>
            </w:pP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lang w:val="en-US" w:bidi="ar-EG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  <w:r w:rsidRPr="007D38DC">
              <w:rPr>
                <w:rFonts w:ascii="Calibri"/>
                <w:b/>
                <w:bCs/>
                <w:color w:val="808080"/>
                <w:sz w:val="32"/>
                <w:szCs w:val="36"/>
              </w:rPr>
              <w:t xml:space="preserve"> 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83DAF" w:rsidRPr="001954A0" w:rsidRDefault="00B77485" w:rsidP="006160CB">
            <w:pPr>
              <w:spacing w:before="0" w:line="240" w:lineRule="auto"/>
              <w:jc w:val="left"/>
            </w:pPr>
            <w:r w:rsidRPr="001954A0">
              <w:rPr>
                <w:rFonts w:hint="cs"/>
                <w:rtl/>
              </w:rPr>
              <w:t>الرسالة الإدارية المعممة</w:t>
            </w:r>
          </w:p>
          <w:p w:rsidR="00B77485" w:rsidRPr="006F5AA3" w:rsidRDefault="006F5AA3" w:rsidP="008C1F82">
            <w:pPr>
              <w:spacing w:before="0" w:line="240" w:lineRule="auto"/>
              <w:jc w:val="left"/>
              <w:rPr>
                <w:szCs w:val="26"/>
                <w:lang w:val="en-US"/>
              </w:rPr>
            </w:pPr>
            <w:r w:rsidRPr="0068685E">
              <w:rPr>
                <w:b/>
                <w:bCs/>
                <w:lang w:bidi="ar-EG"/>
              </w:rPr>
              <w:t>CACE/</w:t>
            </w:r>
            <w:r>
              <w:rPr>
                <w:b/>
                <w:bCs/>
                <w:lang w:val="en-US" w:bidi="ar-EG"/>
              </w:rPr>
              <w:t>687</w:t>
            </w:r>
          </w:p>
        </w:tc>
        <w:tc>
          <w:tcPr>
            <w:tcW w:w="4536" w:type="dxa"/>
            <w:shd w:val="clear" w:color="auto" w:fill="auto"/>
          </w:tcPr>
          <w:p w:rsidR="00B83DAF" w:rsidRPr="006F5AA3" w:rsidRDefault="006F5AA3" w:rsidP="006F5AA3">
            <w:pPr>
              <w:spacing w:before="0" w:line="240" w:lineRule="auto"/>
              <w:jc w:val="right"/>
            </w:pPr>
            <w:r w:rsidRPr="006F5AA3">
              <w:t>8</w:t>
            </w:r>
            <w:r w:rsidRPr="006F5AA3">
              <w:rPr>
                <w:rFonts w:hint="cs"/>
                <w:rtl/>
              </w:rPr>
              <w:t xml:space="preserve"> سبتمبر </w:t>
            </w:r>
            <w:r w:rsidRPr="006F5AA3">
              <w:t>2014</w:t>
            </w:r>
          </w:p>
        </w:tc>
      </w:tr>
      <w:tr w:rsidR="00B77485" w:rsidRPr="00D557FA" w:rsidTr="006803F9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  <w:lang w:bidi="ar-EG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3266ED" w:rsidRDefault="006F5AA3" w:rsidP="006160CB">
            <w:pPr>
              <w:spacing w:before="0"/>
              <w:jc w:val="left"/>
              <w:rPr>
                <w:rFonts w:cs="Arial"/>
                <w:szCs w:val="24"/>
                <w:rtl/>
                <w:lang w:bidi="ar-EG"/>
              </w:rPr>
            </w:pP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إلى إدارات الدول الأعضاء في الاتحاد وأعضاء قطاع الاتصالات الراديوية والمنتسبين إليه</w:t>
            </w:r>
            <w:r w:rsidRPr="0068685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sz w:val="24"/>
                <w:szCs w:val="32"/>
                <w:lang w:val="en-US" w:bidi="ar-EG"/>
              </w:rPr>
              <w:t>1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 xml:space="preserve"> للاتصالات الراديوية</w:t>
            </w:r>
            <w:r w:rsidRPr="003266ED">
              <w:rPr>
                <w:rFonts w:cs="Arial"/>
                <w:szCs w:val="24"/>
              </w:rPr>
              <w:t xml:space="preserve"> </w:t>
            </w: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6F5AA3" w:rsidRPr="00D557FA" w:rsidTr="00B77485">
        <w:tc>
          <w:tcPr>
            <w:tcW w:w="1383" w:type="dxa"/>
            <w:shd w:val="clear" w:color="auto" w:fill="auto"/>
          </w:tcPr>
          <w:p w:rsidR="006F5AA3" w:rsidRPr="0068685E" w:rsidRDefault="006F5AA3" w:rsidP="006F5AA3">
            <w:pPr>
              <w:tabs>
                <w:tab w:val="left" w:pos="4111"/>
              </w:tabs>
              <w:spacing w:before="60" w:after="60"/>
              <w:ind w:left="57"/>
              <w:rPr>
                <w:rtl/>
                <w:lang w:bidi="ar-EG"/>
              </w:rPr>
            </w:pPr>
            <w:r w:rsidRPr="0068685E">
              <w:rPr>
                <w:rFonts w:hint="cs"/>
                <w:rtl/>
                <w:lang w:val="fr-FR"/>
              </w:rPr>
              <w:t>الموضوع: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6F5AA3" w:rsidRPr="0068685E" w:rsidRDefault="006F5AA3" w:rsidP="006F5AA3">
            <w:pPr>
              <w:spacing w:before="60" w:after="60"/>
              <w:ind w:left="57"/>
              <w:rPr>
                <w:b/>
                <w:bCs/>
                <w:rtl/>
                <w:lang w:val="en-US" w:bidi="ar-EG"/>
              </w:rPr>
            </w:pPr>
            <w:r w:rsidRPr="0068685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val="en-US" w:bidi="ar-EG"/>
              </w:rPr>
              <w:t>1</w:t>
            </w:r>
            <w:r w:rsidRPr="0068685E">
              <w:rPr>
                <w:b/>
                <w:bCs/>
                <w:rtl/>
                <w:lang w:val="en-US" w:bidi="ar-EG"/>
              </w:rPr>
              <w:t xml:space="preserve"> للاتصالات الراديوية</w:t>
            </w:r>
            <w:r w:rsidRPr="0068685E">
              <w:rPr>
                <w:rFonts w:hint="cs"/>
                <w:b/>
                <w:bCs/>
                <w:rtl/>
                <w:lang w:val="en-US" w:bidi="ar-EG"/>
              </w:rPr>
              <w:t xml:space="preserve"> (</w:t>
            </w:r>
            <w:r>
              <w:rPr>
                <w:rFonts w:hint="cs"/>
                <w:b/>
                <w:bCs/>
                <w:rtl/>
                <w:lang w:val="en-US"/>
              </w:rPr>
              <w:t>إدارة الطيف</w:t>
            </w:r>
            <w:r w:rsidRPr="0068685E">
              <w:rPr>
                <w:rFonts w:hint="cs"/>
                <w:b/>
                <w:bCs/>
                <w:rtl/>
                <w:lang w:val="en-US" w:bidi="ar-EG"/>
              </w:rPr>
              <w:t>)</w:t>
            </w:r>
          </w:p>
          <w:p w:rsidR="006F5AA3" w:rsidRPr="0068685E" w:rsidRDefault="006F5AA3" w:rsidP="006F5AA3">
            <w:pPr>
              <w:tabs>
                <w:tab w:val="clear" w:pos="794"/>
              </w:tabs>
              <w:spacing w:before="60" w:after="60"/>
              <w:ind w:left="609" w:hanging="552"/>
              <w:rPr>
                <w:b/>
                <w:bCs/>
                <w:rtl/>
                <w:lang w:val="fr-FR" w:bidi="ar-EG"/>
              </w:rPr>
            </w:pPr>
            <w:r w:rsidRPr="0068685E">
              <w:rPr>
                <w:rFonts w:hint="cs"/>
                <w:b/>
                <w:bCs/>
                <w:rtl/>
                <w:lang w:bidi="ar-EG"/>
              </w:rPr>
              <w:t>-</w:t>
            </w:r>
            <w:r w:rsidRPr="0068685E">
              <w:rPr>
                <w:b/>
                <w:bCs/>
                <w:rtl/>
                <w:lang w:bidi="ar-EG"/>
              </w:rPr>
              <w:tab/>
              <w:t>اعتماد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مراجعة</w:t>
            </w:r>
            <w:r w:rsidRPr="0068685E"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val="en-US" w:bidi="ar-EG"/>
              </w:rPr>
              <w:t>5</w:t>
            </w:r>
            <w:r w:rsidRPr="0068685E">
              <w:rPr>
                <w:rFonts w:hint="cs"/>
                <w:b/>
                <w:bCs/>
                <w:rtl/>
                <w:lang w:val="en-US"/>
              </w:rPr>
              <w:t xml:space="preserve"> توصيات لقطاع الاتصالات الراديوية</w:t>
            </w:r>
            <w:r w:rsidRPr="0068685E">
              <w:rPr>
                <w:b/>
                <w:bCs/>
                <w:rtl/>
                <w:lang w:val="fr-FR" w:bidi="ar-EG"/>
              </w:rPr>
              <w:t xml:space="preserve"> والموافقة عليها في نفس الوقت</w:t>
            </w:r>
            <w:r w:rsidRPr="0068685E">
              <w:rPr>
                <w:rFonts w:hint="cs"/>
                <w:b/>
                <w:bCs/>
                <w:rtl/>
                <w:lang w:val="fr-FR" w:bidi="ar-EG"/>
              </w:rPr>
              <w:t xml:space="preserve"> بالمراسلة</w:t>
            </w:r>
            <w:r w:rsidRPr="0068685E">
              <w:rPr>
                <w:b/>
                <w:bCs/>
                <w:rtl/>
                <w:lang w:val="fr-FR" w:bidi="ar-EG"/>
              </w:rPr>
              <w:t xml:space="preserve"> وفقاً للفقرة</w:t>
            </w:r>
            <w:r w:rsidRPr="0068685E">
              <w:rPr>
                <w:rFonts w:hint="cs"/>
                <w:b/>
                <w:bCs/>
                <w:rtl/>
                <w:lang w:val="fr-FR" w:bidi="ar-EG"/>
              </w:rPr>
              <w:t> </w:t>
            </w:r>
            <w:r w:rsidRPr="0068685E">
              <w:rPr>
                <w:b/>
                <w:bCs/>
                <w:lang w:val="fr-FR" w:bidi="ar-EG"/>
              </w:rPr>
              <w:t>3.10</w:t>
            </w:r>
            <w:r w:rsidRPr="0068685E">
              <w:rPr>
                <w:b/>
                <w:bCs/>
                <w:rtl/>
                <w:lang w:val="fr-FR" w:bidi="ar-EG"/>
              </w:rPr>
              <w:t xml:space="preserve"> من القرار </w:t>
            </w:r>
            <w:r w:rsidRPr="0068685E">
              <w:rPr>
                <w:b/>
                <w:bCs/>
                <w:lang w:val="fr-FR" w:bidi="ar-EG"/>
              </w:rPr>
              <w:t>ITU-R 1-6</w:t>
            </w:r>
            <w:r w:rsidRPr="0068685E">
              <w:rPr>
                <w:b/>
                <w:bCs/>
                <w:rtl/>
                <w:lang w:val="fr-FR" w:bidi="ar-EG"/>
              </w:rPr>
              <w:t xml:space="preserve"> (إجراء الاعتماد والموافقة في نفس الوقت بالمراسلة)</w:t>
            </w:r>
          </w:p>
        </w:tc>
      </w:tr>
      <w:tr w:rsidR="006F5AA3" w:rsidRPr="00D557FA" w:rsidTr="00B77485">
        <w:tc>
          <w:tcPr>
            <w:tcW w:w="1383" w:type="dxa"/>
            <w:shd w:val="clear" w:color="auto" w:fill="auto"/>
          </w:tcPr>
          <w:p w:rsidR="006F5AA3" w:rsidRPr="009016DC" w:rsidRDefault="006F5AA3" w:rsidP="006F5AA3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6F5AA3" w:rsidRPr="009016DC" w:rsidRDefault="006F5AA3" w:rsidP="006F5AA3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6F5AA3" w:rsidRPr="00D557FA" w:rsidTr="00B77485">
        <w:tc>
          <w:tcPr>
            <w:tcW w:w="1383" w:type="dxa"/>
            <w:shd w:val="clear" w:color="auto" w:fill="auto"/>
          </w:tcPr>
          <w:p w:rsidR="006F5AA3" w:rsidRPr="009016DC" w:rsidRDefault="006F5AA3" w:rsidP="006F5AA3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6F5AA3" w:rsidRPr="009016DC" w:rsidRDefault="006F5AA3" w:rsidP="006F5AA3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6F5AA3" w:rsidRPr="00D557FA" w:rsidTr="006160CB">
        <w:tc>
          <w:tcPr>
            <w:tcW w:w="9889" w:type="dxa"/>
            <w:gridSpan w:val="3"/>
            <w:shd w:val="clear" w:color="auto" w:fill="auto"/>
          </w:tcPr>
          <w:p w:rsidR="006F5AA3" w:rsidRPr="009016DC" w:rsidRDefault="006F5AA3" w:rsidP="006F5AA3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  <w:bookmarkStart w:id="0" w:name="CurrentLocation"/>
            <w:bookmarkEnd w:id="0"/>
          </w:p>
        </w:tc>
      </w:tr>
      <w:tr w:rsidR="006F5AA3" w:rsidRPr="00D557FA" w:rsidTr="00AC7F48">
        <w:tc>
          <w:tcPr>
            <w:tcW w:w="9889" w:type="dxa"/>
            <w:gridSpan w:val="3"/>
            <w:shd w:val="clear" w:color="auto" w:fill="auto"/>
          </w:tcPr>
          <w:p w:rsidR="006F5AA3" w:rsidRPr="009016DC" w:rsidRDefault="006F5AA3" w:rsidP="006F5AA3">
            <w:pPr>
              <w:spacing w:before="0" w:line="240" w:lineRule="auto"/>
              <w:jc w:val="left"/>
              <w:rPr>
                <w:szCs w:val="26"/>
              </w:rPr>
            </w:pPr>
            <w:bookmarkStart w:id="1" w:name="Subject"/>
            <w:bookmarkEnd w:id="1"/>
          </w:p>
        </w:tc>
      </w:tr>
    </w:tbl>
    <w:p w:rsidR="006F5AA3" w:rsidRPr="006F5AA3" w:rsidRDefault="006F5AA3" w:rsidP="006F5AA3">
      <w:pPr>
        <w:rPr>
          <w:rtl/>
        </w:rPr>
      </w:pPr>
      <w:r w:rsidRPr="006F5AA3">
        <w:rPr>
          <w:rFonts w:hint="cs"/>
          <w:rtl/>
        </w:rPr>
        <w:t>تحية طيبة وبعد،</w:t>
      </w:r>
    </w:p>
    <w:p w:rsidR="006F5AA3" w:rsidRPr="006F5AA3" w:rsidRDefault="006F5AA3" w:rsidP="006F5AA3">
      <w:pPr>
        <w:rPr>
          <w:rtl/>
        </w:rPr>
      </w:pPr>
      <w:r w:rsidRPr="006F5AA3">
        <w:rPr>
          <w:rtl/>
        </w:rPr>
        <w:t xml:space="preserve">تم بموجب </w:t>
      </w:r>
      <w:r w:rsidRPr="006F5AA3">
        <w:rPr>
          <w:rFonts w:hint="cs"/>
          <w:rtl/>
        </w:rPr>
        <w:t>الرسالة</w:t>
      </w:r>
      <w:r w:rsidRPr="006F5AA3">
        <w:rPr>
          <w:rtl/>
        </w:rPr>
        <w:t xml:space="preserve"> الإدارية</w:t>
      </w:r>
      <w:r w:rsidRPr="006F5AA3">
        <w:rPr>
          <w:rFonts w:hint="cs"/>
          <w:rtl/>
        </w:rPr>
        <w:t xml:space="preserve"> المعممة</w:t>
      </w:r>
      <w:r w:rsidRPr="006F5AA3">
        <w:rPr>
          <w:rtl/>
        </w:rPr>
        <w:t xml:space="preserve"> </w:t>
      </w:r>
      <w:r w:rsidRPr="006F5AA3">
        <w:t>CACE/675</w:t>
      </w:r>
      <w:r w:rsidRPr="006F5AA3">
        <w:rPr>
          <w:rtl/>
        </w:rPr>
        <w:t xml:space="preserve"> المؤرخة </w:t>
      </w:r>
      <w:r w:rsidRPr="006F5AA3">
        <w:t>27</w:t>
      </w:r>
      <w:r w:rsidRPr="006F5AA3">
        <w:rPr>
          <w:rFonts w:hint="cs"/>
          <w:rtl/>
        </w:rPr>
        <w:t xml:space="preserve"> يونيو </w:t>
      </w:r>
      <w:r w:rsidRPr="006F5AA3">
        <w:t>2014</w:t>
      </w:r>
      <w:r w:rsidRPr="006F5AA3">
        <w:rPr>
          <w:rtl/>
        </w:rPr>
        <w:t xml:space="preserve">، تقديم </w:t>
      </w:r>
      <w:r w:rsidRPr="006F5AA3">
        <w:rPr>
          <w:rFonts w:hint="cs"/>
          <w:rtl/>
        </w:rPr>
        <w:t xml:space="preserve">مشاريع مراجعة </w:t>
      </w:r>
      <w:r w:rsidRPr="006F5AA3">
        <w:t>5</w:t>
      </w:r>
      <w:r w:rsidRPr="006F5AA3">
        <w:rPr>
          <w:rFonts w:hint="cs"/>
          <w:rtl/>
        </w:rPr>
        <w:t xml:space="preserve"> توصيات لقطاع الاتصالات الراديوية</w:t>
      </w:r>
      <w:r w:rsidRPr="006F5AA3">
        <w:rPr>
          <w:rtl/>
        </w:rPr>
        <w:t xml:space="preserve"> لاعتمادها والموافقة عليها في نفس الوقت عن طريق المراسلة</w:t>
      </w:r>
      <w:r w:rsidRPr="006F5AA3">
        <w:rPr>
          <w:rFonts w:hint="cs"/>
          <w:rtl/>
        </w:rPr>
        <w:t xml:space="preserve"> </w:t>
      </w:r>
      <w:r w:rsidRPr="006F5AA3">
        <w:t>(PSAA)</w:t>
      </w:r>
      <w:r w:rsidRPr="006F5AA3">
        <w:rPr>
          <w:rtl/>
        </w:rPr>
        <w:t xml:space="preserve"> وفقاً للإجراء المنصوص عليه في</w:t>
      </w:r>
      <w:r w:rsidRPr="006F5AA3">
        <w:rPr>
          <w:rFonts w:hint="cs"/>
          <w:rtl/>
        </w:rPr>
        <w:t> </w:t>
      </w:r>
      <w:r w:rsidRPr="006F5AA3">
        <w:rPr>
          <w:rtl/>
        </w:rPr>
        <w:t>القرار</w:t>
      </w:r>
      <w:r w:rsidRPr="006F5AA3">
        <w:rPr>
          <w:rFonts w:hint="cs"/>
          <w:rtl/>
        </w:rPr>
        <w:t> </w:t>
      </w:r>
      <w:r w:rsidRPr="006F5AA3">
        <w:t>ITU</w:t>
      </w:r>
      <w:r w:rsidRPr="006F5AA3">
        <w:sym w:font="Symbol" w:char="F02D"/>
      </w:r>
      <w:r w:rsidRPr="006F5AA3">
        <w:t>R 1</w:t>
      </w:r>
      <w:r w:rsidRPr="006F5AA3">
        <w:noBreakHyphen/>
        <w:t>6</w:t>
      </w:r>
      <w:r w:rsidRPr="006F5AA3">
        <w:rPr>
          <w:rtl/>
        </w:rPr>
        <w:t xml:space="preserve"> (الفقرة </w:t>
      </w:r>
      <w:r w:rsidRPr="006F5AA3">
        <w:t>3.10</w:t>
      </w:r>
      <w:r w:rsidRPr="006F5AA3">
        <w:rPr>
          <w:rtl/>
        </w:rPr>
        <w:t>).</w:t>
      </w:r>
    </w:p>
    <w:p w:rsidR="006F5AA3" w:rsidRPr="006F5AA3" w:rsidRDefault="006F5AA3" w:rsidP="006F5AA3">
      <w:pPr>
        <w:rPr>
          <w:rtl/>
        </w:rPr>
      </w:pPr>
      <w:r w:rsidRPr="006F5AA3">
        <w:rPr>
          <w:rtl/>
        </w:rPr>
        <w:t xml:space="preserve">وقد استوفيت الشروط </w:t>
      </w:r>
      <w:r w:rsidRPr="006F5AA3">
        <w:rPr>
          <w:rFonts w:hint="cs"/>
          <w:rtl/>
        </w:rPr>
        <w:t xml:space="preserve">التي تحكم هذا </w:t>
      </w:r>
      <w:r w:rsidRPr="006F5AA3">
        <w:rPr>
          <w:rtl/>
        </w:rPr>
        <w:t xml:space="preserve">الإجراء في </w:t>
      </w:r>
      <w:r w:rsidRPr="001954A0">
        <w:rPr>
          <w:u w:val="single"/>
        </w:rPr>
        <w:t>27</w:t>
      </w:r>
      <w:r w:rsidRPr="001954A0">
        <w:rPr>
          <w:rFonts w:hint="cs"/>
          <w:u w:val="single"/>
          <w:rtl/>
        </w:rPr>
        <w:t xml:space="preserve"> أغسطس </w:t>
      </w:r>
      <w:r w:rsidRPr="001954A0">
        <w:rPr>
          <w:u w:val="single"/>
        </w:rPr>
        <w:t>2014</w:t>
      </w:r>
      <w:r w:rsidRPr="006F5AA3">
        <w:rPr>
          <w:rFonts w:hint="cs"/>
          <w:rtl/>
        </w:rPr>
        <w:t>.</w:t>
      </w:r>
    </w:p>
    <w:p w:rsidR="006F5AA3" w:rsidRPr="006F5AA3" w:rsidRDefault="006F5AA3" w:rsidP="006F5AA3">
      <w:pPr>
        <w:rPr>
          <w:rtl/>
        </w:rPr>
      </w:pPr>
      <w:r w:rsidRPr="006F5AA3">
        <w:rPr>
          <w:rtl/>
        </w:rPr>
        <w:t xml:space="preserve">وسينشر الاتحاد </w:t>
      </w:r>
      <w:r w:rsidRPr="006F5AA3">
        <w:rPr>
          <w:rFonts w:hint="cs"/>
          <w:rtl/>
        </w:rPr>
        <w:t>التوصيات التي تمت الموافقة</w:t>
      </w:r>
      <w:r w:rsidRPr="006F5AA3">
        <w:rPr>
          <w:rtl/>
        </w:rPr>
        <w:t xml:space="preserve"> عليها، ويتضمن الملحق</w:t>
      </w:r>
      <w:r w:rsidRPr="006F5AA3">
        <w:rPr>
          <w:rFonts w:hint="cs"/>
          <w:rtl/>
        </w:rPr>
        <w:t> ب</w:t>
      </w:r>
      <w:r w:rsidRPr="006F5AA3">
        <w:rPr>
          <w:rtl/>
        </w:rPr>
        <w:t xml:space="preserve">هذه </w:t>
      </w:r>
      <w:r w:rsidRPr="006F5AA3">
        <w:rPr>
          <w:rFonts w:hint="cs"/>
          <w:rtl/>
        </w:rPr>
        <w:t>الرسالة المعممة</w:t>
      </w:r>
      <w:r w:rsidRPr="006F5AA3">
        <w:rPr>
          <w:rtl/>
        </w:rPr>
        <w:t xml:space="preserve"> </w:t>
      </w:r>
      <w:r w:rsidRPr="006F5AA3">
        <w:rPr>
          <w:rFonts w:hint="cs"/>
          <w:rtl/>
        </w:rPr>
        <w:t>عناوين هذه التوصيات والأرقام المخصصة</w:t>
      </w:r>
      <w:r w:rsidRPr="006F5AA3">
        <w:rPr>
          <w:rtl/>
        </w:rPr>
        <w:t xml:space="preserve"> لها.</w:t>
      </w:r>
    </w:p>
    <w:p w:rsidR="006F5AA3" w:rsidRPr="006F5AA3" w:rsidRDefault="006F5AA3" w:rsidP="006F5AA3">
      <w:pPr>
        <w:rPr>
          <w:rtl/>
        </w:rPr>
      </w:pPr>
      <w:r w:rsidRPr="006F5AA3">
        <w:rPr>
          <w:rFonts w:hint="cs"/>
          <w:rtl/>
        </w:rPr>
        <w:t>وتفضلوا بقبول فائق التقدير والاحترام.</w:t>
      </w:r>
    </w:p>
    <w:p w:rsidR="006F5AA3" w:rsidRPr="0068685E" w:rsidRDefault="00FB40CC" w:rsidP="006F5AA3">
      <w:pPr>
        <w:spacing w:before="1440"/>
        <w:jc w:val="left"/>
        <w:rPr>
          <w:rtl/>
          <w:lang w:val="en-US" w:bidi="ar-EG"/>
        </w:rPr>
      </w:pPr>
      <w:r>
        <w:rPr>
          <w:rFonts w:hint="cs"/>
          <w:rtl/>
          <w:lang w:val="en-US"/>
        </w:rPr>
        <w:t>فرانسوا رانسي</w:t>
      </w:r>
      <w:r>
        <w:rPr>
          <w:rFonts w:hint="cs"/>
          <w:rtl/>
          <w:lang w:val="en-US"/>
        </w:rPr>
        <w:br/>
        <w:t>المدير</w:t>
      </w:r>
    </w:p>
    <w:p w:rsidR="006F5AA3" w:rsidRPr="0068685E" w:rsidRDefault="006F5AA3" w:rsidP="006F5AA3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</w:p>
    <w:p w:rsidR="006F5AA3" w:rsidRPr="0068685E" w:rsidRDefault="006F5AA3" w:rsidP="006F5AA3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68685E">
        <w:rPr>
          <w:b/>
          <w:bCs/>
          <w:sz w:val="30"/>
          <w:rtl/>
          <w:lang w:val="en-US" w:bidi="ar-EG"/>
        </w:rPr>
        <w:t>الملحقات</w:t>
      </w:r>
      <w:r w:rsidRPr="0068685E">
        <w:rPr>
          <w:sz w:val="30"/>
          <w:rtl/>
          <w:lang w:val="en-US" w:bidi="ar-EG"/>
        </w:rPr>
        <w:t xml:space="preserve">: </w:t>
      </w:r>
      <w:r>
        <w:rPr>
          <w:szCs w:val="22"/>
          <w:lang w:val="en-US" w:bidi="ar-EG"/>
        </w:rPr>
        <w:t>1</w:t>
      </w:r>
    </w:p>
    <w:p w:rsidR="006F5AA3" w:rsidRPr="0068685E" w:rsidRDefault="006F5AA3" w:rsidP="006F5AA3">
      <w:pPr>
        <w:spacing w:line="168" w:lineRule="auto"/>
        <w:rPr>
          <w:sz w:val="18"/>
          <w:szCs w:val="24"/>
          <w:rtl/>
          <w:lang w:val="en-US" w:bidi="ar-EG"/>
        </w:rPr>
      </w:pPr>
      <w:bookmarkStart w:id="2" w:name="ddistribution"/>
      <w:bookmarkEnd w:id="2"/>
      <w:r w:rsidRPr="0068685E">
        <w:rPr>
          <w:b/>
          <w:bCs/>
          <w:sz w:val="18"/>
          <w:szCs w:val="24"/>
          <w:rtl/>
          <w:lang w:val="en-US" w:bidi="ar-EG"/>
        </w:rPr>
        <w:t>التوزيع</w:t>
      </w:r>
      <w:r w:rsidRPr="0068685E">
        <w:rPr>
          <w:sz w:val="18"/>
          <w:szCs w:val="24"/>
          <w:rtl/>
          <w:lang w:val="en-US" w:bidi="ar-EG"/>
        </w:rPr>
        <w:t>:</w:t>
      </w:r>
    </w:p>
    <w:p w:rsidR="006F5AA3" w:rsidRPr="0068685E" w:rsidRDefault="006F5AA3" w:rsidP="006F5AA3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إدارات الدول الأعضاء</w:t>
      </w:r>
      <w:r w:rsidRPr="0068685E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68685E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68685E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1</w:t>
      </w:r>
      <w:r w:rsidRPr="0068685E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6F5AA3" w:rsidRPr="0068685E" w:rsidRDefault="006F5AA3" w:rsidP="006F5AA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val="en-US" w:bidi="ar-EG"/>
        </w:rPr>
        <w:t>1</w:t>
      </w:r>
      <w:r w:rsidRPr="0068685E"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6F5AA3" w:rsidRPr="0068685E" w:rsidRDefault="006F5AA3" w:rsidP="006F5AA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6F5AA3" w:rsidRPr="0068685E" w:rsidRDefault="006F5AA3" w:rsidP="006F5AA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6F5AA3" w:rsidRPr="0068685E" w:rsidRDefault="006F5AA3" w:rsidP="006F5AA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6F5AA3" w:rsidRPr="0068685E" w:rsidRDefault="006F5AA3" w:rsidP="006F5AA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6F5AA3" w:rsidRPr="0068685E" w:rsidRDefault="006F5AA3" w:rsidP="006F5AA3">
      <w:pPr>
        <w:pStyle w:val="AnnexNo"/>
        <w:rPr>
          <w:b/>
          <w:bCs/>
          <w:rtl/>
          <w:lang w:bidi="ar-SA"/>
        </w:rPr>
      </w:pPr>
      <w:r w:rsidRPr="0068685E">
        <w:rPr>
          <w:rtl/>
        </w:rPr>
        <w:br w:type="page"/>
      </w:r>
      <w:r w:rsidRPr="0068685E">
        <w:rPr>
          <w:rFonts w:hint="eastAsia"/>
          <w:rtl/>
        </w:rPr>
        <w:lastRenderedPageBreak/>
        <w:t>الملحـق</w:t>
      </w:r>
    </w:p>
    <w:p w:rsidR="006F5AA3" w:rsidRPr="0068685E" w:rsidRDefault="006F5AA3" w:rsidP="006F5AA3">
      <w:pPr>
        <w:pStyle w:val="AnnexTitle"/>
        <w:rPr>
          <w:rtl/>
        </w:rPr>
      </w:pPr>
      <w:r w:rsidRPr="0068685E">
        <w:rPr>
          <w:rFonts w:hint="cs"/>
          <w:rtl/>
        </w:rPr>
        <w:t>عناوين توصيات قطاع الاتصالات الراديوية</w:t>
      </w:r>
      <w:r w:rsidRPr="0068685E">
        <w:rPr>
          <w:rtl/>
        </w:rPr>
        <w:t xml:space="preserve"> </w:t>
      </w:r>
      <w:r w:rsidRPr="0068685E">
        <w:rPr>
          <w:rFonts w:hint="eastAsia"/>
          <w:rtl/>
        </w:rPr>
        <w:t>المواف</w:t>
      </w:r>
      <w:r w:rsidRPr="0068685E">
        <w:rPr>
          <w:rFonts w:hint="cs"/>
          <w:rtl/>
        </w:rPr>
        <w:t>َ</w:t>
      </w:r>
      <w:r w:rsidRPr="0068685E">
        <w:rPr>
          <w:rFonts w:hint="eastAsia"/>
          <w:rtl/>
        </w:rPr>
        <w:t>ق</w:t>
      </w:r>
      <w:r w:rsidRPr="0068685E">
        <w:rPr>
          <w:rtl/>
        </w:rPr>
        <w:t xml:space="preserve"> </w:t>
      </w:r>
      <w:r w:rsidRPr="0068685E">
        <w:rPr>
          <w:rFonts w:hint="eastAsia"/>
          <w:rtl/>
        </w:rPr>
        <w:t>عليها</w:t>
      </w:r>
    </w:p>
    <w:p w:rsidR="006F5AA3" w:rsidRPr="008F0FE6" w:rsidRDefault="006F5AA3" w:rsidP="006F5AA3">
      <w:pPr>
        <w:tabs>
          <w:tab w:val="clear" w:pos="1191"/>
          <w:tab w:val="clear" w:pos="1588"/>
          <w:tab w:val="clear" w:pos="1985"/>
          <w:tab w:val="right" w:pos="9639"/>
        </w:tabs>
        <w:spacing w:before="600"/>
      </w:pPr>
      <w:r w:rsidRPr="00F30427">
        <w:rPr>
          <w:rFonts w:hint="cs"/>
          <w:u w:val="single"/>
          <w:rtl/>
          <w:lang w:bidi="ar-EG"/>
        </w:rPr>
        <w:t xml:space="preserve">التوصية </w:t>
      </w:r>
      <w:r w:rsidRPr="00F30427">
        <w:rPr>
          <w:u w:val="single"/>
          <w:lang w:bidi="ar-SY"/>
        </w:rPr>
        <w:t>ITU-R SM.1051-</w:t>
      </w:r>
      <w:r>
        <w:rPr>
          <w:u w:val="single"/>
          <w:lang w:bidi="ar-SY"/>
        </w:rPr>
        <w:t>3</w:t>
      </w:r>
      <w:r w:rsidRPr="0068685E">
        <w:rPr>
          <w:rFonts w:hint="cs"/>
          <w:rtl/>
          <w:lang w:val="en-US" w:bidi="ar-EG"/>
        </w:rPr>
        <w:tab/>
      </w:r>
      <w:r w:rsidRPr="008F0FE6">
        <w:rPr>
          <w:rFonts w:hint="cs"/>
          <w:rtl/>
        </w:rPr>
        <w:t xml:space="preserve">الوثيقة </w:t>
      </w:r>
      <w:r w:rsidRPr="008F0FE6">
        <w:t>1/96 (Rev.1)</w:t>
      </w:r>
    </w:p>
    <w:p w:rsidR="006F5AA3" w:rsidRPr="00083F49" w:rsidRDefault="006F5AA3" w:rsidP="006F5AA3">
      <w:pPr>
        <w:pStyle w:val="Rectitle"/>
      </w:pPr>
      <w:r w:rsidRPr="00083F49">
        <w:rPr>
          <w:rFonts w:hint="cs"/>
          <w:rtl/>
        </w:rPr>
        <w:t xml:space="preserve">أولوية ت‍حديد وإزالة التداخلات الضارة في النطاق </w:t>
      </w:r>
      <w:r w:rsidRPr="00083F49">
        <w:t>MHz 406,1</w:t>
      </w:r>
      <w:r w:rsidRPr="00083F49">
        <w:noBreakHyphen/>
        <w:t>406</w:t>
      </w:r>
    </w:p>
    <w:p w:rsidR="006F5AA3" w:rsidRPr="008F0FE6" w:rsidRDefault="006F5AA3" w:rsidP="006F5AA3">
      <w:pPr>
        <w:tabs>
          <w:tab w:val="clear" w:pos="1191"/>
          <w:tab w:val="clear" w:pos="1588"/>
          <w:tab w:val="clear" w:pos="1985"/>
          <w:tab w:val="right" w:pos="9639"/>
        </w:tabs>
        <w:spacing w:before="600"/>
      </w:pPr>
      <w:r w:rsidRPr="00F30427">
        <w:rPr>
          <w:rFonts w:hint="cs"/>
          <w:u w:val="single"/>
          <w:rtl/>
          <w:lang w:bidi="ar-EG"/>
        </w:rPr>
        <w:t xml:space="preserve">التوصية </w:t>
      </w:r>
      <w:r w:rsidRPr="00F30427">
        <w:rPr>
          <w:u w:val="single"/>
          <w:lang w:bidi="ar-SY"/>
        </w:rPr>
        <w:t>ITU-R SM.</w:t>
      </w:r>
      <w:r>
        <w:rPr>
          <w:u w:val="single"/>
          <w:lang w:bidi="ar-SY"/>
        </w:rPr>
        <w:t>1268</w:t>
      </w:r>
      <w:r w:rsidRPr="00F30427">
        <w:rPr>
          <w:u w:val="single"/>
          <w:lang w:bidi="ar-SY"/>
        </w:rPr>
        <w:t>-</w:t>
      </w:r>
      <w:r>
        <w:rPr>
          <w:u w:val="single"/>
          <w:lang w:bidi="ar-SY"/>
        </w:rPr>
        <w:t>3</w:t>
      </w:r>
      <w:r w:rsidRPr="0068685E">
        <w:rPr>
          <w:rFonts w:hint="cs"/>
          <w:rtl/>
          <w:lang w:val="en-US" w:bidi="ar-EG"/>
        </w:rPr>
        <w:tab/>
      </w:r>
      <w:r w:rsidRPr="008F0FE6">
        <w:rPr>
          <w:rFonts w:hint="cs"/>
          <w:rtl/>
        </w:rPr>
        <w:t xml:space="preserve">الوثيقة </w:t>
      </w:r>
      <w:r w:rsidRPr="008F0FE6">
        <w:t>1/97 (Rev.1)</w:t>
      </w:r>
    </w:p>
    <w:p w:rsidR="006F5AA3" w:rsidRPr="00083F49" w:rsidRDefault="006F5AA3" w:rsidP="006F5AA3">
      <w:pPr>
        <w:pStyle w:val="Rectitle"/>
      </w:pPr>
      <w:r w:rsidRPr="00083F49">
        <w:rPr>
          <w:rFonts w:hint="cs"/>
          <w:rtl/>
        </w:rPr>
        <w:t>الأسلوب الذي ينبغي أن تستعمله محطات المراقبة لقياس</w:t>
      </w:r>
      <w:r w:rsidRPr="00083F49">
        <w:rPr>
          <w:rtl/>
        </w:rPr>
        <w:br/>
      </w:r>
      <w:r w:rsidRPr="00083F49">
        <w:rPr>
          <w:rFonts w:hint="cs"/>
          <w:rtl/>
        </w:rPr>
        <w:t xml:space="preserve">الانحراف الأقصى للتردد في البث الإذاعي </w:t>
      </w:r>
      <w:r w:rsidRPr="00083F49">
        <w:t>FM</w:t>
      </w:r>
    </w:p>
    <w:p w:rsidR="006F5AA3" w:rsidRPr="008F0FE6" w:rsidRDefault="006F5AA3" w:rsidP="006F5AA3">
      <w:pPr>
        <w:keepNext/>
        <w:tabs>
          <w:tab w:val="right" w:pos="9639"/>
        </w:tabs>
        <w:spacing w:before="480"/>
        <w:rPr>
          <w:rtl/>
        </w:rPr>
      </w:pPr>
      <w:r w:rsidRPr="00083F49">
        <w:rPr>
          <w:rFonts w:hint="cs"/>
          <w:u w:val="single"/>
          <w:rtl/>
          <w:lang w:bidi="ar-SY"/>
        </w:rPr>
        <w:t xml:space="preserve">التوصية </w:t>
      </w:r>
      <w:r w:rsidRPr="00083F49">
        <w:rPr>
          <w:u w:val="single"/>
          <w:lang w:bidi="ar-SY"/>
        </w:rPr>
        <w:t>ITU-R SM.1875-</w:t>
      </w:r>
      <w:r>
        <w:rPr>
          <w:u w:val="single"/>
          <w:lang w:bidi="ar-SY"/>
        </w:rPr>
        <w:t>2</w:t>
      </w:r>
      <w:r w:rsidRPr="00083F49">
        <w:rPr>
          <w:rFonts w:hint="cs"/>
          <w:rtl/>
        </w:rPr>
        <w:tab/>
      </w:r>
      <w:r w:rsidRPr="008F0FE6">
        <w:rPr>
          <w:rFonts w:hint="cs"/>
          <w:rtl/>
        </w:rPr>
        <w:t xml:space="preserve">الوثيقة </w:t>
      </w:r>
      <w:r w:rsidRPr="008F0FE6">
        <w:t>1/98(Rev.1)</w:t>
      </w:r>
    </w:p>
    <w:p w:rsidR="006F5AA3" w:rsidRPr="00083F49" w:rsidRDefault="006F5AA3" w:rsidP="006F5AA3">
      <w:pPr>
        <w:pStyle w:val="Rectitle"/>
      </w:pPr>
      <w:r w:rsidRPr="00083F49">
        <w:rPr>
          <w:rFonts w:hint="eastAsia"/>
          <w:rtl/>
        </w:rPr>
        <w:t>قياسات</w:t>
      </w:r>
      <w:r w:rsidRPr="00083F49">
        <w:rPr>
          <w:rtl/>
        </w:rPr>
        <w:t xml:space="preserve"> </w:t>
      </w:r>
      <w:r w:rsidRPr="00083F49">
        <w:rPr>
          <w:rFonts w:hint="eastAsia"/>
          <w:rtl/>
        </w:rPr>
        <w:t>تغطية</w:t>
      </w:r>
      <w:r w:rsidRPr="00083F49">
        <w:rPr>
          <w:rtl/>
        </w:rPr>
        <w:t xml:space="preserve"> </w:t>
      </w:r>
      <w:r w:rsidRPr="00083F49">
        <w:rPr>
          <w:rFonts w:hint="eastAsia"/>
          <w:rtl/>
        </w:rPr>
        <w:t>الإذاعة</w:t>
      </w:r>
      <w:r w:rsidRPr="00083F49">
        <w:rPr>
          <w:rtl/>
        </w:rPr>
        <w:t xml:space="preserve"> </w:t>
      </w:r>
      <w:r w:rsidRPr="00083F49">
        <w:rPr>
          <w:rFonts w:hint="eastAsia"/>
          <w:rtl/>
        </w:rPr>
        <w:t>الفيديوية</w:t>
      </w:r>
      <w:r w:rsidRPr="00083F49">
        <w:rPr>
          <w:rtl/>
        </w:rPr>
        <w:t xml:space="preserve"> </w:t>
      </w:r>
      <w:r w:rsidRPr="00083F49">
        <w:rPr>
          <w:rFonts w:hint="eastAsia"/>
          <w:rtl/>
        </w:rPr>
        <w:t>الرقمية</w:t>
      </w:r>
      <w:r w:rsidRPr="00083F49">
        <w:rPr>
          <w:rtl/>
        </w:rPr>
        <w:t xml:space="preserve"> </w:t>
      </w:r>
      <w:r w:rsidRPr="00083F49">
        <w:rPr>
          <w:rFonts w:hint="eastAsia"/>
          <w:rtl/>
        </w:rPr>
        <w:t>للأرض</w:t>
      </w:r>
      <w:r w:rsidRPr="00083F49">
        <w:rPr>
          <w:rtl/>
        </w:rPr>
        <w:t xml:space="preserve"> </w:t>
      </w:r>
      <w:r w:rsidRPr="00083F49">
        <w:rPr>
          <w:rtl/>
        </w:rPr>
        <w:br/>
      </w:r>
      <w:r w:rsidRPr="00083F49">
        <w:rPr>
          <w:rFonts w:hint="eastAsia"/>
          <w:rtl/>
        </w:rPr>
        <w:t>والتحقق</w:t>
      </w:r>
      <w:r w:rsidRPr="00083F49">
        <w:rPr>
          <w:rtl/>
        </w:rPr>
        <w:t xml:space="preserve"> </w:t>
      </w:r>
      <w:r w:rsidRPr="00083F49">
        <w:rPr>
          <w:rFonts w:hint="eastAsia"/>
          <w:rtl/>
        </w:rPr>
        <w:t>من</w:t>
      </w:r>
      <w:r w:rsidRPr="00083F49">
        <w:rPr>
          <w:rtl/>
        </w:rPr>
        <w:t xml:space="preserve"> </w:t>
      </w:r>
      <w:r w:rsidRPr="00083F49">
        <w:rPr>
          <w:rFonts w:hint="eastAsia"/>
          <w:rtl/>
        </w:rPr>
        <w:t>معايير</w:t>
      </w:r>
      <w:r w:rsidRPr="00083F49">
        <w:rPr>
          <w:rtl/>
        </w:rPr>
        <w:t xml:space="preserve"> </w:t>
      </w:r>
      <w:r w:rsidRPr="00083F49">
        <w:rPr>
          <w:rFonts w:hint="eastAsia"/>
          <w:rtl/>
        </w:rPr>
        <w:t>التخطيط</w:t>
      </w:r>
    </w:p>
    <w:p w:rsidR="006F5AA3" w:rsidRPr="001954A0" w:rsidRDefault="006F5AA3" w:rsidP="006F5AA3">
      <w:pPr>
        <w:keepNext/>
        <w:tabs>
          <w:tab w:val="right" w:pos="9639"/>
        </w:tabs>
        <w:spacing w:before="480"/>
        <w:rPr>
          <w:rtl/>
        </w:rPr>
      </w:pPr>
      <w:r w:rsidRPr="00083F49">
        <w:rPr>
          <w:rFonts w:hint="cs"/>
          <w:u w:val="single"/>
          <w:rtl/>
          <w:lang w:bidi="ar-SY"/>
        </w:rPr>
        <w:t xml:space="preserve">التوصية </w:t>
      </w:r>
      <w:r w:rsidRPr="00083F49">
        <w:rPr>
          <w:u w:val="single"/>
          <w:lang w:bidi="ar-SY"/>
        </w:rPr>
        <w:t>ITU-R SM.1413-</w:t>
      </w:r>
      <w:r>
        <w:rPr>
          <w:u w:val="single"/>
          <w:lang w:bidi="ar-SY"/>
        </w:rPr>
        <w:t>3</w:t>
      </w:r>
      <w:r w:rsidRPr="00083F49">
        <w:rPr>
          <w:rFonts w:hint="cs"/>
          <w:rtl/>
        </w:rPr>
        <w:tab/>
      </w:r>
      <w:r w:rsidRPr="001954A0">
        <w:rPr>
          <w:rFonts w:hint="cs"/>
          <w:rtl/>
        </w:rPr>
        <w:t xml:space="preserve">الوثيقة </w:t>
      </w:r>
      <w:r w:rsidRPr="001954A0">
        <w:t>1/102(Rev.1)</w:t>
      </w:r>
    </w:p>
    <w:p w:rsidR="006F5AA3" w:rsidRPr="006F5AA3" w:rsidRDefault="006F5AA3" w:rsidP="006F5AA3">
      <w:pPr>
        <w:pStyle w:val="Rectitle"/>
      </w:pPr>
      <w:r w:rsidRPr="006F5AA3">
        <w:rPr>
          <w:rFonts w:hint="cs"/>
          <w:rtl/>
        </w:rPr>
        <w:t>قاموس بيانات الاتصالات الراديوية </w:t>
      </w:r>
      <w:r w:rsidRPr="006F5AA3">
        <w:t>(RDD)</w:t>
      </w:r>
    </w:p>
    <w:p w:rsidR="006F5AA3" w:rsidRPr="00083F49" w:rsidRDefault="006F5AA3" w:rsidP="006F5AA3">
      <w:pPr>
        <w:keepNext/>
        <w:tabs>
          <w:tab w:val="right" w:pos="9639"/>
        </w:tabs>
        <w:spacing w:before="480"/>
        <w:rPr>
          <w:rtl/>
        </w:rPr>
      </w:pPr>
      <w:r w:rsidRPr="00083F49">
        <w:rPr>
          <w:rFonts w:hint="cs"/>
          <w:u w:val="single"/>
          <w:rtl/>
          <w:lang w:bidi="ar-SY"/>
        </w:rPr>
        <w:t xml:space="preserve">التوصية </w:t>
      </w:r>
      <w:r w:rsidRPr="00083F49">
        <w:rPr>
          <w:u w:val="single"/>
          <w:lang w:bidi="ar-SY"/>
        </w:rPr>
        <w:t>ITU-R SM.1603-</w:t>
      </w:r>
      <w:r>
        <w:rPr>
          <w:u w:val="single"/>
          <w:lang w:bidi="ar-SY"/>
        </w:rPr>
        <w:t>2</w:t>
      </w:r>
      <w:r w:rsidRPr="00083F49">
        <w:rPr>
          <w:rFonts w:hint="cs"/>
          <w:rtl/>
        </w:rPr>
        <w:tab/>
        <w:t xml:space="preserve">الوثيقة </w:t>
      </w:r>
      <w:r w:rsidRPr="001954A0">
        <w:t>1/103(Rev.1)</w:t>
      </w:r>
    </w:p>
    <w:p w:rsidR="006F5AA3" w:rsidRPr="00083F49" w:rsidRDefault="006F5AA3" w:rsidP="006F5AA3">
      <w:pPr>
        <w:pStyle w:val="Rectitle"/>
      </w:pPr>
      <w:r w:rsidRPr="00083F49">
        <w:rPr>
          <w:rFonts w:hint="cs"/>
          <w:rtl/>
        </w:rPr>
        <w:t>إعادة توزيع الطيف كطريقة للإدارة الوطنية للطيف</w:t>
      </w:r>
    </w:p>
    <w:p w:rsidR="007764F8" w:rsidRDefault="006F5AA3" w:rsidP="008F0FE6">
      <w:pPr>
        <w:spacing w:before="600"/>
        <w:jc w:val="center"/>
        <w:rPr>
          <w:sz w:val="30"/>
          <w:rtl/>
          <w:lang w:val="en-US"/>
        </w:rPr>
      </w:pPr>
      <w:r w:rsidRPr="0068685E">
        <w:rPr>
          <w:rFonts w:hint="cs"/>
          <w:rtl/>
          <w:lang w:eastAsia="zh-CN" w:bidi="ar-EG"/>
        </w:rPr>
        <w:t>__________</w:t>
      </w:r>
    </w:p>
    <w:sectPr w:rsidR="00776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8A" w:rsidRDefault="00F0348A">
      <w:r>
        <w:separator/>
      </w:r>
    </w:p>
  </w:endnote>
  <w:endnote w:type="continuationSeparator" w:id="0">
    <w:p w:rsidR="00F0348A" w:rsidRDefault="00F0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BA" w:rsidRDefault="003D0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3D06BA" w:rsidRDefault="00702A71" w:rsidP="003D06BA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6F5AA3" w:rsidRDefault="00B83DAF" w:rsidP="006F5AA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>International Telecommunication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8A" w:rsidRDefault="00F0348A">
      <w:r>
        <w:t>____________________</w:t>
      </w:r>
    </w:p>
  </w:footnote>
  <w:footnote w:type="continuationSeparator" w:id="0">
    <w:p w:rsidR="00F0348A" w:rsidRDefault="00F0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BA" w:rsidRDefault="003D0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06B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77485" w:rsidP="00B77485">
    <w:pPr>
      <w:pStyle w:val="Header"/>
      <w:spacing w:after="120"/>
    </w:pPr>
    <w:r>
      <w:rPr>
        <w:b/>
        <w:bCs/>
        <w:noProof/>
        <w:lang w:eastAsia="zh-CN"/>
      </w:rPr>
      <w:drawing>
        <wp:inline distT="0" distB="0" distL="0" distR="0" wp14:anchorId="30CF8E5D" wp14:editId="259551F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8A"/>
    <w:rsid w:val="00016557"/>
    <w:rsid w:val="00054872"/>
    <w:rsid w:val="000E15C1"/>
    <w:rsid w:val="000E64DA"/>
    <w:rsid w:val="000F527D"/>
    <w:rsid w:val="001214B1"/>
    <w:rsid w:val="001954A0"/>
    <w:rsid w:val="001A5F47"/>
    <w:rsid w:val="001E15AA"/>
    <w:rsid w:val="00206E2B"/>
    <w:rsid w:val="00210B45"/>
    <w:rsid w:val="00227F65"/>
    <w:rsid w:val="00255CB4"/>
    <w:rsid w:val="00343581"/>
    <w:rsid w:val="003D06BA"/>
    <w:rsid w:val="003D3993"/>
    <w:rsid w:val="003F18DA"/>
    <w:rsid w:val="004140EA"/>
    <w:rsid w:val="004406E3"/>
    <w:rsid w:val="0044634B"/>
    <w:rsid w:val="00492574"/>
    <w:rsid w:val="004A5AB1"/>
    <w:rsid w:val="004C1881"/>
    <w:rsid w:val="004F26AE"/>
    <w:rsid w:val="00595800"/>
    <w:rsid w:val="005F130D"/>
    <w:rsid w:val="005F7F4C"/>
    <w:rsid w:val="006136BC"/>
    <w:rsid w:val="00624358"/>
    <w:rsid w:val="00637C9D"/>
    <w:rsid w:val="006B3F95"/>
    <w:rsid w:val="006F5AA3"/>
    <w:rsid w:val="00702A71"/>
    <w:rsid w:val="0071106C"/>
    <w:rsid w:val="00746900"/>
    <w:rsid w:val="007764F8"/>
    <w:rsid w:val="00811467"/>
    <w:rsid w:val="00881D43"/>
    <w:rsid w:val="008879AD"/>
    <w:rsid w:val="008C1F82"/>
    <w:rsid w:val="008C29C9"/>
    <w:rsid w:val="008D4874"/>
    <w:rsid w:val="008F0FE6"/>
    <w:rsid w:val="0093776F"/>
    <w:rsid w:val="009676DC"/>
    <w:rsid w:val="009746CA"/>
    <w:rsid w:val="00980D6F"/>
    <w:rsid w:val="009846D5"/>
    <w:rsid w:val="009E14F3"/>
    <w:rsid w:val="009E1957"/>
    <w:rsid w:val="009F6D66"/>
    <w:rsid w:val="00A06093"/>
    <w:rsid w:val="00AB07C5"/>
    <w:rsid w:val="00B57344"/>
    <w:rsid w:val="00B77485"/>
    <w:rsid w:val="00B83DAF"/>
    <w:rsid w:val="00B87E04"/>
    <w:rsid w:val="00CB4CC7"/>
    <w:rsid w:val="00D35752"/>
    <w:rsid w:val="00D463D0"/>
    <w:rsid w:val="00D61395"/>
    <w:rsid w:val="00D744B4"/>
    <w:rsid w:val="00EC710F"/>
    <w:rsid w:val="00F0348A"/>
    <w:rsid w:val="00F42740"/>
    <w:rsid w:val="00FB40CC"/>
    <w:rsid w:val="00FB5AFB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A4D1A9E-8E89-452C-A103-7C44FB3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autoRedefine/>
    <w:uiPriority w:val="99"/>
    <w:qFormat/>
    <w:rsid w:val="006F5AA3"/>
    <w:pPr>
      <w:keepNext/>
      <w:keepLines/>
      <w:tabs>
        <w:tab w:val="left" w:pos="574"/>
        <w:tab w:val="center" w:pos="4819"/>
      </w:tabs>
      <w:spacing w:before="360" w:after="240"/>
      <w:jc w:val="center"/>
    </w:pPr>
    <w:rPr>
      <w:rFonts w:eastAsia="SimSun"/>
      <w:b/>
      <w:bCs/>
      <w:sz w:val="26"/>
      <w:szCs w:val="36"/>
      <w:lang w:val="en-US" w:bidi="ar-SY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">
    <w:name w:val="Annex_Title"/>
    <w:basedOn w:val="Normal"/>
    <w:next w:val="Normal"/>
    <w:autoRedefine/>
    <w:rsid w:val="001A5F47"/>
    <w:pPr>
      <w:keepNext/>
      <w:keepLines/>
      <w:widowControl w:val="0"/>
      <w:overflowPunct/>
      <w:spacing w:before="240" w:after="280"/>
      <w:jc w:val="center"/>
      <w:textAlignment w:val="auto"/>
    </w:pPr>
    <w:rPr>
      <w:rFonts w:ascii="Calibri" w:hAnsi="Calibri"/>
      <w:b/>
      <w:bCs/>
      <w:sz w:val="26"/>
      <w:szCs w:val="36"/>
    </w:rPr>
  </w:style>
  <w:style w:type="paragraph" w:customStyle="1" w:styleId="AnnexNo">
    <w:name w:val="Annex_No"/>
    <w:basedOn w:val="Normal"/>
    <w:next w:val="AnnexTitle"/>
    <w:autoRedefine/>
    <w:rsid w:val="006F5AA3"/>
    <w:pPr>
      <w:keepNext/>
      <w:keepLines/>
      <w:overflowPunct/>
      <w:spacing w:before="360"/>
      <w:contextualSpacing/>
      <w:jc w:val="center"/>
      <w:textAlignment w:val="auto"/>
    </w:pPr>
    <w:rPr>
      <w:rFonts w:ascii="Calibri" w:hAnsi="Calibri"/>
      <w:caps/>
      <w:sz w:val="26"/>
      <w:szCs w:val="36"/>
      <w:lang w:val="fr-FR" w:bidi="ar-EG"/>
    </w:rPr>
  </w:style>
  <w:style w:type="character" w:customStyle="1" w:styleId="RectitleChar">
    <w:name w:val="Rec_title Char"/>
    <w:link w:val="Rectitle"/>
    <w:uiPriority w:val="99"/>
    <w:rsid w:val="006F5AA3"/>
    <w:rPr>
      <w:rFonts w:asciiTheme="minorHAnsi" w:eastAsia="SimSun" w:hAnsiTheme="minorHAnsi" w:cs="Traditional Arabic"/>
      <w:b/>
      <w:bCs/>
      <w:sz w:val="26"/>
      <w:szCs w:val="36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5</TotalTime>
  <Pages>2</Pages>
  <Words>298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2075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Song, Xiaojing</cp:lastModifiedBy>
  <cp:revision>4</cp:revision>
  <cp:lastPrinted>2001-07-17T10:53:00Z</cp:lastPrinted>
  <dcterms:created xsi:type="dcterms:W3CDTF">2014-09-04T10:02:00Z</dcterms:created>
  <dcterms:modified xsi:type="dcterms:W3CDTF">2014-09-04T12:55:00Z</dcterms:modified>
</cp:coreProperties>
</file>