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B3" w:rsidRPr="00BC3784" w:rsidRDefault="00EA15B3"/>
    <w:tbl>
      <w:tblPr>
        <w:tblW w:w="9889" w:type="dxa"/>
        <w:tblLayout w:type="fixed"/>
        <w:tblLook w:val="04A0" w:firstRow="1" w:lastRow="0" w:firstColumn="1" w:lastColumn="0" w:noHBand="0" w:noVBand="1"/>
      </w:tblPr>
      <w:tblGrid>
        <w:gridCol w:w="1384"/>
        <w:gridCol w:w="142"/>
        <w:gridCol w:w="3543"/>
        <w:gridCol w:w="284"/>
        <w:gridCol w:w="4536"/>
      </w:tblGrid>
      <w:tr w:rsidR="00EA15B3" w:rsidRPr="00BC3784" w:rsidTr="00EA15B3">
        <w:tc>
          <w:tcPr>
            <w:tcW w:w="9889" w:type="dxa"/>
            <w:gridSpan w:val="5"/>
          </w:tcPr>
          <w:p w:rsidR="00EA15B3" w:rsidRPr="00BC3784" w:rsidRDefault="00C764BA" w:rsidP="00F914DD">
            <w:pPr>
              <w:jc w:val="left"/>
              <w:rPr>
                <w:rFonts w:cs="Times New Roman Bold"/>
                <w:b/>
                <w:bCs/>
                <w:color w:val="808080"/>
                <w:sz w:val="28"/>
                <w:szCs w:val="28"/>
              </w:rPr>
            </w:pPr>
            <w:bookmarkStart w:id="0" w:name="Logo"/>
            <w:bookmarkStart w:id="1" w:name="Origine"/>
            <w:bookmarkEnd w:id="0"/>
            <w:bookmarkEnd w:id="1"/>
            <w:r w:rsidRPr="00BC3784">
              <w:rPr>
                <w:rFonts w:cstheme="minorHAnsi"/>
                <w:b/>
                <w:bCs/>
                <w:color w:val="808080"/>
                <w:sz w:val="28"/>
                <w:szCs w:val="28"/>
              </w:rPr>
              <w:t>Oficina de Radiocomunicaciones (BR)</w:t>
            </w:r>
          </w:p>
        </w:tc>
      </w:tr>
      <w:tr w:rsidR="00EA15B3" w:rsidRPr="00BC3784" w:rsidTr="00EA15B3">
        <w:tc>
          <w:tcPr>
            <w:tcW w:w="9889" w:type="dxa"/>
            <w:gridSpan w:val="5"/>
          </w:tcPr>
          <w:p w:rsidR="00EA15B3" w:rsidRPr="00BC3784" w:rsidRDefault="00EA15B3" w:rsidP="00EA15B3">
            <w:pPr>
              <w:jc w:val="left"/>
            </w:pPr>
          </w:p>
        </w:tc>
      </w:tr>
      <w:tr w:rsidR="00651777" w:rsidRPr="004F69BE" w:rsidTr="00651777">
        <w:tc>
          <w:tcPr>
            <w:tcW w:w="5353" w:type="dxa"/>
            <w:gridSpan w:val="4"/>
          </w:tcPr>
          <w:p w:rsidR="00651777" w:rsidRPr="004F69BE" w:rsidRDefault="00CD0E47" w:rsidP="00E77C64">
            <w:pPr>
              <w:tabs>
                <w:tab w:val="left" w:pos="7513"/>
              </w:tabs>
              <w:jc w:val="left"/>
              <w:rPr>
                <w:sz w:val="24"/>
                <w:szCs w:val="24"/>
              </w:rPr>
            </w:pPr>
            <w:r w:rsidRPr="004F69BE">
              <w:rPr>
                <w:sz w:val="24"/>
                <w:szCs w:val="24"/>
              </w:rPr>
              <w:t>Circular Administrativa</w:t>
            </w:r>
            <w:r w:rsidRPr="004F69BE">
              <w:rPr>
                <w:sz w:val="24"/>
                <w:szCs w:val="24"/>
              </w:rPr>
              <w:br/>
            </w:r>
            <w:bookmarkStart w:id="2" w:name="dnum"/>
            <w:bookmarkEnd w:id="2"/>
            <w:r w:rsidRPr="004F69BE">
              <w:rPr>
                <w:b/>
                <w:bCs/>
                <w:sz w:val="24"/>
                <w:szCs w:val="24"/>
              </w:rPr>
              <w:t>CACE/</w:t>
            </w:r>
            <w:r w:rsidR="00E77C64" w:rsidRPr="004F69BE">
              <w:rPr>
                <w:b/>
                <w:bCs/>
                <w:sz w:val="24"/>
                <w:szCs w:val="24"/>
              </w:rPr>
              <w:t>685</w:t>
            </w:r>
          </w:p>
        </w:tc>
        <w:tc>
          <w:tcPr>
            <w:tcW w:w="4536" w:type="dxa"/>
          </w:tcPr>
          <w:p w:rsidR="00651777" w:rsidRPr="004F69BE" w:rsidRDefault="00E77C64" w:rsidP="006C04E0">
            <w:pPr>
              <w:jc w:val="right"/>
              <w:rPr>
                <w:sz w:val="24"/>
                <w:szCs w:val="24"/>
              </w:rPr>
            </w:pPr>
            <w:r w:rsidRPr="004F69BE">
              <w:rPr>
                <w:sz w:val="24"/>
                <w:szCs w:val="24"/>
              </w:rPr>
              <w:t>29 de julio de 2014</w:t>
            </w:r>
          </w:p>
        </w:tc>
      </w:tr>
      <w:tr w:rsidR="00D2339B" w:rsidRPr="004F69BE" w:rsidTr="00D2339B">
        <w:tc>
          <w:tcPr>
            <w:tcW w:w="1384" w:type="dxa"/>
          </w:tcPr>
          <w:p w:rsidR="00D2339B" w:rsidRPr="004F69BE" w:rsidRDefault="00D2339B" w:rsidP="00651777">
            <w:pPr>
              <w:spacing w:before="0"/>
              <w:jc w:val="left"/>
              <w:rPr>
                <w:sz w:val="24"/>
                <w:szCs w:val="24"/>
              </w:rPr>
            </w:pPr>
          </w:p>
        </w:tc>
        <w:tc>
          <w:tcPr>
            <w:tcW w:w="3685" w:type="dxa"/>
            <w:gridSpan w:val="2"/>
          </w:tcPr>
          <w:p w:rsidR="00D2339B" w:rsidRPr="004F69BE" w:rsidRDefault="00D2339B" w:rsidP="00651777">
            <w:pPr>
              <w:spacing w:before="0"/>
              <w:jc w:val="left"/>
              <w:rPr>
                <w:sz w:val="24"/>
                <w:szCs w:val="24"/>
              </w:rPr>
            </w:pPr>
          </w:p>
        </w:tc>
        <w:tc>
          <w:tcPr>
            <w:tcW w:w="284" w:type="dxa"/>
          </w:tcPr>
          <w:p w:rsidR="00D2339B" w:rsidRPr="004F69BE" w:rsidRDefault="00D2339B" w:rsidP="00651777">
            <w:pPr>
              <w:spacing w:before="0"/>
              <w:rPr>
                <w:sz w:val="24"/>
                <w:szCs w:val="24"/>
              </w:rPr>
            </w:pPr>
          </w:p>
        </w:tc>
        <w:tc>
          <w:tcPr>
            <w:tcW w:w="4536" w:type="dxa"/>
          </w:tcPr>
          <w:p w:rsidR="00D2339B" w:rsidRPr="004F69BE" w:rsidRDefault="00D2339B" w:rsidP="00651777">
            <w:pPr>
              <w:spacing w:before="0"/>
              <w:rPr>
                <w:sz w:val="24"/>
                <w:szCs w:val="24"/>
              </w:rPr>
            </w:pPr>
          </w:p>
        </w:tc>
      </w:tr>
      <w:tr w:rsidR="00D2339B" w:rsidRPr="004F69BE" w:rsidTr="00EA15B3">
        <w:tc>
          <w:tcPr>
            <w:tcW w:w="9889" w:type="dxa"/>
            <w:gridSpan w:val="5"/>
          </w:tcPr>
          <w:p w:rsidR="00D2339B" w:rsidRPr="004F69BE" w:rsidRDefault="00455FBC" w:rsidP="00710D08">
            <w:pPr>
              <w:jc w:val="left"/>
              <w:rPr>
                <w:b/>
                <w:sz w:val="24"/>
                <w:szCs w:val="24"/>
              </w:rPr>
            </w:pPr>
            <w:r w:rsidRPr="004F69BE">
              <w:rPr>
                <w:b/>
                <w:bCs/>
                <w:sz w:val="24"/>
                <w:szCs w:val="24"/>
              </w:rPr>
              <w:t>A las Administraciones de los Estados Miembros de la UIT, a los Miembros</w:t>
            </w:r>
            <w:r w:rsidRPr="004F69BE">
              <w:rPr>
                <w:b/>
                <w:bCs/>
                <w:sz w:val="24"/>
                <w:szCs w:val="24"/>
              </w:rPr>
              <w:br/>
              <w:t>del Sector de Radiocomunicaciones y a los Asociados del UIT-R que participan</w:t>
            </w:r>
            <w:r w:rsidRPr="004F69BE">
              <w:rPr>
                <w:b/>
                <w:bCs/>
                <w:sz w:val="24"/>
                <w:szCs w:val="24"/>
              </w:rPr>
              <w:br/>
              <w:t xml:space="preserve">en los trabajos de la Comisión de Estudio </w:t>
            </w:r>
            <w:r w:rsidR="00E77C64" w:rsidRPr="004F69BE">
              <w:rPr>
                <w:b/>
                <w:bCs/>
                <w:sz w:val="24"/>
                <w:szCs w:val="24"/>
              </w:rPr>
              <w:t>4</w:t>
            </w:r>
            <w:r w:rsidRPr="004F69BE">
              <w:rPr>
                <w:b/>
                <w:bCs/>
                <w:sz w:val="24"/>
                <w:szCs w:val="24"/>
              </w:rPr>
              <w:t xml:space="preserve"> de Radiocomunicaciones</w:t>
            </w:r>
          </w:p>
          <w:p w:rsidR="00CD0E47" w:rsidRPr="004F69BE" w:rsidRDefault="00CD0E47" w:rsidP="00CD0E47">
            <w:pPr>
              <w:jc w:val="left"/>
              <w:rPr>
                <w:sz w:val="24"/>
                <w:szCs w:val="24"/>
              </w:rPr>
            </w:pPr>
          </w:p>
        </w:tc>
      </w:tr>
      <w:tr w:rsidR="00CD0E47" w:rsidRPr="004F69BE" w:rsidTr="00471EDA">
        <w:tc>
          <w:tcPr>
            <w:tcW w:w="1526" w:type="dxa"/>
            <w:gridSpan w:val="2"/>
            <w:shd w:val="clear" w:color="auto" w:fill="auto"/>
          </w:tcPr>
          <w:p w:rsidR="00CD0E47" w:rsidRPr="004F69BE" w:rsidRDefault="00086444" w:rsidP="006C04E0">
            <w:pPr>
              <w:spacing w:before="0"/>
              <w:jc w:val="left"/>
              <w:rPr>
                <w:sz w:val="24"/>
                <w:szCs w:val="24"/>
              </w:rPr>
            </w:pPr>
            <w:bookmarkStart w:id="3" w:name="Formula"/>
            <w:bookmarkStart w:id="4" w:name="MainStory"/>
            <w:bookmarkStart w:id="5" w:name="CurrentLocation"/>
            <w:bookmarkEnd w:id="3"/>
            <w:bookmarkEnd w:id="4"/>
            <w:bookmarkEnd w:id="5"/>
            <w:r w:rsidRPr="004F69BE">
              <w:rPr>
                <w:sz w:val="24"/>
                <w:szCs w:val="24"/>
              </w:rPr>
              <w:t>Asunto</w:t>
            </w:r>
            <w:r w:rsidR="006C04E0" w:rsidRPr="004F69BE">
              <w:rPr>
                <w:sz w:val="24"/>
                <w:szCs w:val="24"/>
              </w:rPr>
              <w:t>:</w:t>
            </w:r>
          </w:p>
        </w:tc>
        <w:tc>
          <w:tcPr>
            <w:tcW w:w="8363" w:type="dxa"/>
            <w:gridSpan w:val="3"/>
            <w:vMerge w:val="restart"/>
            <w:shd w:val="clear" w:color="auto" w:fill="auto"/>
          </w:tcPr>
          <w:p w:rsidR="00CD0E47" w:rsidRPr="004F69BE" w:rsidRDefault="00455FBC" w:rsidP="00E77C64">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4F69BE">
              <w:rPr>
                <w:b/>
                <w:sz w:val="24"/>
                <w:szCs w:val="24"/>
              </w:rPr>
              <w:t xml:space="preserve">Comisión de Estudio </w:t>
            </w:r>
            <w:r w:rsidR="00E77C64" w:rsidRPr="004F69BE">
              <w:rPr>
                <w:b/>
                <w:sz w:val="24"/>
                <w:szCs w:val="24"/>
              </w:rPr>
              <w:t>4</w:t>
            </w:r>
            <w:r w:rsidRPr="004F69BE">
              <w:rPr>
                <w:b/>
                <w:sz w:val="24"/>
                <w:szCs w:val="24"/>
              </w:rPr>
              <w:t xml:space="preserve"> de Radiocomunicaciones </w:t>
            </w:r>
            <w:r w:rsidR="00E77C64" w:rsidRPr="004F69BE">
              <w:rPr>
                <w:b/>
                <w:sz w:val="24"/>
                <w:szCs w:val="24"/>
              </w:rPr>
              <w:t>(Servicios por satélite)</w:t>
            </w:r>
          </w:p>
          <w:p w:rsidR="00CD0E47" w:rsidRPr="004F69BE" w:rsidRDefault="00CD0E47" w:rsidP="00710D08">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4F69BE">
              <w:rPr>
                <w:sz w:val="24"/>
                <w:szCs w:val="24"/>
              </w:rPr>
              <w:t>–</w:t>
            </w:r>
            <w:r w:rsidRPr="004F69BE">
              <w:rPr>
                <w:b/>
                <w:bCs/>
                <w:sz w:val="24"/>
                <w:szCs w:val="24"/>
              </w:rPr>
              <w:tab/>
            </w:r>
            <w:r w:rsidR="00455FBC" w:rsidRPr="004F69BE">
              <w:rPr>
                <w:b/>
                <w:bCs/>
                <w:sz w:val="24"/>
                <w:szCs w:val="24"/>
              </w:rPr>
              <w:t xml:space="preserve">Propuesta de aprobación de </w:t>
            </w:r>
            <w:r w:rsidR="00E77C64" w:rsidRPr="004F69BE">
              <w:rPr>
                <w:b/>
                <w:bCs/>
                <w:sz w:val="24"/>
                <w:szCs w:val="24"/>
              </w:rPr>
              <w:t>1</w:t>
            </w:r>
            <w:r w:rsidR="00455FBC" w:rsidRPr="004F69BE">
              <w:rPr>
                <w:b/>
                <w:bCs/>
                <w:sz w:val="24"/>
                <w:szCs w:val="24"/>
              </w:rPr>
              <w:t xml:space="preserve"> proyecto de nueva Recomendación UIT-R y </w:t>
            </w:r>
            <w:r w:rsidR="00E77C64" w:rsidRPr="004F69BE">
              <w:rPr>
                <w:b/>
                <w:bCs/>
                <w:sz w:val="24"/>
                <w:szCs w:val="24"/>
              </w:rPr>
              <w:t>2</w:t>
            </w:r>
            <w:r w:rsidR="00BA6804" w:rsidRPr="004F69BE">
              <w:rPr>
                <w:b/>
                <w:bCs/>
                <w:sz w:val="24"/>
                <w:szCs w:val="24"/>
              </w:rPr>
              <w:t> </w:t>
            </w:r>
            <w:r w:rsidR="00455FBC" w:rsidRPr="004F69BE">
              <w:rPr>
                <w:b/>
                <w:sz w:val="24"/>
                <w:szCs w:val="24"/>
              </w:rPr>
              <w:t>proyectos de Recomendación UIT-R revisada</w:t>
            </w:r>
          </w:p>
          <w:p w:rsidR="00CD0E47" w:rsidRPr="004F69BE" w:rsidRDefault="00CD0E47" w:rsidP="00CD0E47">
            <w:pPr>
              <w:tabs>
                <w:tab w:val="left" w:pos="459"/>
              </w:tabs>
              <w:spacing w:before="0"/>
              <w:ind w:left="459" w:hanging="459"/>
              <w:jc w:val="left"/>
              <w:rPr>
                <w:b/>
                <w:bCs/>
                <w:sz w:val="24"/>
                <w:szCs w:val="24"/>
              </w:rPr>
            </w:pPr>
          </w:p>
        </w:tc>
      </w:tr>
      <w:tr w:rsidR="00CD0E47" w:rsidRPr="004F69BE" w:rsidTr="00471EDA">
        <w:tc>
          <w:tcPr>
            <w:tcW w:w="1526" w:type="dxa"/>
            <w:gridSpan w:val="2"/>
            <w:shd w:val="clear" w:color="auto" w:fill="auto"/>
          </w:tcPr>
          <w:p w:rsidR="00CD0E47" w:rsidRPr="004F69BE" w:rsidRDefault="00CD0E47" w:rsidP="00CD0E47">
            <w:pPr>
              <w:spacing w:before="0"/>
              <w:jc w:val="left"/>
              <w:rPr>
                <w:b/>
                <w:bCs/>
                <w:sz w:val="24"/>
                <w:szCs w:val="24"/>
              </w:rPr>
            </w:pPr>
          </w:p>
        </w:tc>
        <w:tc>
          <w:tcPr>
            <w:tcW w:w="8363" w:type="dxa"/>
            <w:gridSpan w:val="3"/>
            <w:vMerge/>
            <w:shd w:val="clear" w:color="auto" w:fill="auto"/>
          </w:tcPr>
          <w:p w:rsidR="00CD0E47" w:rsidRPr="004F69BE" w:rsidRDefault="00CD0E47" w:rsidP="00CD0E47">
            <w:pPr>
              <w:spacing w:before="0"/>
              <w:rPr>
                <w:b/>
                <w:bCs/>
                <w:sz w:val="24"/>
                <w:szCs w:val="24"/>
              </w:rPr>
            </w:pPr>
          </w:p>
        </w:tc>
      </w:tr>
      <w:tr w:rsidR="00CD0E47" w:rsidRPr="004F69BE" w:rsidTr="00471EDA">
        <w:tc>
          <w:tcPr>
            <w:tcW w:w="1526" w:type="dxa"/>
            <w:gridSpan w:val="2"/>
            <w:shd w:val="clear" w:color="auto" w:fill="auto"/>
          </w:tcPr>
          <w:p w:rsidR="00CD0E47" w:rsidRPr="004F69BE" w:rsidRDefault="00CD0E47" w:rsidP="00CD0E47">
            <w:pPr>
              <w:spacing w:before="0"/>
              <w:jc w:val="left"/>
              <w:rPr>
                <w:b/>
                <w:bCs/>
                <w:sz w:val="24"/>
                <w:szCs w:val="24"/>
              </w:rPr>
            </w:pPr>
          </w:p>
        </w:tc>
        <w:tc>
          <w:tcPr>
            <w:tcW w:w="8363" w:type="dxa"/>
            <w:gridSpan w:val="3"/>
            <w:vMerge/>
            <w:shd w:val="clear" w:color="auto" w:fill="auto"/>
          </w:tcPr>
          <w:p w:rsidR="00CD0E47" w:rsidRPr="004F69BE" w:rsidRDefault="00CD0E47" w:rsidP="00CD0E47">
            <w:pPr>
              <w:spacing w:before="0"/>
              <w:rPr>
                <w:b/>
                <w:bCs/>
                <w:sz w:val="24"/>
                <w:szCs w:val="24"/>
              </w:rPr>
            </w:pPr>
          </w:p>
        </w:tc>
      </w:tr>
      <w:tr w:rsidR="00CD0E47" w:rsidRPr="004F69BE" w:rsidTr="00471EDA">
        <w:tc>
          <w:tcPr>
            <w:tcW w:w="9889" w:type="dxa"/>
            <w:gridSpan w:val="5"/>
            <w:shd w:val="clear" w:color="auto" w:fill="auto"/>
          </w:tcPr>
          <w:p w:rsidR="00CD0E47" w:rsidRPr="004F69BE" w:rsidRDefault="00CD0E47" w:rsidP="00CD0E47">
            <w:pPr>
              <w:spacing w:before="0"/>
              <w:jc w:val="left"/>
              <w:rPr>
                <w:b/>
                <w:bCs/>
                <w:sz w:val="24"/>
                <w:szCs w:val="24"/>
              </w:rPr>
            </w:pPr>
          </w:p>
        </w:tc>
      </w:tr>
    </w:tbl>
    <w:p w:rsidR="00455FBC" w:rsidRPr="004F69BE" w:rsidRDefault="00455FBC" w:rsidP="004F69BE">
      <w:pPr>
        <w:spacing w:before="600"/>
        <w:rPr>
          <w:sz w:val="24"/>
          <w:szCs w:val="24"/>
        </w:rPr>
      </w:pPr>
      <w:r w:rsidRPr="004F69BE">
        <w:rPr>
          <w:sz w:val="24"/>
          <w:szCs w:val="24"/>
        </w:rPr>
        <w:t xml:space="preserve">En la reunión de la Comisión de Estudio </w:t>
      </w:r>
      <w:r w:rsidR="00E77C64" w:rsidRPr="004F69BE">
        <w:rPr>
          <w:sz w:val="24"/>
          <w:szCs w:val="24"/>
        </w:rPr>
        <w:t>4</w:t>
      </w:r>
      <w:r w:rsidRPr="004F69BE">
        <w:rPr>
          <w:sz w:val="24"/>
          <w:szCs w:val="24"/>
        </w:rPr>
        <w:t xml:space="preserve"> de </w:t>
      </w:r>
      <w:r w:rsidR="00A0138A" w:rsidRPr="004F69BE">
        <w:rPr>
          <w:sz w:val="24"/>
          <w:szCs w:val="24"/>
        </w:rPr>
        <w:t>Radiocomunicaciones</w:t>
      </w:r>
      <w:r w:rsidRPr="004F69BE">
        <w:rPr>
          <w:sz w:val="24"/>
          <w:szCs w:val="24"/>
        </w:rPr>
        <w:t xml:space="preserve"> celebrada </w:t>
      </w:r>
      <w:r w:rsidR="00E77C64" w:rsidRPr="004F69BE">
        <w:rPr>
          <w:sz w:val="24"/>
          <w:szCs w:val="24"/>
        </w:rPr>
        <w:t>el 11 de julio de 2014</w:t>
      </w:r>
      <w:r w:rsidRPr="004F69BE">
        <w:rPr>
          <w:sz w:val="24"/>
          <w:szCs w:val="24"/>
        </w:rPr>
        <w:t xml:space="preserve">, la Comisión de Estudio adoptó el texto de </w:t>
      </w:r>
      <w:r w:rsidR="00E77C64" w:rsidRPr="004F69BE">
        <w:rPr>
          <w:sz w:val="24"/>
          <w:szCs w:val="24"/>
        </w:rPr>
        <w:t>1</w:t>
      </w:r>
      <w:r w:rsidRPr="004F69BE">
        <w:rPr>
          <w:sz w:val="24"/>
          <w:szCs w:val="24"/>
        </w:rPr>
        <w:t xml:space="preserve"> proyecto de nueva Recomendación UIT-R y de </w:t>
      </w:r>
      <w:r w:rsidR="00E77C64" w:rsidRPr="004F69BE">
        <w:rPr>
          <w:sz w:val="24"/>
          <w:szCs w:val="24"/>
        </w:rPr>
        <w:t>2</w:t>
      </w:r>
      <w:r w:rsidR="004F69BE">
        <w:rPr>
          <w:sz w:val="24"/>
          <w:szCs w:val="24"/>
        </w:rPr>
        <w:t> </w:t>
      </w:r>
      <w:r w:rsidRPr="004F69BE">
        <w:rPr>
          <w:sz w:val="24"/>
          <w:szCs w:val="24"/>
        </w:rPr>
        <w:t>proyectos de Recomendación UIT-R revisada y acordó aplicar el procedimiento de la Resolución UIT-R 1-6 (véase el §</w:t>
      </w:r>
      <w:r w:rsidR="00BA6804" w:rsidRPr="004F69BE">
        <w:rPr>
          <w:sz w:val="24"/>
          <w:szCs w:val="24"/>
        </w:rPr>
        <w:t> </w:t>
      </w:r>
      <w:r w:rsidRPr="004F69BE">
        <w:rPr>
          <w:sz w:val="24"/>
          <w:szCs w:val="24"/>
        </w:rPr>
        <w:t>10.4.5) para la aprobación de Recomendaciones por consulta. Los títulos y res</w:t>
      </w:r>
      <w:r w:rsidR="00E77C64" w:rsidRPr="004F69BE">
        <w:rPr>
          <w:sz w:val="24"/>
          <w:szCs w:val="24"/>
        </w:rPr>
        <w:t>ú</w:t>
      </w:r>
      <w:r w:rsidRPr="004F69BE">
        <w:rPr>
          <w:sz w:val="24"/>
          <w:szCs w:val="24"/>
        </w:rPr>
        <w:t xml:space="preserve">menes de los proyectos de Recomendación figuran en el </w:t>
      </w:r>
      <w:r w:rsidR="00BA6804" w:rsidRPr="004F69BE">
        <w:rPr>
          <w:sz w:val="24"/>
          <w:szCs w:val="24"/>
        </w:rPr>
        <w:t>a</w:t>
      </w:r>
      <w:r w:rsidRPr="004F69BE">
        <w:rPr>
          <w:sz w:val="24"/>
          <w:szCs w:val="24"/>
        </w:rPr>
        <w:t>nexo a la presente</w:t>
      </w:r>
      <w:r w:rsidR="002E21B0">
        <w:rPr>
          <w:sz w:val="24"/>
          <w:szCs w:val="24"/>
        </w:rPr>
        <w:t xml:space="preserve"> carta.</w:t>
      </w:r>
    </w:p>
    <w:p w:rsidR="00455FBC" w:rsidRPr="004F69BE" w:rsidRDefault="00455FBC" w:rsidP="00710D08">
      <w:pPr>
        <w:rPr>
          <w:sz w:val="24"/>
          <w:szCs w:val="24"/>
        </w:rPr>
      </w:pPr>
      <w:r w:rsidRPr="004F69BE">
        <w:rPr>
          <w:sz w:val="24"/>
          <w:szCs w:val="24"/>
        </w:rPr>
        <w:t>Con respecto a las disposiciones del § 10.4.5.1 de la Resolución UIT-R 1-6, se solicita a los Estados Miembros que informen a la Secretaría (</w:t>
      </w:r>
      <w:hyperlink r:id="rId8" w:history="1">
        <w:r w:rsidRPr="004F69BE">
          <w:rPr>
            <w:color w:val="0000FF"/>
            <w:sz w:val="24"/>
            <w:szCs w:val="24"/>
            <w:u w:val="single"/>
          </w:rPr>
          <w:t>brsgd@itu.int</w:t>
        </w:r>
      </w:hyperlink>
      <w:r w:rsidRPr="004F69BE">
        <w:rPr>
          <w:sz w:val="24"/>
          <w:szCs w:val="24"/>
        </w:rPr>
        <w:t xml:space="preserve">) antes del </w:t>
      </w:r>
      <w:r w:rsidR="00E77C64" w:rsidRPr="004F69BE">
        <w:rPr>
          <w:sz w:val="24"/>
          <w:szCs w:val="24"/>
          <w:u w:val="single"/>
        </w:rPr>
        <w:t>29 de septiembre de 2014</w:t>
      </w:r>
      <w:r w:rsidRPr="004F69BE">
        <w:rPr>
          <w:sz w:val="24"/>
          <w:szCs w:val="24"/>
        </w:rPr>
        <w:t xml:space="preserve"> si aprueban o no la</w:t>
      </w:r>
      <w:r w:rsidR="002E21B0">
        <w:rPr>
          <w:sz w:val="24"/>
          <w:szCs w:val="24"/>
        </w:rPr>
        <w:t>s</w:t>
      </w:r>
      <w:r w:rsidRPr="004F69BE">
        <w:rPr>
          <w:sz w:val="24"/>
          <w:szCs w:val="24"/>
        </w:rPr>
        <w:t xml:space="preserve"> propuesta</w:t>
      </w:r>
      <w:r w:rsidR="002E21B0">
        <w:rPr>
          <w:sz w:val="24"/>
          <w:szCs w:val="24"/>
        </w:rPr>
        <w:t>s</w:t>
      </w:r>
      <w:r w:rsidRPr="004F69BE">
        <w:rPr>
          <w:sz w:val="24"/>
          <w:szCs w:val="24"/>
        </w:rPr>
        <w:t xml:space="preserve"> anterior</w:t>
      </w:r>
      <w:r w:rsidR="002E21B0">
        <w:rPr>
          <w:sz w:val="24"/>
          <w:szCs w:val="24"/>
        </w:rPr>
        <w:t>es</w:t>
      </w:r>
      <w:r w:rsidRPr="004F69BE">
        <w:rPr>
          <w:sz w:val="24"/>
          <w:szCs w:val="24"/>
        </w:rPr>
        <w:t>.</w:t>
      </w:r>
    </w:p>
    <w:p w:rsidR="00455FBC" w:rsidRPr="004F69BE" w:rsidRDefault="00455FBC" w:rsidP="00455FBC">
      <w:pPr>
        <w:rPr>
          <w:sz w:val="24"/>
          <w:szCs w:val="24"/>
        </w:rPr>
      </w:pPr>
      <w:r w:rsidRPr="004F69BE">
        <w:rPr>
          <w:sz w:val="24"/>
          <w:szCs w:val="24"/>
        </w:rPr>
        <w:t>Todo Estado Miembro que objete la aprobación de un proyecto de Recomendación debe informar al Director y al Presidente de la Comisión de Estudio de los motivos de dicha objeción.</w:t>
      </w:r>
    </w:p>
    <w:p w:rsidR="00BE79D9" w:rsidRPr="004F69BE" w:rsidRDefault="00455FBC" w:rsidP="00455FBC">
      <w:pPr>
        <w:jc w:val="left"/>
        <w:rPr>
          <w:sz w:val="24"/>
          <w:szCs w:val="24"/>
        </w:rPr>
      </w:pPr>
      <w:r w:rsidRPr="004F69BE">
        <w:rPr>
          <w:sz w:val="24"/>
          <w:szCs w:val="24"/>
        </w:rPr>
        <w:t xml:space="preserve">Tras la fecha límite mencionada, los resultados de esta consulta se comunicarán mediante Circular Administrativa y las Recomendaciones aprobadas se publicarán tan pronto como sea posible (véase </w:t>
      </w:r>
      <w:hyperlink r:id="rId9" w:history="1">
        <w:r w:rsidRPr="004F69BE">
          <w:rPr>
            <w:color w:val="0000FF"/>
            <w:sz w:val="24"/>
            <w:szCs w:val="24"/>
            <w:u w:val="single"/>
          </w:rPr>
          <w:t>http://www.itu.int/pub/R-REC</w:t>
        </w:r>
      </w:hyperlink>
      <w:r w:rsidRPr="004F69BE">
        <w:rPr>
          <w:sz w:val="24"/>
          <w:szCs w:val="24"/>
        </w:rPr>
        <w:t>).</w:t>
      </w:r>
    </w:p>
    <w:p w:rsidR="00710D08" w:rsidRPr="004F69BE" w:rsidRDefault="00710D08">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sidRPr="004F69BE">
        <w:rPr>
          <w:sz w:val="24"/>
          <w:szCs w:val="24"/>
        </w:rPr>
        <w:br w:type="page"/>
      </w:r>
    </w:p>
    <w:p w:rsidR="00BA6804" w:rsidRPr="004F69BE" w:rsidRDefault="00BA6804" w:rsidP="00BA6804">
      <w:pPr>
        <w:keepNext/>
        <w:rPr>
          <w:sz w:val="24"/>
          <w:szCs w:val="24"/>
        </w:rPr>
      </w:pPr>
      <w:r w:rsidRPr="004F69BE">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0" w:history="1">
        <w:r w:rsidRPr="004F69BE">
          <w:rPr>
            <w:rStyle w:val="Hyperlink"/>
            <w:sz w:val="24"/>
            <w:szCs w:val="24"/>
          </w:rPr>
          <w:t>http://www.itu.int/en/ITU</w:t>
        </w:r>
        <w:r w:rsidRPr="004F69BE">
          <w:rPr>
            <w:rStyle w:val="Hyperlink"/>
            <w:sz w:val="24"/>
            <w:szCs w:val="24"/>
          </w:rPr>
          <w:noBreakHyphen/>
          <w:t>T/ipr/Pages/policy.aspx</w:t>
        </w:r>
      </w:hyperlink>
      <w:r w:rsidRPr="004F69BE">
        <w:rPr>
          <w:sz w:val="24"/>
          <w:szCs w:val="24"/>
        </w:rPr>
        <w:t>.</w:t>
      </w:r>
    </w:p>
    <w:p w:rsidR="002E1472" w:rsidRPr="004F69BE" w:rsidRDefault="00CD0E47" w:rsidP="00710D08">
      <w:pPr>
        <w:pStyle w:val="BodyTextIndent2"/>
        <w:tabs>
          <w:tab w:val="clear" w:pos="794"/>
          <w:tab w:val="clear" w:pos="1191"/>
          <w:tab w:val="clear" w:pos="1588"/>
          <w:tab w:val="clear" w:pos="1985"/>
          <w:tab w:val="clear" w:pos="4820"/>
        </w:tabs>
        <w:spacing w:before="1440"/>
        <w:ind w:left="0"/>
        <w:jc w:val="left"/>
        <w:rPr>
          <w:rFonts w:asciiTheme="minorHAnsi" w:hAnsiTheme="minorHAnsi"/>
          <w:szCs w:val="24"/>
          <w:lang w:val="es-ES_tradnl"/>
        </w:rPr>
      </w:pPr>
      <w:r w:rsidRPr="004F69BE">
        <w:rPr>
          <w:rFonts w:asciiTheme="minorHAnsi" w:hAnsiTheme="minorHAnsi"/>
          <w:szCs w:val="24"/>
          <w:lang w:val="es-ES_tradnl"/>
        </w:rPr>
        <w:t>François Rancy</w:t>
      </w:r>
      <w:r w:rsidRPr="004F69BE">
        <w:rPr>
          <w:rFonts w:asciiTheme="minorHAnsi" w:hAnsiTheme="minorHAnsi"/>
          <w:szCs w:val="24"/>
          <w:lang w:val="es-ES_tradnl"/>
        </w:rPr>
        <w:br/>
        <w:t>Director</w:t>
      </w:r>
      <w:r w:rsidR="002E1472" w:rsidRPr="004F69BE">
        <w:rPr>
          <w:rFonts w:asciiTheme="minorHAnsi" w:hAnsiTheme="minorHAnsi"/>
          <w:szCs w:val="24"/>
          <w:lang w:val="es-ES_tradnl"/>
        </w:rPr>
        <w:br/>
      </w:r>
    </w:p>
    <w:p w:rsidR="00BE79D9" w:rsidRPr="004F69BE" w:rsidRDefault="00CD0E47" w:rsidP="00710D08">
      <w:pPr>
        <w:tabs>
          <w:tab w:val="left" w:pos="4820"/>
        </w:tabs>
        <w:spacing w:before="720"/>
        <w:rPr>
          <w:bCs/>
          <w:sz w:val="24"/>
          <w:szCs w:val="24"/>
        </w:rPr>
      </w:pPr>
      <w:r w:rsidRPr="004F69BE">
        <w:rPr>
          <w:b/>
          <w:sz w:val="24"/>
          <w:szCs w:val="24"/>
        </w:rPr>
        <w:t>Anexo</w:t>
      </w:r>
      <w:r w:rsidR="00BA6804" w:rsidRPr="004F69BE">
        <w:rPr>
          <w:bCs/>
          <w:sz w:val="24"/>
          <w:szCs w:val="24"/>
        </w:rPr>
        <w:t>:</w:t>
      </w:r>
      <w:r w:rsidR="00BA6804" w:rsidRPr="004F69BE">
        <w:rPr>
          <w:bCs/>
          <w:sz w:val="24"/>
          <w:szCs w:val="24"/>
        </w:rPr>
        <w:tab/>
      </w:r>
      <w:r w:rsidR="00AC080A" w:rsidRPr="004F69BE">
        <w:rPr>
          <w:sz w:val="24"/>
          <w:szCs w:val="24"/>
        </w:rPr>
        <w:t>Títulos y res</w:t>
      </w:r>
      <w:r w:rsidR="002501B6" w:rsidRPr="004F69BE">
        <w:rPr>
          <w:sz w:val="24"/>
          <w:szCs w:val="24"/>
        </w:rPr>
        <w:t>ú</w:t>
      </w:r>
      <w:r w:rsidR="00AC080A" w:rsidRPr="004F69BE">
        <w:rPr>
          <w:sz w:val="24"/>
          <w:szCs w:val="24"/>
        </w:rPr>
        <w:t>menes de los proyectos de Recomendación UIT-R</w:t>
      </w:r>
    </w:p>
    <w:p w:rsidR="00AC080A" w:rsidRPr="004F69BE" w:rsidRDefault="00AC080A" w:rsidP="00710D08">
      <w:pPr>
        <w:rPr>
          <w:sz w:val="24"/>
          <w:szCs w:val="24"/>
        </w:rPr>
      </w:pPr>
      <w:r w:rsidRPr="004F69BE">
        <w:rPr>
          <w:b/>
          <w:bCs/>
          <w:sz w:val="24"/>
          <w:szCs w:val="24"/>
        </w:rPr>
        <w:t>Documentos:</w:t>
      </w:r>
      <w:r w:rsidRPr="004F69BE">
        <w:rPr>
          <w:sz w:val="24"/>
          <w:szCs w:val="24"/>
        </w:rPr>
        <w:t xml:space="preserve"> Documentos </w:t>
      </w:r>
      <w:r w:rsidR="002501B6" w:rsidRPr="004F69BE">
        <w:rPr>
          <w:sz w:val="24"/>
          <w:szCs w:val="24"/>
        </w:rPr>
        <w:t>4/BL/5</w:t>
      </w:r>
      <w:r w:rsidRPr="004F69BE">
        <w:rPr>
          <w:sz w:val="24"/>
          <w:szCs w:val="24"/>
        </w:rPr>
        <w:t xml:space="preserve"> a </w:t>
      </w:r>
      <w:r w:rsidR="002501B6" w:rsidRPr="004F69BE">
        <w:rPr>
          <w:sz w:val="24"/>
          <w:szCs w:val="24"/>
        </w:rPr>
        <w:t>4/BL/7</w:t>
      </w:r>
      <w:r w:rsidRPr="004F69BE">
        <w:rPr>
          <w:sz w:val="24"/>
          <w:szCs w:val="24"/>
        </w:rPr>
        <w:t xml:space="preserve"> </w:t>
      </w:r>
    </w:p>
    <w:p w:rsidR="00AC080A" w:rsidRPr="004F69BE" w:rsidRDefault="00AC080A" w:rsidP="004F69BE">
      <w:pPr>
        <w:spacing w:before="60"/>
        <w:jc w:val="left"/>
        <w:rPr>
          <w:sz w:val="24"/>
          <w:szCs w:val="24"/>
        </w:rPr>
      </w:pPr>
      <w:r w:rsidRPr="004F69BE">
        <w:rPr>
          <w:sz w:val="24"/>
          <w:szCs w:val="24"/>
        </w:rPr>
        <w:t>Estos documentos están disponibles en formato electrónico en la dirección</w:t>
      </w:r>
      <w:r w:rsidR="00BA6804" w:rsidRPr="004F69BE">
        <w:rPr>
          <w:sz w:val="24"/>
          <w:szCs w:val="24"/>
        </w:rPr>
        <w:t>:</w:t>
      </w:r>
      <w:r w:rsidR="002501B6" w:rsidRPr="004F69BE">
        <w:rPr>
          <w:sz w:val="24"/>
          <w:szCs w:val="24"/>
        </w:rPr>
        <w:t xml:space="preserve"> </w:t>
      </w:r>
      <w:hyperlink r:id="rId11" w:history="1">
        <w:r w:rsidR="002501B6" w:rsidRPr="004F69BE">
          <w:rPr>
            <w:rStyle w:val="Hyperlink"/>
            <w:sz w:val="24"/>
            <w:szCs w:val="24"/>
          </w:rPr>
          <w:t>http://www.itu.int/pub/R-REC</w:t>
        </w:r>
      </w:hyperlink>
    </w:p>
    <w:p w:rsidR="00CD0E47" w:rsidRPr="00BC3784" w:rsidRDefault="00CD0E47" w:rsidP="00BA6804">
      <w:pPr>
        <w:keepNext/>
        <w:tabs>
          <w:tab w:val="left" w:pos="6237"/>
        </w:tabs>
        <w:spacing w:before="2160"/>
        <w:rPr>
          <w:b/>
          <w:bCs/>
          <w:sz w:val="18"/>
          <w:szCs w:val="18"/>
        </w:rPr>
      </w:pPr>
      <w:r w:rsidRPr="00BC3784">
        <w:rPr>
          <w:b/>
          <w:bCs/>
          <w:sz w:val="18"/>
          <w:szCs w:val="18"/>
        </w:rPr>
        <w:t>Distribución:</w:t>
      </w:r>
    </w:p>
    <w:p w:rsidR="00AC080A" w:rsidRPr="00BC3784" w:rsidRDefault="00AC080A" w:rsidP="00710D08">
      <w:pPr>
        <w:tabs>
          <w:tab w:val="left" w:pos="567"/>
          <w:tab w:val="left" w:pos="6237"/>
        </w:tabs>
        <w:spacing w:before="0" w:line="240" w:lineRule="auto"/>
        <w:ind w:left="567" w:hanging="567"/>
        <w:rPr>
          <w:sz w:val="18"/>
          <w:szCs w:val="18"/>
        </w:rPr>
      </w:pPr>
      <w:r w:rsidRPr="00BC3784">
        <w:rPr>
          <w:sz w:val="18"/>
          <w:szCs w:val="18"/>
        </w:rPr>
        <w:t>–</w:t>
      </w:r>
      <w:r w:rsidRPr="00BC3784">
        <w:rPr>
          <w:sz w:val="18"/>
          <w:szCs w:val="18"/>
        </w:rPr>
        <w:tab/>
        <w:t xml:space="preserve">Administraciones de los Estados Miembros </w:t>
      </w:r>
      <w:r w:rsidR="002E21B0">
        <w:rPr>
          <w:sz w:val="18"/>
          <w:szCs w:val="18"/>
        </w:rPr>
        <w:t xml:space="preserve">de la UIT y Miembros </w:t>
      </w:r>
      <w:r w:rsidRPr="00BC3784">
        <w:rPr>
          <w:sz w:val="18"/>
          <w:szCs w:val="18"/>
        </w:rPr>
        <w:t xml:space="preserve">del Sector de Radiocomunicaciones que participan en los trabajos de la Comisión de Estudio </w:t>
      </w:r>
      <w:r w:rsidR="002501B6">
        <w:rPr>
          <w:sz w:val="18"/>
          <w:szCs w:val="18"/>
        </w:rPr>
        <w:t>4</w:t>
      </w:r>
      <w:r w:rsidRPr="00BC3784">
        <w:rPr>
          <w:sz w:val="18"/>
          <w:szCs w:val="18"/>
        </w:rPr>
        <w:t xml:space="preserve"> de Radiocomunicaciones </w:t>
      </w:r>
    </w:p>
    <w:p w:rsidR="00AC080A" w:rsidRPr="00BC3784" w:rsidRDefault="00AC080A" w:rsidP="00710D08">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Asociados del UIT-R que participan en los trabajos de la Comisión de Estudio </w:t>
      </w:r>
      <w:r w:rsidR="002501B6">
        <w:rPr>
          <w:sz w:val="18"/>
          <w:szCs w:val="18"/>
        </w:rPr>
        <w:t>4</w:t>
      </w:r>
      <w:r w:rsidRPr="00BC3784">
        <w:rPr>
          <w:sz w:val="18"/>
          <w:szCs w:val="18"/>
        </w:rPr>
        <w:t xml:space="preserve"> de Radiocomunicaciones </w:t>
      </w:r>
    </w:p>
    <w:p w:rsidR="00AC080A" w:rsidRPr="00BC3784" w:rsidRDefault="00AC080A" w:rsidP="00710D08">
      <w:pPr>
        <w:tabs>
          <w:tab w:val="left" w:pos="567"/>
          <w:tab w:val="left" w:pos="6237"/>
        </w:tabs>
        <w:spacing w:before="0" w:line="240" w:lineRule="auto"/>
        <w:ind w:left="567" w:hanging="567"/>
        <w:rPr>
          <w:sz w:val="18"/>
          <w:szCs w:val="18"/>
        </w:rPr>
      </w:pPr>
      <w:r w:rsidRPr="00BC3784">
        <w:rPr>
          <w:sz w:val="18"/>
          <w:szCs w:val="18"/>
        </w:rPr>
        <w:t>–</w:t>
      </w:r>
      <w:r w:rsidRPr="00BC3784">
        <w:rPr>
          <w:sz w:val="18"/>
          <w:szCs w:val="18"/>
        </w:rPr>
        <w:tab/>
        <w:t xml:space="preserve">Presidente y Vicepresidentes de las Comisiones de Estudio de Radiocomunicaciones y Comisión Especial para asuntos reglamentarios de procedimiento </w:t>
      </w:r>
    </w:p>
    <w:p w:rsidR="00AC080A" w:rsidRPr="00BC3784" w:rsidRDefault="00AC080A" w:rsidP="00710D08">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Presidente y Vicepresidentes de la Reunión Preparatoria de la Conferencia </w:t>
      </w:r>
    </w:p>
    <w:p w:rsidR="00AC080A" w:rsidRPr="00BC3784" w:rsidRDefault="00AC080A" w:rsidP="00710D08">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Miembros de la Junta del Reglamento de Radiocomunicaciones </w:t>
      </w:r>
    </w:p>
    <w:p w:rsidR="00AC080A" w:rsidRDefault="00AC080A" w:rsidP="00710D08">
      <w:pPr>
        <w:tabs>
          <w:tab w:val="left" w:pos="567"/>
          <w:tab w:val="left" w:pos="6237"/>
        </w:tabs>
        <w:spacing w:before="0" w:line="240" w:lineRule="auto"/>
        <w:ind w:left="567" w:hanging="567"/>
        <w:rPr>
          <w:sz w:val="18"/>
          <w:szCs w:val="18"/>
        </w:rPr>
      </w:pPr>
      <w:r w:rsidRPr="00BC3784">
        <w:rPr>
          <w:sz w:val="18"/>
          <w:szCs w:val="18"/>
        </w:rPr>
        <w:t>–</w:t>
      </w:r>
      <w:r w:rsidRPr="00BC3784">
        <w:rPr>
          <w:sz w:val="18"/>
          <w:szCs w:val="18"/>
        </w:rPr>
        <w:tab/>
        <w:t>Secretario General de la UIT, Director de la Oficina de Normalización de las Telecomunicaciones, Director de la Oficina de Desarrollo de Telecomunicaciones</w:t>
      </w:r>
    </w:p>
    <w:p w:rsidR="001C2093" w:rsidRDefault="001C2093">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p w:rsidR="00B64675" w:rsidRPr="00B22DAA" w:rsidRDefault="00B64675" w:rsidP="00B64675">
      <w:pPr>
        <w:pStyle w:val="AnnexNotitle0"/>
        <w:rPr>
          <w:lang w:val="es-ES"/>
        </w:rPr>
      </w:pPr>
      <w:r w:rsidRPr="006F7526">
        <w:lastRenderedPageBreak/>
        <w:t>Anexo</w:t>
      </w:r>
      <w:r>
        <w:br/>
      </w:r>
      <w:r>
        <w:br/>
      </w:r>
      <w:r w:rsidRPr="00B22DAA">
        <w:rPr>
          <w:lang w:val="es-ES"/>
        </w:rPr>
        <w:t xml:space="preserve">Títulos y resúmenes de los proyectos de Recomendaciones adoptados </w:t>
      </w:r>
      <w:r w:rsidRPr="00B22DAA">
        <w:rPr>
          <w:lang w:val="es-ES"/>
        </w:rPr>
        <w:br/>
        <w:t>por la Comisión de Estudio 4 de Radiocomunicaciones</w:t>
      </w:r>
    </w:p>
    <w:p w:rsidR="00B64675" w:rsidRPr="00B22DAA" w:rsidRDefault="00B64675" w:rsidP="00B64675">
      <w:pPr>
        <w:rPr>
          <w:lang w:val="es-ES"/>
        </w:rPr>
      </w:pPr>
    </w:p>
    <w:p w:rsidR="00B64675" w:rsidRPr="00B373FB" w:rsidRDefault="00B64675" w:rsidP="00B64675">
      <w:pPr>
        <w:pStyle w:val="Normalaftertitle"/>
        <w:tabs>
          <w:tab w:val="right" w:pos="9639"/>
        </w:tabs>
        <w:rPr>
          <w:rFonts w:asciiTheme="minorHAnsi" w:hAnsiTheme="minorHAnsi" w:cstheme="minorHAnsi"/>
          <w:sz w:val="24"/>
          <w:szCs w:val="24"/>
          <w:lang w:val="es-ES"/>
        </w:rPr>
      </w:pPr>
      <w:r w:rsidRPr="00B373FB">
        <w:rPr>
          <w:rFonts w:asciiTheme="minorHAnsi" w:hAnsiTheme="minorHAnsi" w:cstheme="minorHAnsi"/>
          <w:sz w:val="24"/>
          <w:szCs w:val="24"/>
          <w:u w:val="single"/>
          <w:lang w:val="es-ES"/>
        </w:rPr>
        <w:t>Proyecto de nueva Recomendación UIT-R BO.[ALT_BSS_ANT_DIAG]</w:t>
      </w:r>
      <w:r w:rsidRPr="00B373FB">
        <w:rPr>
          <w:rFonts w:asciiTheme="minorHAnsi" w:hAnsiTheme="minorHAnsi" w:cstheme="minorHAnsi"/>
          <w:sz w:val="24"/>
          <w:szCs w:val="24"/>
          <w:lang w:val="es-ES"/>
        </w:rPr>
        <w:tab/>
        <w:t>Doc. 4/BL/5</w:t>
      </w:r>
    </w:p>
    <w:p w:rsidR="00B64675" w:rsidRPr="006F7526" w:rsidRDefault="00B64675" w:rsidP="005C420B">
      <w:pPr>
        <w:pStyle w:val="Rectitle"/>
        <w:rPr>
          <w:lang w:val="es-ES"/>
        </w:rPr>
      </w:pPr>
      <w:r w:rsidRPr="006F7526">
        <w:rPr>
          <w:lang w:val="es-ES"/>
        </w:rPr>
        <w:t>Diagrama alternativo de radiación de antena de estación terrena del SRS para bandas de 12 GHz con aberturas efectivas entre 55 y 75 cm</w:t>
      </w:r>
    </w:p>
    <w:p w:rsidR="00B64675" w:rsidRPr="00DE2D24" w:rsidRDefault="00B64675" w:rsidP="00DE2D24">
      <w:pPr>
        <w:pStyle w:val="Normalaftertitle"/>
        <w:rPr>
          <w:rFonts w:asciiTheme="minorHAnsi" w:hAnsiTheme="minorHAnsi" w:cstheme="minorHAnsi"/>
          <w:sz w:val="24"/>
          <w:szCs w:val="24"/>
          <w:lang w:val="es-ES"/>
        </w:rPr>
      </w:pPr>
      <w:r w:rsidRPr="00DE2D24">
        <w:rPr>
          <w:rFonts w:asciiTheme="minorHAnsi" w:hAnsiTheme="minorHAnsi" w:cstheme="minorHAnsi"/>
          <w:sz w:val="24"/>
          <w:szCs w:val="24"/>
          <w:lang w:val="es-ES"/>
        </w:rPr>
        <w:t>El objeto de esta Recomendación es proporcionar un diagrama de radiación alternativo de antena para las estaciones terrenas receptoras del servicio de radiodifusión por satélite (SRS)</w:t>
      </w:r>
      <w:r w:rsidRPr="00DE2D24">
        <w:rPr>
          <w:rFonts w:asciiTheme="minorHAnsi" w:hAnsiTheme="minorHAnsi" w:cstheme="minorHAnsi"/>
          <w:sz w:val="24"/>
          <w:szCs w:val="24"/>
        </w:rPr>
        <w:t xml:space="preserve"> </w:t>
      </w:r>
      <w:r w:rsidRPr="00DE2D24">
        <w:rPr>
          <w:rFonts w:asciiTheme="minorHAnsi" w:hAnsiTheme="minorHAnsi" w:cstheme="minorHAnsi"/>
          <w:sz w:val="24"/>
          <w:szCs w:val="24"/>
          <w:lang w:val="es-ES"/>
        </w:rPr>
        <w:t>con aberturas efectivas entre 55 y 75 cm. Este diagrama alternativo se basa en la ganancia relativa (dB) y cuenta con una supresión del lóbulo lateral copolar mejorada (especialmente en la gama angular fuera del eje 2,5</w:t>
      </w:r>
      <w:r w:rsidRPr="00DE2D24">
        <w:rPr>
          <w:rFonts w:asciiTheme="minorHAnsi" w:hAnsiTheme="minorHAnsi" w:cstheme="minorHAnsi"/>
          <w:sz w:val="24"/>
          <w:szCs w:val="24"/>
          <w:lang w:val="es-ES"/>
        </w:rPr>
        <w:sym w:font="Symbol" w:char="F0B0"/>
      </w:r>
      <w:r w:rsidRPr="00DE2D24">
        <w:rPr>
          <w:rFonts w:asciiTheme="minorHAnsi" w:hAnsiTheme="minorHAnsi" w:cstheme="minorHAnsi"/>
          <w:sz w:val="24"/>
          <w:szCs w:val="24"/>
          <w:lang w:val="es-ES"/>
        </w:rPr>
        <w:t>-9</w:t>
      </w:r>
      <w:r w:rsidRPr="00DE2D24">
        <w:rPr>
          <w:rFonts w:asciiTheme="minorHAnsi" w:hAnsiTheme="minorHAnsi" w:cstheme="minorHAnsi"/>
          <w:sz w:val="24"/>
          <w:szCs w:val="24"/>
          <w:lang w:val="es-ES"/>
        </w:rPr>
        <w:sym w:font="Symbol" w:char="F0B0"/>
      </w:r>
      <w:r w:rsidRPr="00DE2D24">
        <w:rPr>
          <w:rFonts w:asciiTheme="minorHAnsi" w:hAnsiTheme="minorHAnsi" w:cstheme="minorHAnsi"/>
          <w:sz w:val="24"/>
          <w:szCs w:val="24"/>
          <w:lang w:val="es-ES"/>
        </w:rPr>
        <w:t>) y una mejor discriminación contrapolar en comparación con el actual diagrama de antena de referencia de la Recomendación UIT-R BO.1213, que se basa en la ganancia absoluta. El</w:t>
      </w:r>
      <w:r w:rsidR="00DE2D24">
        <w:rPr>
          <w:rFonts w:asciiTheme="minorHAnsi" w:hAnsiTheme="minorHAnsi" w:cstheme="minorHAnsi"/>
          <w:sz w:val="24"/>
          <w:szCs w:val="24"/>
          <w:lang w:val="es-ES"/>
        </w:rPr>
        <w:t> </w:t>
      </w:r>
      <w:r w:rsidRPr="00DE2D24">
        <w:rPr>
          <w:rFonts w:asciiTheme="minorHAnsi" w:hAnsiTheme="minorHAnsi" w:cstheme="minorHAnsi"/>
          <w:sz w:val="24"/>
          <w:szCs w:val="24"/>
          <w:lang w:val="es-ES"/>
        </w:rPr>
        <w:t>diagrama alternativo puede utilizarse para las negociaciones bilaterales y multilaterales de asignaciones nuevas o modificadas en el Plan de la Región 1 o en la Lista de uso adicionales de las Regiones 1 y 3.</w:t>
      </w:r>
    </w:p>
    <w:p w:rsidR="00B64675" w:rsidRPr="00B373FB" w:rsidRDefault="00B64675" w:rsidP="00B64675">
      <w:pPr>
        <w:pStyle w:val="Normalaftertitle"/>
        <w:tabs>
          <w:tab w:val="right" w:pos="9639"/>
        </w:tabs>
        <w:rPr>
          <w:rFonts w:asciiTheme="minorHAnsi" w:hAnsiTheme="minorHAnsi" w:cstheme="minorHAnsi"/>
          <w:sz w:val="24"/>
          <w:szCs w:val="24"/>
          <w:lang w:val="es-ES"/>
        </w:rPr>
      </w:pPr>
      <w:r w:rsidRPr="00B373FB">
        <w:rPr>
          <w:rFonts w:asciiTheme="minorHAnsi" w:hAnsiTheme="minorHAnsi" w:cstheme="minorHAnsi"/>
          <w:sz w:val="24"/>
          <w:szCs w:val="24"/>
          <w:u w:val="single"/>
          <w:lang w:val="es-ES"/>
        </w:rPr>
        <w:t>Proyecto de revisión de la Recomendación UIT-R M.1787-1</w:t>
      </w:r>
      <w:r w:rsidRPr="00B373FB">
        <w:rPr>
          <w:rFonts w:asciiTheme="minorHAnsi" w:hAnsiTheme="minorHAnsi" w:cstheme="minorHAnsi"/>
          <w:sz w:val="24"/>
          <w:szCs w:val="24"/>
          <w:lang w:val="es-ES"/>
        </w:rPr>
        <w:tab/>
        <w:t>Doc. 4/BL/6</w:t>
      </w:r>
    </w:p>
    <w:p w:rsidR="00B64675" w:rsidRPr="006F7526" w:rsidRDefault="00B64675" w:rsidP="008B438C">
      <w:pPr>
        <w:pStyle w:val="Rectitle"/>
        <w:rPr>
          <w:lang w:val="es-ES"/>
        </w:rPr>
      </w:pPr>
      <w:r w:rsidRPr="006F7526">
        <w:rPr>
          <w:lang w:val="es-ES"/>
        </w:rPr>
        <w:t xml:space="preserve">Descripción de sistemas y redes del servicio de radionavegación por satélite </w:t>
      </w:r>
      <w:r w:rsidR="00557EEB">
        <w:rPr>
          <w:lang w:val="es-ES"/>
        </w:rPr>
        <w:br/>
      </w:r>
      <w:r w:rsidRPr="006F7526">
        <w:rPr>
          <w:lang w:val="es-ES"/>
        </w:rPr>
        <w:t xml:space="preserve">(espacio-Tierra y espacio-espacio) y características técnicas de estaciones </w:t>
      </w:r>
      <w:r w:rsidR="00557EEB">
        <w:rPr>
          <w:lang w:val="es-ES"/>
        </w:rPr>
        <w:br/>
      </w:r>
      <w:r w:rsidRPr="006F7526">
        <w:rPr>
          <w:lang w:val="es-ES"/>
        </w:rPr>
        <w:t>espaciales transmisoras que funcionan en las bandas 1</w:t>
      </w:r>
      <w:r w:rsidR="008B438C">
        <w:rPr>
          <w:lang w:val="es-ES"/>
        </w:rPr>
        <w:t> </w:t>
      </w:r>
      <w:r w:rsidRPr="006F7526">
        <w:rPr>
          <w:lang w:val="es-ES"/>
        </w:rPr>
        <w:t>164</w:t>
      </w:r>
      <w:r w:rsidR="008B438C">
        <w:rPr>
          <w:lang w:val="es-ES"/>
        </w:rPr>
        <w:noBreakHyphen/>
      </w:r>
      <w:r w:rsidRPr="006F7526">
        <w:rPr>
          <w:lang w:val="es-ES"/>
        </w:rPr>
        <w:t>1</w:t>
      </w:r>
      <w:r w:rsidR="008B438C">
        <w:rPr>
          <w:lang w:val="es-ES"/>
        </w:rPr>
        <w:t> </w:t>
      </w:r>
      <w:r w:rsidRPr="006F7526">
        <w:rPr>
          <w:lang w:val="es-ES"/>
        </w:rPr>
        <w:t xml:space="preserve">215 MHz, </w:t>
      </w:r>
      <w:r>
        <w:rPr>
          <w:lang w:val="es-ES"/>
        </w:rPr>
        <w:br/>
      </w:r>
      <w:r w:rsidRPr="006F7526">
        <w:rPr>
          <w:lang w:val="es-ES"/>
        </w:rPr>
        <w:t>1</w:t>
      </w:r>
      <w:r w:rsidR="008B438C">
        <w:rPr>
          <w:lang w:val="es-ES"/>
        </w:rPr>
        <w:t> </w:t>
      </w:r>
      <w:r w:rsidRPr="006F7526">
        <w:rPr>
          <w:lang w:val="es-ES"/>
        </w:rPr>
        <w:t>215</w:t>
      </w:r>
      <w:r w:rsidR="008B438C">
        <w:rPr>
          <w:lang w:val="es-ES"/>
        </w:rPr>
        <w:noBreakHyphen/>
      </w:r>
      <w:bookmarkStart w:id="6" w:name="_GoBack"/>
      <w:bookmarkEnd w:id="6"/>
      <w:r w:rsidRPr="006F7526">
        <w:rPr>
          <w:lang w:val="es-ES"/>
        </w:rPr>
        <w:t>1</w:t>
      </w:r>
      <w:r w:rsidR="008B438C">
        <w:rPr>
          <w:lang w:val="es-ES"/>
        </w:rPr>
        <w:t> </w:t>
      </w:r>
      <w:r w:rsidRPr="006F7526">
        <w:rPr>
          <w:lang w:val="es-ES"/>
        </w:rPr>
        <w:t>300</w:t>
      </w:r>
      <w:r w:rsidR="008B438C">
        <w:rPr>
          <w:lang w:val="es-ES"/>
        </w:rPr>
        <w:t> </w:t>
      </w:r>
      <w:r w:rsidRPr="006F7526">
        <w:rPr>
          <w:lang w:val="es-ES"/>
        </w:rPr>
        <w:t>MHz y 1</w:t>
      </w:r>
      <w:r w:rsidR="008B438C">
        <w:rPr>
          <w:lang w:val="es-ES"/>
        </w:rPr>
        <w:t> </w:t>
      </w:r>
      <w:r w:rsidRPr="006F7526">
        <w:rPr>
          <w:lang w:val="es-ES"/>
        </w:rPr>
        <w:t>559</w:t>
      </w:r>
      <w:r w:rsidR="008B438C">
        <w:rPr>
          <w:lang w:val="es-ES"/>
        </w:rPr>
        <w:noBreakHyphen/>
      </w:r>
      <w:r w:rsidRPr="006F7526">
        <w:rPr>
          <w:lang w:val="es-ES"/>
        </w:rPr>
        <w:t>1</w:t>
      </w:r>
      <w:r w:rsidR="008B438C">
        <w:rPr>
          <w:lang w:val="es-ES"/>
        </w:rPr>
        <w:t> </w:t>
      </w:r>
      <w:r w:rsidRPr="006F7526">
        <w:rPr>
          <w:lang w:val="es-ES"/>
        </w:rPr>
        <w:t>610 MHz</w:t>
      </w:r>
    </w:p>
    <w:p w:rsidR="00B64675" w:rsidRPr="00DE2D24" w:rsidRDefault="00B64675" w:rsidP="00DE2D24">
      <w:pPr>
        <w:pStyle w:val="Normalaftertitle"/>
        <w:rPr>
          <w:sz w:val="24"/>
          <w:szCs w:val="24"/>
          <w:lang w:val="es-ES"/>
        </w:rPr>
      </w:pPr>
      <w:r w:rsidRPr="00DE2D24">
        <w:rPr>
          <w:sz w:val="24"/>
          <w:szCs w:val="24"/>
          <w:lang w:val="es-ES"/>
        </w:rPr>
        <w:t xml:space="preserve">Esta revisión incluye 1) correcciones de edición al texto principal de la Recomendación y armonización de los </w:t>
      </w:r>
      <w:r w:rsidRPr="00DE2D24">
        <w:rPr>
          <w:i/>
          <w:iCs/>
          <w:sz w:val="24"/>
          <w:szCs w:val="24"/>
          <w:lang w:val="es-ES"/>
        </w:rPr>
        <w:t>considerando</w:t>
      </w:r>
      <w:r w:rsidRPr="00DE2D24">
        <w:rPr>
          <w:sz w:val="24"/>
          <w:szCs w:val="24"/>
          <w:lang w:val="es-ES"/>
        </w:rPr>
        <w:t xml:space="preserve"> y </w:t>
      </w:r>
      <w:r w:rsidRPr="00DE2D24">
        <w:rPr>
          <w:i/>
          <w:iCs/>
          <w:sz w:val="24"/>
          <w:szCs w:val="24"/>
          <w:lang w:val="es-ES"/>
        </w:rPr>
        <w:t>reconociendo</w:t>
      </w:r>
      <w:r w:rsidRPr="00DE2D24">
        <w:rPr>
          <w:sz w:val="24"/>
          <w:szCs w:val="24"/>
          <w:lang w:val="es-ES"/>
        </w:rPr>
        <w:t xml:space="preserve"> para que se ajusten a las directrices de formato de las Recomendaciones UIT</w:t>
      </w:r>
      <w:r w:rsidR="005C420B" w:rsidRPr="00DE2D24">
        <w:rPr>
          <w:sz w:val="24"/>
          <w:szCs w:val="24"/>
          <w:lang w:val="es-ES"/>
        </w:rPr>
        <w:noBreakHyphen/>
      </w:r>
      <w:r w:rsidRPr="00DE2D24">
        <w:rPr>
          <w:sz w:val="24"/>
          <w:szCs w:val="24"/>
          <w:lang w:val="es-ES"/>
        </w:rPr>
        <w:t xml:space="preserve">R; 2) incorporación de un nuevo </w:t>
      </w:r>
      <w:r w:rsidRPr="00DE2D24">
        <w:rPr>
          <w:i/>
          <w:iCs/>
          <w:sz w:val="24"/>
          <w:szCs w:val="24"/>
          <w:lang w:val="es-ES"/>
        </w:rPr>
        <w:t>reconociendo</w:t>
      </w:r>
      <w:r w:rsidRPr="00DE2D24">
        <w:rPr>
          <w:sz w:val="24"/>
          <w:szCs w:val="24"/>
          <w:lang w:val="es-ES"/>
        </w:rPr>
        <w:t xml:space="preserve"> </w:t>
      </w:r>
      <w:r w:rsidRPr="003E08C2">
        <w:rPr>
          <w:i/>
          <w:iCs/>
          <w:sz w:val="24"/>
          <w:szCs w:val="24"/>
          <w:lang w:val="es-ES"/>
        </w:rPr>
        <w:t>h)</w:t>
      </w:r>
      <w:r w:rsidRPr="00DE2D24">
        <w:rPr>
          <w:sz w:val="24"/>
          <w:szCs w:val="24"/>
          <w:lang w:val="es-ES"/>
        </w:rPr>
        <w:t>, a fin de incluir una referencia a la nueva Recomendación UIT</w:t>
      </w:r>
      <w:r w:rsidR="005C420B" w:rsidRPr="00DE2D24">
        <w:rPr>
          <w:sz w:val="24"/>
          <w:szCs w:val="24"/>
          <w:lang w:val="es-ES"/>
        </w:rPr>
        <w:noBreakHyphen/>
      </w:r>
      <w:r w:rsidRPr="00DE2D24">
        <w:rPr>
          <w:sz w:val="24"/>
          <w:szCs w:val="24"/>
          <w:lang w:val="es-ES"/>
        </w:rPr>
        <w:t>R M.2030 sobre la interferencia por impulsos; 3) algunas actualizaciones menores relativas a la información sobre el Sistema mundial de determinación de posición (GPS) Navstar incluida en el Anexo 2; 4) actualización de la información relativa a Galileo incluida en el Anexo 3; 5) actualizaciones a la información sobre el QZSS incluida en el Anexo 4; y 6)</w:t>
      </w:r>
      <w:r w:rsidR="00DE2D24">
        <w:rPr>
          <w:sz w:val="24"/>
          <w:szCs w:val="24"/>
          <w:lang w:val="es-ES"/>
        </w:rPr>
        <w:t> </w:t>
      </w:r>
      <w:r w:rsidRPr="00DE2D24">
        <w:rPr>
          <w:sz w:val="24"/>
          <w:szCs w:val="24"/>
          <w:lang w:val="es-ES"/>
        </w:rPr>
        <w:t>actualizaciones de la información relativa al IRNSS y a la GAGAN incluida en el Anexo 10, a fin de poner a disposición los detalles más recientes de los sistemas. Por otra parte, en todos los casos en que se utilizó la palabra «triangulación», ésta fue sustituida por el término «trilateración», que resulta más apropiado.</w:t>
      </w:r>
    </w:p>
    <w:p w:rsidR="00B64675" w:rsidRPr="00B373FB" w:rsidRDefault="00B64675" w:rsidP="00DE2D24">
      <w:pPr>
        <w:pStyle w:val="Normalaftertitle"/>
        <w:pageBreakBefore/>
        <w:tabs>
          <w:tab w:val="right" w:pos="9639"/>
        </w:tabs>
        <w:rPr>
          <w:rFonts w:asciiTheme="minorHAnsi" w:hAnsiTheme="minorHAnsi" w:cstheme="minorHAnsi"/>
          <w:sz w:val="24"/>
          <w:szCs w:val="24"/>
          <w:lang w:val="es-ES"/>
        </w:rPr>
      </w:pPr>
      <w:r w:rsidRPr="00B373FB">
        <w:rPr>
          <w:rFonts w:asciiTheme="minorHAnsi" w:hAnsiTheme="minorHAnsi" w:cstheme="minorHAnsi"/>
          <w:sz w:val="24"/>
          <w:szCs w:val="24"/>
          <w:u w:val="single"/>
          <w:lang w:val="es-ES"/>
        </w:rPr>
        <w:lastRenderedPageBreak/>
        <w:t>Proyecto de revisión de la Recomendación UIT-R M.1850-1</w:t>
      </w:r>
      <w:r w:rsidRPr="00B373FB">
        <w:rPr>
          <w:rFonts w:asciiTheme="minorHAnsi" w:hAnsiTheme="minorHAnsi" w:cstheme="minorHAnsi"/>
          <w:sz w:val="24"/>
          <w:szCs w:val="24"/>
          <w:lang w:val="es-ES"/>
        </w:rPr>
        <w:tab/>
        <w:t>Doc. 4/BL/7</w:t>
      </w:r>
    </w:p>
    <w:p w:rsidR="00B64675" w:rsidRPr="006F7526" w:rsidRDefault="00B64675" w:rsidP="005C420B">
      <w:pPr>
        <w:pStyle w:val="Rectitle"/>
        <w:rPr>
          <w:lang w:val="es-ES"/>
        </w:rPr>
      </w:pPr>
      <w:r w:rsidRPr="006F7526">
        <w:rPr>
          <w:lang w:val="es-ES"/>
        </w:rPr>
        <w:t>Especificaciones detalladas de las interfaces radioeléctricas de la componente de satélite de las telecomunicaciones móviles internacionales (IMT-2000)</w:t>
      </w:r>
    </w:p>
    <w:p w:rsidR="00B64675" w:rsidRPr="00DE2D24" w:rsidRDefault="00B64675" w:rsidP="005C420B">
      <w:pPr>
        <w:pStyle w:val="Normalaftertitle"/>
        <w:rPr>
          <w:rFonts w:asciiTheme="minorHAnsi" w:hAnsiTheme="minorHAnsi" w:cstheme="minorHAnsi"/>
          <w:sz w:val="24"/>
          <w:szCs w:val="24"/>
          <w:lang w:val="es-ES"/>
        </w:rPr>
      </w:pPr>
      <w:r w:rsidRPr="00DE2D24">
        <w:rPr>
          <w:rFonts w:asciiTheme="minorHAnsi" w:hAnsiTheme="minorHAnsi" w:cstheme="minorHAnsi"/>
          <w:sz w:val="24"/>
          <w:szCs w:val="24"/>
          <w:lang w:val="es-ES"/>
        </w:rPr>
        <w:t xml:space="preserve">En </w:t>
      </w:r>
      <w:r w:rsidRPr="00DE2D24">
        <w:rPr>
          <w:sz w:val="24"/>
          <w:szCs w:val="24"/>
          <w:lang w:val="es-ES"/>
        </w:rPr>
        <w:t>esta</w:t>
      </w:r>
      <w:r w:rsidRPr="00DE2D24">
        <w:rPr>
          <w:rFonts w:asciiTheme="minorHAnsi" w:hAnsiTheme="minorHAnsi" w:cstheme="minorHAnsi"/>
          <w:sz w:val="24"/>
          <w:szCs w:val="24"/>
          <w:lang w:val="es-ES"/>
        </w:rPr>
        <w:t xml:space="preserve"> Recomendación se definen las especificaciones de la interfaz radioeléctrica de satélite de las IMT</w:t>
      </w:r>
      <w:r w:rsidR="005C420B" w:rsidRPr="00DE2D24">
        <w:rPr>
          <w:rFonts w:asciiTheme="minorHAnsi" w:hAnsiTheme="minorHAnsi" w:cstheme="minorHAnsi"/>
          <w:sz w:val="24"/>
          <w:szCs w:val="24"/>
          <w:lang w:val="es-ES"/>
        </w:rPr>
        <w:noBreakHyphen/>
      </w:r>
      <w:r w:rsidRPr="00DE2D24">
        <w:rPr>
          <w:rFonts w:asciiTheme="minorHAnsi" w:hAnsiTheme="minorHAnsi" w:cstheme="minorHAnsi"/>
          <w:sz w:val="24"/>
          <w:szCs w:val="24"/>
          <w:lang w:val="es-ES"/>
        </w:rPr>
        <w:t>2000, basadas originalmente en las características clave identificadas en los resultados de actividades desarrolladas fuera de la UIT. La interfaz radioeléctrica de satélite para los sistemas móviles por satélite de tercera generación se ha seguido desarrollando con gran rapidez. La última versión fue publicada por el ETSI en diciembre de 2012. La presente revisión actualiza la sección 4.3.7 (Especificaciones de la interfaz radioeléctrica H) para que la Recomendación UIT</w:t>
      </w:r>
      <w:r w:rsidRPr="00DE2D24">
        <w:rPr>
          <w:rFonts w:asciiTheme="minorHAnsi" w:hAnsiTheme="minorHAnsi" w:cstheme="minorHAnsi"/>
          <w:sz w:val="24"/>
          <w:szCs w:val="24"/>
          <w:lang w:val="es-ES"/>
        </w:rPr>
        <w:noBreakHyphen/>
        <w:t>R M.1850 se ajuste a las especificaciones de Geo-Mobile-Radio-1 (GMR-1) actualmente en vigor. Con esta notificación no se requiere un formulario de autoevaluación, dado que ninguno de los cambios afecta a las respuestas al formulario presentado con arreglo a la versión actual de la Recomendación.</w:t>
      </w:r>
    </w:p>
    <w:p w:rsidR="00B64675" w:rsidRPr="00DE2D24" w:rsidRDefault="00B64675" w:rsidP="00DE2D24">
      <w:pPr>
        <w:rPr>
          <w:sz w:val="24"/>
          <w:szCs w:val="24"/>
          <w:lang w:val="es-ES"/>
        </w:rPr>
      </w:pPr>
      <w:r w:rsidRPr="00DE2D24">
        <w:rPr>
          <w:sz w:val="24"/>
          <w:szCs w:val="24"/>
          <w:lang w:val="es-ES"/>
        </w:rPr>
        <w:t>Las actualizaciones incluyen dos nuevas subsecciones y un texto ampliado que describe las características clave de las nuevas versiones así como figuras y gráficos actualizados para describir mejor la norma actual. Dichas modificaciones abarcan las cuestiones de la implementación eficaz de la multidistribución, la cobertura flexible del haz, nuevas variantes del PDTCH, y la implementación de los canales de control. Se actualizan en todo el texto las referencias a documentos del ETSI. También se han introducido cambios editoriales menores.</w:t>
      </w:r>
    </w:p>
    <w:p w:rsidR="00B64675" w:rsidRDefault="00B64675" w:rsidP="00B64675">
      <w:pPr>
        <w:tabs>
          <w:tab w:val="left" w:pos="8080"/>
        </w:tabs>
        <w:rPr>
          <w:rFonts w:asciiTheme="minorHAnsi" w:hAnsiTheme="minorHAnsi" w:cstheme="minorHAnsi"/>
          <w:lang w:val="es-ES"/>
        </w:rPr>
      </w:pPr>
    </w:p>
    <w:p w:rsidR="00B64675" w:rsidRDefault="00B64675" w:rsidP="00B64675">
      <w:pPr>
        <w:jc w:val="center"/>
      </w:pPr>
      <w:r>
        <w:t>______________</w:t>
      </w:r>
    </w:p>
    <w:p w:rsidR="00B64675" w:rsidRPr="006F7526" w:rsidRDefault="00B64675" w:rsidP="00B64675">
      <w:pPr>
        <w:tabs>
          <w:tab w:val="left" w:pos="8080"/>
        </w:tabs>
        <w:rPr>
          <w:rFonts w:asciiTheme="minorHAnsi" w:hAnsiTheme="minorHAnsi" w:cstheme="minorHAnsi"/>
          <w:lang w:val="es-ES"/>
        </w:rPr>
      </w:pPr>
    </w:p>
    <w:p w:rsidR="00AC32B1" w:rsidRPr="00BC3784" w:rsidRDefault="00AC32B1" w:rsidP="003E08C2"/>
    <w:sectPr w:rsidR="00AC32B1" w:rsidRPr="00BC3784"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Tel</w:t>
    </w:r>
    <w:r w:rsidR="002501B6">
      <w:rPr>
        <w:sz w:val="18"/>
        <w:szCs w:val="18"/>
      </w:rPr>
      <w:t>.</w:t>
    </w:r>
    <w:r w:rsidRPr="00F42C8C">
      <w:rPr>
        <w:sz w:val="18"/>
        <w:szCs w:val="18"/>
      </w:rPr>
      <w:t xml:space="preserve">: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57EEB" w:rsidRDefault="006B0CFB" w:rsidP="00557EEB">
    <w:pPr>
      <w:pStyle w:val="Header"/>
      <w:jc w:val="center"/>
      <w:rPr>
        <w:sz w:val="18"/>
        <w:szCs w:val="18"/>
      </w:rPr>
    </w:pPr>
    <w:r>
      <w:rPr>
        <w:rStyle w:val="PageNumber"/>
        <w:sz w:val="18"/>
        <w:szCs w:val="18"/>
      </w:rPr>
      <w:t xml:space="preserve">- </w:t>
    </w:r>
    <w:r w:rsidRPr="005E65C3">
      <w:rPr>
        <w:rStyle w:val="PageNumber"/>
        <w:sz w:val="18"/>
        <w:szCs w:val="18"/>
      </w:rPr>
      <w:fldChar w:fldCharType="begin"/>
    </w:r>
    <w:r w:rsidRPr="005E65C3">
      <w:rPr>
        <w:rStyle w:val="PageNumber"/>
        <w:sz w:val="18"/>
        <w:szCs w:val="18"/>
      </w:rPr>
      <w:instrText xml:space="preserve"> PAGE </w:instrText>
    </w:r>
    <w:r w:rsidRPr="005E65C3">
      <w:rPr>
        <w:rStyle w:val="PageNumber"/>
        <w:sz w:val="18"/>
        <w:szCs w:val="18"/>
      </w:rPr>
      <w:fldChar w:fldCharType="separate"/>
    </w:r>
    <w:r w:rsidR="008B438C">
      <w:rPr>
        <w:rStyle w:val="PageNumber"/>
        <w:noProof/>
        <w:sz w:val="18"/>
        <w:szCs w:val="18"/>
      </w:rPr>
      <w:t>4</w:t>
    </w:r>
    <w:r w:rsidRPr="005E65C3">
      <w:rPr>
        <w:rStyle w:val="PageNumber"/>
        <w:sz w:val="18"/>
        <w:szCs w:val="18"/>
      </w:rPr>
      <w:fldChar w:fldCharType="end"/>
    </w:r>
    <w:r>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557EEB" w:rsidRDefault="006B0CFB" w:rsidP="00557EEB">
    <w:pPr>
      <w:pStyle w:val="Header"/>
      <w:jc w:val="center"/>
      <w:rPr>
        <w:sz w:val="18"/>
        <w:szCs w:val="18"/>
      </w:rPr>
    </w:pPr>
    <w:r>
      <w:rPr>
        <w:rStyle w:val="PageNumber"/>
        <w:sz w:val="18"/>
        <w:szCs w:val="18"/>
      </w:rPr>
      <w:t xml:space="preserve">- </w:t>
    </w:r>
    <w:r w:rsidRPr="005E65C3">
      <w:rPr>
        <w:rStyle w:val="PageNumber"/>
        <w:sz w:val="18"/>
        <w:szCs w:val="18"/>
      </w:rPr>
      <w:fldChar w:fldCharType="begin"/>
    </w:r>
    <w:r w:rsidRPr="005E65C3">
      <w:rPr>
        <w:rStyle w:val="PageNumber"/>
        <w:sz w:val="18"/>
        <w:szCs w:val="18"/>
      </w:rPr>
      <w:instrText xml:space="preserve"> PAGE </w:instrText>
    </w:r>
    <w:r w:rsidRPr="005E65C3">
      <w:rPr>
        <w:rStyle w:val="PageNumber"/>
        <w:sz w:val="18"/>
        <w:szCs w:val="18"/>
      </w:rPr>
      <w:fldChar w:fldCharType="separate"/>
    </w:r>
    <w:r w:rsidR="008B438C">
      <w:rPr>
        <w:rStyle w:val="PageNumber"/>
        <w:noProof/>
        <w:sz w:val="18"/>
        <w:szCs w:val="18"/>
      </w:rPr>
      <w:t>3</w:t>
    </w:r>
    <w:r w:rsidRPr="005E65C3">
      <w:rPr>
        <w:rStyle w:val="PageNumber"/>
        <w:sz w:val="18"/>
        <w:szCs w:val="18"/>
      </w:rPr>
      <w:fldChar w:fldCharType="end"/>
    </w:r>
    <w:r>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C0420C2"/>
    <w:lvl w:ilvl="0">
      <w:start w:val="1"/>
      <w:numFmt w:val="decimal"/>
      <w:lvlText w:val="%1."/>
      <w:lvlJc w:val="left"/>
      <w:pPr>
        <w:tabs>
          <w:tab w:val="num" w:pos="1492"/>
        </w:tabs>
        <w:ind w:left="1492" w:hanging="360"/>
      </w:pPr>
    </w:lvl>
  </w:abstractNum>
  <w:abstractNum w:abstractNumId="1">
    <w:nsid w:val="FFFFFF7D"/>
    <w:multiLevelType w:val="singleLevel"/>
    <w:tmpl w:val="2C46EFC8"/>
    <w:lvl w:ilvl="0">
      <w:start w:val="1"/>
      <w:numFmt w:val="decimal"/>
      <w:lvlText w:val="%1."/>
      <w:lvlJc w:val="left"/>
      <w:pPr>
        <w:tabs>
          <w:tab w:val="num" w:pos="1209"/>
        </w:tabs>
        <w:ind w:left="1209" w:hanging="360"/>
      </w:pPr>
    </w:lvl>
  </w:abstractNum>
  <w:abstractNum w:abstractNumId="2">
    <w:nsid w:val="FFFFFF7E"/>
    <w:multiLevelType w:val="singleLevel"/>
    <w:tmpl w:val="42540B9E"/>
    <w:lvl w:ilvl="0">
      <w:start w:val="1"/>
      <w:numFmt w:val="decimal"/>
      <w:lvlText w:val="%1."/>
      <w:lvlJc w:val="left"/>
      <w:pPr>
        <w:tabs>
          <w:tab w:val="num" w:pos="926"/>
        </w:tabs>
        <w:ind w:left="926" w:hanging="360"/>
      </w:pPr>
    </w:lvl>
  </w:abstractNum>
  <w:abstractNum w:abstractNumId="3">
    <w:nsid w:val="FFFFFF7F"/>
    <w:multiLevelType w:val="singleLevel"/>
    <w:tmpl w:val="AFE6BE3A"/>
    <w:lvl w:ilvl="0">
      <w:start w:val="1"/>
      <w:numFmt w:val="decimal"/>
      <w:lvlText w:val="%1."/>
      <w:lvlJc w:val="left"/>
      <w:pPr>
        <w:tabs>
          <w:tab w:val="num" w:pos="643"/>
        </w:tabs>
        <w:ind w:left="643" w:hanging="360"/>
      </w:pPr>
    </w:lvl>
  </w:abstractNum>
  <w:abstractNum w:abstractNumId="4">
    <w:nsid w:val="FFFFFF80"/>
    <w:multiLevelType w:val="singleLevel"/>
    <w:tmpl w:val="25DA8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32A6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712B7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023B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9C623A"/>
    <w:lvl w:ilvl="0">
      <w:start w:val="1"/>
      <w:numFmt w:val="decimal"/>
      <w:lvlText w:val="%1."/>
      <w:lvlJc w:val="left"/>
      <w:pPr>
        <w:tabs>
          <w:tab w:val="num" w:pos="360"/>
        </w:tabs>
        <w:ind w:left="360" w:hanging="360"/>
      </w:pPr>
    </w:lvl>
  </w:abstractNum>
  <w:abstractNum w:abstractNumId="9">
    <w:nsid w:val="FFFFFF89"/>
    <w:multiLevelType w:val="singleLevel"/>
    <w:tmpl w:val="28E4108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444"/>
    <w:rsid w:val="00086D03"/>
    <w:rsid w:val="000A7051"/>
    <w:rsid w:val="000C03C7"/>
    <w:rsid w:val="000D786F"/>
    <w:rsid w:val="000E2185"/>
    <w:rsid w:val="000E3DEE"/>
    <w:rsid w:val="00103C76"/>
    <w:rsid w:val="0011265F"/>
    <w:rsid w:val="00145AA2"/>
    <w:rsid w:val="0016308F"/>
    <w:rsid w:val="00193FF1"/>
    <w:rsid w:val="00196710"/>
    <w:rsid w:val="00197324"/>
    <w:rsid w:val="001B1CE8"/>
    <w:rsid w:val="001C2093"/>
    <w:rsid w:val="001D7070"/>
    <w:rsid w:val="001F5A49"/>
    <w:rsid w:val="00200936"/>
    <w:rsid w:val="00201097"/>
    <w:rsid w:val="00201B6E"/>
    <w:rsid w:val="002240B2"/>
    <w:rsid w:val="00235A29"/>
    <w:rsid w:val="002501B6"/>
    <w:rsid w:val="00251766"/>
    <w:rsid w:val="002861E6"/>
    <w:rsid w:val="002A2700"/>
    <w:rsid w:val="002D6688"/>
    <w:rsid w:val="002E1472"/>
    <w:rsid w:val="002E21B0"/>
    <w:rsid w:val="002F0890"/>
    <w:rsid w:val="003370B8"/>
    <w:rsid w:val="003666FF"/>
    <w:rsid w:val="003741EE"/>
    <w:rsid w:val="003A4086"/>
    <w:rsid w:val="003B2BDA"/>
    <w:rsid w:val="003B55EC"/>
    <w:rsid w:val="003C4471"/>
    <w:rsid w:val="003E08C2"/>
    <w:rsid w:val="003E141C"/>
    <w:rsid w:val="003E504F"/>
    <w:rsid w:val="004326DB"/>
    <w:rsid w:val="0043682E"/>
    <w:rsid w:val="00455FBC"/>
    <w:rsid w:val="004815EB"/>
    <w:rsid w:val="00496920"/>
    <w:rsid w:val="004B7C9A"/>
    <w:rsid w:val="004E0DC4"/>
    <w:rsid w:val="004E0FB5"/>
    <w:rsid w:val="004E43BB"/>
    <w:rsid w:val="004F178E"/>
    <w:rsid w:val="004F6466"/>
    <w:rsid w:val="004F69BE"/>
    <w:rsid w:val="00505309"/>
    <w:rsid w:val="0050789B"/>
    <w:rsid w:val="00515771"/>
    <w:rsid w:val="00542A47"/>
    <w:rsid w:val="00543DF8"/>
    <w:rsid w:val="00546101"/>
    <w:rsid w:val="00553DD7"/>
    <w:rsid w:val="00557EEB"/>
    <w:rsid w:val="0057469A"/>
    <w:rsid w:val="00580814"/>
    <w:rsid w:val="005A03A3"/>
    <w:rsid w:val="005B214C"/>
    <w:rsid w:val="005C420B"/>
    <w:rsid w:val="00602D53"/>
    <w:rsid w:val="00651777"/>
    <w:rsid w:val="00674F4F"/>
    <w:rsid w:val="006B0590"/>
    <w:rsid w:val="006B0CFB"/>
    <w:rsid w:val="006B49DA"/>
    <w:rsid w:val="006C04E0"/>
    <w:rsid w:val="00700636"/>
    <w:rsid w:val="00707216"/>
    <w:rsid w:val="00710D08"/>
    <w:rsid w:val="007234B1"/>
    <w:rsid w:val="00730B9A"/>
    <w:rsid w:val="00734318"/>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7694B"/>
    <w:rsid w:val="008B438C"/>
    <w:rsid w:val="008E03C2"/>
    <w:rsid w:val="008F4F21"/>
    <w:rsid w:val="00904D4A"/>
    <w:rsid w:val="009151BA"/>
    <w:rsid w:val="009277BC"/>
    <w:rsid w:val="00927D57"/>
    <w:rsid w:val="00941D23"/>
    <w:rsid w:val="0095010C"/>
    <w:rsid w:val="00963D9D"/>
    <w:rsid w:val="0096615E"/>
    <w:rsid w:val="00976AAD"/>
    <w:rsid w:val="00981B54"/>
    <w:rsid w:val="009842C3"/>
    <w:rsid w:val="009A6BB6"/>
    <w:rsid w:val="009B3F43"/>
    <w:rsid w:val="009C161F"/>
    <w:rsid w:val="009E4AEC"/>
    <w:rsid w:val="009E5BD8"/>
    <w:rsid w:val="009E681E"/>
    <w:rsid w:val="00A0138A"/>
    <w:rsid w:val="00A34D6F"/>
    <w:rsid w:val="00A41F91"/>
    <w:rsid w:val="00A963DF"/>
    <w:rsid w:val="00AC080A"/>
    <w:rsid w:val="00AC32B1"/>
    <w:rsid w:val="00AC3896"/>
    <w:rsid w:val="00AE6CFA"/>
    <w:rsid w:val="00AF3325"/>
    <w:rsid w:val="00B34CF9"/>
    <w:rsid w:val="00B373FB"/>
    <w:rsid w:val="00B64675"/>
    <w:rsid w:val="00B67004"/>
    <w:rsid w:val="00B90C45"/>
    <w:rsid w:val="00B933BE"/>
    <w:rsid w:val="00BA6804"/>
    <w:rsid w:val="00BB4069"/>
    <w:rsid w:val="00BC3784"/>
    <w:rsid w:val="00BC40F2"/>
    <w:rsid w:val="00BD3DF2"/>
    <w:rsid w:val="00BD7E5E"/>
    <w:rsid w:val="00BE6574"/>
    <w:rsid w:val="00BE79D9"/>
    <w:rsid w:val="00C57E2C"/>
    <w:rsid w:val="00C608B7"/>
    <w:rsid w:val="00C66F24"/>
    <w:rsid w:val="00C764BA"/>
    <w:rsid w:val="00C9291E"/>
    <w:rsid w:val="00CA3F44"/>
    <w:rsid w:val="00CA4E58"/>
    <w:rsid w:val="00CA5FE6"/>
    <w:rsid w:val="00CB3771"/>
    <w:rsid w:val="00CB5153"/>
    <w:rsid w:val="00CC0DA0"/>
    <w:rsid w:val="00CD0E47"/>
    <w:rsid w:val="00CF6752"/>
    <w:rsid w:val="00D103FF"/>
    <w:rsid w:val="00D10BA0"/>
    <w:rsid w:val="00D2339B"/>
    <w:rsid w:val="00D24EB5"/>
    <w:rsid w:val="00D41571"/>
    <w:rsid w:val="00D416A0"/>
    <w:rsid w:val="00D47672"/>
    <w:rsid w:val="00D5123C"/>
    <w:rsid w:val="00D51C9E"/>
    <w:rsid w:val="00D55560"/>
    <w:rsid w:val="00D61C5A"/>
    <w:rsid w:val="00DB3A18"/>
    <w:rsid w:val="00DE2D24"/>
    <w:rsid w:val="00DE66A5"/>
    <w:rsid w:val="00DF2B50"/>
    <w:rsid w:val="00E003F5"/>
    <w:rsid w:val="00E04C86"/>
    <w:rsid w:val="00E20F30"/>
    <w:rsid w:val="00E27BBA"/>
    <w:rsid w:val="00E34CD1"/>
    <w:rsid w:val="00E35E8F"/>
    <w:rsid w:val="00E438E8"/>
    <w:rsid w:val="00E520E2"/>
    <w:rsid w:val="00E64254"/>
    <w:rsid w:val="00E77C6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38EAAA26-6C5D-4C4A-98F5-C95B289C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1C2093"/>
    <w:pPr>
      <w:keepNext/>
      <w:keepLines/>
      <w:spacing w:before="480" w:line="240" w:lineRule="auto"/>
      <w:jc w:val="center"/>
    </w:pPr>
    <w:rPr>
      <w:rFonts w:asciiTheme="minorHAnsi" w:hAnsiTheme="minorHAnsi" w:cs="Times New Roman"/>
      <w:b/>
      <w:sz w:val="28"/>
      <w:szCs w:val="20"/>
    </w:rPr>
  </w:style>
  <w:style w:type="paragraph" w:customStyle="1" w:styleId="QuestionNoBR">
    <w:name w:val="Question_No_BR"/>
    <w:basedOn w:val="Normal"/>
    <w:next w:val="Questiontitle"/>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character" w:styleId="FollowedHyperlink">
    <w:name w:val="FollowedHyperlink"/>
    <w:basedOn w:val="DefaultParagraphFont"/>
    <w:semiHidden/>
    <w:unhideWhenUsed/>
    <w:rsid w:val="001C2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RE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79B2-4C25-403B-A83F-D0BFFC2A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29</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ITU</cp:lastModifiedBy>
  <cp:revision>20</cp:revision>
  <cp:lastPrinted>2014-07-28T09:55:00Z</cp:lastPrinted>
  <dcterms:created xsi:type="dcterms:W3CDTF">2014-07-21T13:30:00Z</dcterms:created>
  <dcterms:modified xsi:type="dcterms:W3CDTF">2014-07-28T13:53:00Z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