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A15B3" w:rsidRPr="007B3DB1" w:rsidTr="00EA15B3">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A53CA9" w:rsidTr="00034340">
        <w:tc>
          <w:tcPr>
            <w:tcW w:w="7054" w:type="dxa"/>
            <w:gridSpan w:val="2"/>
            <w:shd w:val="clear" w:color="auto" w:fill="auto"/>
          </w:tcPr>
          <w:p w:rsidR="00C76D7F" w:rsidRPr="00A53CA9" w:rsidRDefault="00D21694" w:rsidP="00E17344">
            <w:pPr>
              <w:spacing w:before="0"/>
              <w:jc w:val="left"/>
              <w:rPr>
                <w:sz w:val="24"/>
                <w:szCs w:val="24"/>
                <w:lang w:val="fr-CH"/>
              </w:rPr>
            </w:pPr>
            <w:r w:rsidRPr="00A53CA9">
              <w:rPr>
                <w:sz w:val="24"/>
                <w:szCs w:val="24"/>
                <w:lang w:val="fr-CH"/>
              </w:rPr>
              <w:t xml:space="preserve">Administrative </w:t>
            </w:r>
            <w:r w:rsidR="008B35A3" w:rsidRPr="00A53CA9">
              <w:rPr>
                <w:sz w:val="24"/>
                <w:szCs w:val="24"/>
                <w:lang w:val="fr-CH"/>
              </w:rPr>
              <w:t>C</w:t>
            </w:r>
            <w:r w:rsidR="00C76D7F" w:rsidRPr="00A53CA9">
              <w:rPr>
                <w:sz w:val="24"/>
                <w:szCs w:val="24"/>
                <w:lang w:val="fr-CH"/>
              </w:rPr>
              <w:t>ircular</w:t>
            </w:r>
          </w:p>
          <w:p w:rsidR="00651777" w:rsidRPr="00A53CA9" w:rsidRDefault="00E17344" w:rsidP="008F0245">
            <w:pPr>
              <w:spacing w:before="0"/>
              <w:jc w:val="left"/>
              <w:rPr>
                <w:b/>
                <w:bCs/>
                <w:sz w:val="24"/>
                <w:szCs w:val="24"/>
                <w:lang w:val="fr-CH"/>
              </w:rPr>
            </w:pPr>
            <w:r w:rsidRPr="00A53CA9">
              <w:rPr>
                <w:b/>
                <w:bCs/>
                <w:sz w:val="24"/>
                <w:szCs w:val="24"/>
                <w:lang w:val="fr-CH"/>
              </w:rPr>
              <w:t>CA</w:t>
            </w:r>
            <w:r w:rsidR="004A7970" w:rsidRPr="00A53CA9">
              <w:rPr>
                <w:b/>
                <w:bCs/>
                <w:sz w:val="24"/>
                <w:szCs w:val="24"/>
                <w:lang w:val="fr-CH"/>
              </w:rPr>
              <w:t>CE</w:t>
            </w:r>
            <w:r w:rsidR="003836D4" w:rsidRPr="00A53CA9">
              <w:rPr>
                <w:b/>
                <w:bCs/>
                <w:sz w:val="24"/>
                <w:szCs w:val="24"/>
                <w:lang w:val="fr-CH"/>
              </w:rPr>
              <w:t>/</w:t>
            </w:r>
            <w:r w:rsidR="008F0245" w:rsidRPr="00A53CA9">
              <w:rPr>
                <w:b/>
                <w:bCs/>
                <w:sz w:val="24"/>
                <w:szCs w:val="24"/>
                <w:lang w:val="fr-CH"/>
              </w:rPr>
              <w:t>684</w:t>
            </w:r>
          </w:p>
        </w:tc>
        <w:tc>
          <w:tcPr>
            <w:tcW w:w="2835" w:type="dxa"/>
            <w:shd w:val="clear" w:color="auto" w:fill="auto"/>
          </w:tcPr>
          <w:p w:rsidR="00651777" w:rsidRPr="00A53CA9" w:rsidRDefault="008F0245" w:rsidP="00034340">
            <w:pPr>
              <w:spacing w:before="0"/>
              <w:jc w:val="right"/>
              <w:rPr>
                <w:sz w:val="24"/>
                <w:szCs w:val="24"/>
                <w:lang w:val="en-GB"/>
              </w:rPr>
            </w:pPr>
            <w:r w:rsidRPr="00A53CA9">
              <w:rPr>
                <w:sz w:val="24"/>
                <w:szCs w:val="24"/>
                <w:lang w:val="en-GB"/>
              </w:rPr>
              <w:t>29 July 2014</w:t>
            </w:r>
          </w:p>
        </w:tc>
      </w:tr>
      <w:tr w:rsidR="0037309C" w:rsidRPr="00A53CA9" w:rsidTr="004D02EC">
        <w:tc>
          <w:tcPr>
            <w:tcW w:w="9889" w:type="dxa"/>
            <w:gridSpan w:val="3"/>
            <w:shd w:val="clear" w:color="auto" w:fill="auto"/>
          </w:tcPr>
          <w:p w:rsidR="0037309C" w:rsidRPr="00A53CA9" w:rsidRDefault="0037309C" w:rsidP="006047E5">
            <w:pPr>
              <w:spacing w:before="0"/>
              <w:jc w:val="left"/>
              <w:rPr>
                <w:rFonts w:cs="Arial"/>
                <w:sz w:val="24"/>
                <w:szCs w:val="24"/>
                <w:lang w:val="en-GB"/>
              </w:rPr>
            </w:pPr>
          </w:p>
        </w:tc>
      </w:tr>
      <w:tr w:rsidR="0037309C" w:rsidRPr="00A53CA9" w:rsidTr="00D374CD">
        <w:tc>
          <w:tcPr>
            <w:tcW w:w="9889" w:type="dxa"/>
            <w:gridSpan w:val="3"/>
            <w:shd w:val="clear" w:color="auto" w:fill="auto"/>
          </w:tcPr>
          <w:p w:rsidR="0037309C" w:rsidRPr="00A53CA9" w:rsidRDefault="0037309C" w:rsidP="00D374CD">
            <w:pPr>
              <w:spacing w:before="0"/>
              <w:jc w:val="left"/>
              <w:rPr>
                <w:sz w:val="24"/>
                <w:szCs w:val="24"/>
              </w:rPr>
            </w:pPr>
          </w:p>
        </w:tc>
      </w:tr>
      <w:tr w:rsidR="0037309C" w:rsidRPr="00A53CA9" w:rsidTr="004D02EC">
        <w:tc>
          <w:tcPr>
            <w:tcW w:w="9889" w:type="dxa"/>
            <w:gridSpan w:val="3"/>
            <w:shd w:val="clear" w:color="auto" w:fill="auto"/>
          </w:tcPr>
          <w:p w:rsidR="00D21694" w:rsidRPr="00A53CA9" w:rsidRDefault="004A7970">
            <w:pPr>
              <w:spacing w:before="0"/>
              <w:jc w:val="left"/>
              <w:rPr>
                <w:b/>
                <w:bCs/>
                <w:sz w:val="24"/>
                <w:szCs w:val="24"/>
              </w:rPr>
            </w:pPr>
            <w:r w:rsidRPr="00A53CA9">
              <w:rPr>
                <w:b/>
                <w:bCs/>
                <w:sz w:val="24"/>
                <w:szCs w:val="24"/>
              </w:rPr>
              <w:t>To Administrations of Member States of the ITU, Radiocommunication Sector Members</w:t>
            </w:r>
            <w:r w:rsidR="00BF5F50" w:rsidRPr="00A53CA9">
              <w:rPr>
                <w:b/>
                <w:bCs/>
                <w:sz w:val="24"/>
                <w:szCs w:val="24"/>
              </w:rPr>
              <w:t xml:space="preserve"> </w:t>
            </w:r>
            <w:r w:rsidR="00DA16A9" w:rsidRPr="00A53CA9">
              <w:rPr>
                <w:b/>
                <w:bCs/>
                <w:sz w:val="24"/>
                <w:szCs w:val="24"/>
              </w:rPr>
              <w:t>and</w:t>
            </w:r>
            <w:r w:rsidRPr="00A53CA9">
              <w:rPr>
                <w:b/>
                <w:bCs/>
                <w:sz w:val="24"/>
                <w:szCs w:val="24"/>
              </w:rPr>
              <w:br/>
              <w:t xml:space="preserve">ITU-R Associates participating in the work of Radiocommunication Study Group </w:t>
            </w:r>
            <w:r w:rsidR="008F0245" w:rsidRPr="00A53CA9">
              <w:rPr>
                <w:b/>
                <w:bCs/>
                <w:sz w:val="24"/>
                <w:szCs w:val="24"/>
              </w:rPr>
              <w:t>4</w:t>
            </w:r>
          </w:p>
        </w:tc>
      </w:tr>
      <w:tr w:rsidR="0037309C" w:rsidRPr="00A53CA9" w:rsidTr="004D02EC">
        <w:tc>
          <w:tcPr>
            <w:tcW w:w="9889" w:type="dxa"/>
            <w:gridSpan w:val="3"/>
            <w:shd w:val="clear" w:color="auto" w:fill="auto"/>
          </w:tcPr>
          <w:p w:rsidR="0037309C" w:rsidRPr="00A53CA9" w:rsidRDefault="0037309C" w:rsidP="006047E5">
            <w:pPr>
              <w:spacing w:before="0"/>
              <w:jc w:val="left"/>
              <w:rPr>
                <w:sz w:val="24"/>
                <w:szCs w:val="24"/>
              </w:rPr>
            </w:pPr>
          </w:p>
        </w:tc>
      </w:tr>
      <w:tr w:rsidR="0037309C" w:rsidRPr="00A53CA9" w:rsidTr="004D02EC">
        <w:tc>
          <w:tcPr>
            <w:tcW w:w="9889" w:type="dxa"/>
            <w:gridSpan w:val="3"/>
            <w:shd w:val="clear" w:color="auto" w:fill="auto"/>
          </w:tcPr>
          <w:p w:rsidR="0037309C" w:rsidRPr="00A53CA9" w:rsidRDefault="0037309C" w:rsidP="006047E5">
            <w:pPr>
              <w:spacing w:before="0"/>
              <w:jc w:val="left"/>
              <w:rPr>
                <w:sz w:val="24"/>
                <w:szCs w:val="24"/>
              </w:rPr>
            </w:pPr>
          </w:p>
        </w:tc>
      </w:tr>
      <w:tr w:rsidR="00B4054B" w:rsidRPr="00A53CA9" w:rsidTr="0037309C">
        <w:tc>
          <w:tcPr>
            <w:tcW w:w="1526" w:type="dxa"/>
            <w:shd w:val="clear" w:color="auto" w:fill="auto"/>
          </w:tcPr>
          <w:p w:rsidR="00B4054B" w:rsidRPr="00A53CA9" w:rsidRDefault="00B4054B" w:rsidP="006A0053">
            <w:pPr>
              <w:spacing w:before="0"/>
              <w:jc w:val="left"/>
              <w:rPr>
                <w:sz w:val="24"/>
                <w:szCs w:val="24"/>
                <w:lang w:val="en-GB"/>
              </w:rPr>
            </w:pPr>
            <w:r w:rsidRPr="00A53CA9">
              <w:rPr>
                <w:sz w:val="24"/>
                <w:szCs w:val="24"/>
              </w:rPr>
              <w:t>Subject:</w:t>
            </w:r>
          </w:p>
        </w:tc>
        <w:tc>
          <w:tcPr>
            <w:tcW w:w="8363" w:type="dxa"/>
            <w:gridSpan w:val="2"/>
            <w:vMerge w:val="restart"/>
            <w:shd w:val="clear" w:color="auto" w:fill="auto"/>
          </w:tcPr>
          <w:p w:rsidR="00B4054B" w:rsidRPr="00A53CA9" w:rsidRDefault="004A7970">
            <w:pPr>
              <w:spacing w:before="0"/>
              <w:jc w:val="left"/>
              <w:rPr>
                <w:b/>
                <w:bCs/>
                <w:sz w:val="24"/>
                <w:szCs w:val="24"/>
              </w:rPr>
            </w:pPr>
            <w:r w:rsidRPr="00A53CA9">
              <w:rPr>
                <w:b/>
                <w:bCs/>
                <w:sz w:val="24"/>
                <w:szCs w:val="24"/>
              </w:rPr>
              <w:t xml:space="preserve">Radiocommunication Study Group </w:t>
            </w:r>
            <w:r w:rsidR="008F0245" w:rsidRPr="00A53CA9">
              <w:rPr>
                <w:b/>
                <w:bCs/>
                <w:sz w:val="24"/>
                <w:szCs w:val="24"/>
              </w:rPr>
              <w:t>4 (Satellite services)</w:t>
            </w:r>
          </w:p>
          <w:p w:rsidR="004A7970" w:rsidRPr="00A53CA9" w:rsidRDefault="004A7970">
            <w:pPr>
              <w:keepNext/>
              <w:keepLines/>
              <w:numPr>
                <w:ilvl w:val="0"/>
                <w:numId w:val="2"/>
              </w:numPr>
              <w:tabs>
                <w:tab w:val="clear" w:pos="794"/>
                <w:tab w:val="clear" w:pos="1191"/>
                <w:tab w:val="clear" w:pos="1588"/>
                <w:tab w:val="left" w:pos="1418"/>
              </w:tabs>
              <w:spacing w:before="240" w:after="120" w:line="240" w:lineRule="auto"/>
              <w:ind w:left="317" w:right="-284" w:hanging="317"/>
              <w:jc w:val="left"/>
              <w:rPr>
                <w:rFonts w:asciiTheme="minorHAnsi" w:hAnsiTheme="minorHAnsi" w:cstheme="minorHAnsi"/>
                <w:b/>
                <w:sz w:val="24"/>
                <w:szCs w:val="24"/>
              </w:rPr>
            </w:pPr>
            <w:r w:rsidRPr="00A53CA9">
              <w:rPr>
                <w:rFonts w:asciiTheme="minorHAnsi" w:hAnsiTheme="minorHAnsi" w:cstheme="minorHAnsi"/>
                <w:b/>
                <w:sz w:val="24"/>
                <w:szCs w:val="24"/>
              </w:rPr>
              <w:t xml:space="preserve">Proposed adoption of </w:t>
            </w:r>
            <w:r w:rsidR="008F0245" w:rsidRPr="00A53CA9">
              <w:rPr>
                <w:rFonts w:asciiTheme="minorHAnsi" w:hAnsiTheme="minorHAnsi" w:cstheme="minorHAnsi"/>
                <w:b/>
                <w:sz w:val="24"/>
                <w:szCs w:val="24"/>
              </w:rPr>
              <w:t xml:space="preserve">1 </w:t>
            </w:r>
            <w:r w:rsidRPr="00A53CA9">
              <w:rPr>
                <w:rFonts w:asciiTheme="minorHAnsi" w:hAnsiTheme="minorHAnsi" w:cstheme="minorHAnsi"/>
                <w:b/>
                <w:sz w:val="24"/>
                <w:szCs w:val="24"/>
              </w:rPr>
              <w:t>draft new ITU-R Recommendation and</w:t>
            </w:r>
            <w:r w:rsidR="00BF5F50" w:rsidRPr="00A53CA9">
              <w:rPr>
                <w:rFonts w:asciiTheme="minorHAnsi" w:hAnsiTheme="minorHAnsi" w:cstheme="minorHAnsi"/>
                <w:b/>
                <w:sz w:val="24"/>
                <w:szCs w:val="24"/>
              </w:rPr>
              <w:t xml:space="preserve"> </w:t>
            </w:r>
            <w:r w:rsidR="008F0245" w:rsidRPr="00A53CA9">
              <w:rPr>
                <w:rFonts w:asciiTheme="minorHAnsi" w:hAnsiTheme="minorHAnsi" w:cstheme="minorHAnsi"/>
                <w:b/>
                <w:sz w:val="24"/>
                <w:szCs w:val="24"/>
              </w:rPr>
              <w:t>1</w:t>
            </w:r>
            <w:r w:rsidRPr="00A53CA9">
              <w:rPr>
                <w:rFonts w:asciiTheme="minorHAnsi" w:hAnsiTheme="minorHAnsi" w:cstheme="minorHAnsi"/>
                <w:b/>
                <w:sz w:val="24"/>
                <w:szCs w:val="24"/>
              </w:rPr>
              <w:t xml:space="preserve"> draft</w:t>
            </w:r>
            <w:r w:rsidR="00BF5F50" w:rsidRPr="00A53CA9">
              <w:rPr>
                <w:rFonts w:asciiTheme="minorHAnsi" w:hAnsiTheme="minorHAnsi" w:cstheme="minorHAnsi"/>
                <w:b/>
                <w:sz w:val="24"/>
                <w:szCs w:val="24"/>
              </w:rPr>
              <w:br/>
            </w:r>
            <w:r w:rsidRPr="00A53CA9">
              <w:rPr>
                <w:rFonts w:asciiTheme="minorHAnsi" w:hAnsiTheme="minorHAnsi" w:cstheme="minorHAnsi"/>
                <w:b/>
                <w:sz w:val="24"/>
                <w:szCs w:val="24"/>
              </w:rPr>
              <w:t>revised</w:t>
            </w:r>
            <w:r w:rsidR="00BF5F50" w:rsidRPr="00A53CA9">
              <w:rPr>
                <w:rFonts w:asciiTheme="minorHAnsi" w:hAnsiTheme="minorHAnsi" w:cstheme="minorHAnsi"/>
                <w:b/>
                <w:sz w:val="24"/>
                <w:szCs w:val="24"/>
              </w:rPr>
              <w:t xml:space="preserve"> </w:t>
            </w:r>
            <w:r w:rsidRPr="00A53CA9">
              <w:rPr>
                <w:rFonts w:asciiTheme="minorHAnsi" w:hAnsiTheme="minorHAnsi" w:cstheme="minorHAnsi"/>
                <w:b/>
                <w:sz w:val="24"/>
                <w:szCs w:val="24"/>
              </w:rPr>
              <w:t>ITU-R Recommendation and their simultaneous approval</w:t>
            </w:r>
            <w:r w:rsidR="00BF5F50" w:rsidRPr="00A53CA9">
              <w:rPr>
                <w:rFonts w:asciiTheme="minorHAnsi" w:hAnsiTheme="minorHAnsi" w:cstheme="minorHAnsi"/>
                <w:b/>
                <w:sz w:val="24"/>
                <w:szCs w:val="24"/>
              </w:rPr>
              <w:br/>
            </w:r>
            <w:r w:rsidRPr="00A53CA9">
              <w:rPr>
                <w:rFonts w:asciiTheme="minorHAnsi" w:hAnsiTheme="minorHAnsi" w:cstheme="minorHAnsi"/>
                <w:b/>
                <w:sz w:val="24"/>
                <w:szCs w:val="24"/>
              </w:rPr>
              <w:t>by correspondence</w:t>
            </w:r>
            <w:r w:rsidR="00A45D9A" w:rsidRPr="00A53CA9">
              <w:rPr>
                <w:rFonts w:asciiTheme="minorHAnsi" w:hAnsiTheme="minorHAnsi" w:cstheme="minorHAnsi"/>
                <w:b/>
                <w:sz w:val="24"/>
                <w:szCs w:val="24"/>
              </w:rPr>
              <w:t xml:space="preserve"> </w:t>
            </w:r>
            <w:r w:rsidRPr="00A53CA9">
              <w:rPr>
                <w:rFonts w:asciiTheme="minorHAnsi" w:hAnsiTheme="minorHAnsi" w:cstheme="minorHAnsi"/>
                <w:b/>
                <w:sz w:val="24"/>
                <w:szCs w:val="24"/>
              </w:rPr>
              <w:t>in accordance with § 10.3 of Resolution ITU</w:t>
            </w:r>
            <w:r w:rsidRPr="00A53CA9">
              <w:rPr>
                <w:rFonts w:asciiTheme="minorHAnsi" w:hAnsiTheme="minorHAnsi" w:cstheme="minorHAnsi"/>
                <w:b/>
                <w:sz w:val="24"/>
                <w:szCs w:val="24"/>
              </w:rPr>
              <w:noBreakHyphen/>
              <w:t>R 1-6</w:t>
            </w:r>
            <w:r w:rsidR="00BF5F50" w:rsidRPr="00A53CA9">
              <w:rPr>
                <w:rFonts w:asciiTheme="minorHAnsi" w:hAnsiTheme="minorHAnsi" w:cstheme="minorHAnsi"/>
                <w:b/>
                <w:sz w:val="24"/>
                <w:szCs w:val="24"/>
              </w:rPr>
              <w:br/>
            </w:r>
            <w:r w:rsidRPr="00A53CA9">
              <w:rPr>
                <w:rFonts w:asciiTheme="minorHAnsi" w:hAnsiTheme="minorHAnsi" w:cstheme="minorHAnsi"/>
                <w:b/>
                <w:sz w:val="24"/>
                <w:szCs w:val="24"/>
              </w:rPr>
              <w:t>(Procedure for the simultaneous adoption and approval by correspondence)</w:t>
            </w:r>
          </w:p>
          <w:p w:rsidR="004A7970" w:rsidRPr="00A53CA9" w:rsidRDefault="004A7970">
            <w:pPr>
              <w:pStyle w:val="ListParagraph"/>
              <w:numPr>
                <w:ilvl w:val="0"/>
                <w:numId w:val="2"/>
              </w:numPr>
              <w:tabs>
                <w:tab w:val="clear" w:pos="1191"/>
                <w:tab w:val="clear" w:pos="1588"/>
                <w:tab w:val="clear" w:pos="1985"/>
                <w:tab w:val="left" w:pos="1418"/>
              </w:tabs>
              <w:ind w:left="317" w:hanging="317"/>
              <w:rPr>
                <w:szCs w:val="24"/>
              </w:rPr>
            </w:pPr>
            <w:r w:rsidRPr="00A53CA9">
              <w:rPr>
                <w:rFonts w:asciiTheme="minorHAnsi" w:hAnsiTheme="minorHAnsi" w:cstheme="minorHAnsi"/>
                <w:b/>
                <w:szCs w:val="24"/>
              </w:rPr>
              <w:t xml:space="preserve">Proposed </w:t>
            </w:r>
            <w:r w:rsidR="00090022" w:rsidRPr="00A53CA9">
              <w:rPr>
                <w:rFonts w:asciiTheme="minorHAnsi" w:hAnsiTheme="minorHAnsi" w:cstheme="minorHAnsi"/>
                <w:b/>
                <w:szCs w:val="24"/>
              </w:rPr>
              <w:t xml:space="preserve">approval of </w:t>
            </w:r>
            <w:r w:rsidRPr="00A53CA9">
              <w:rPr>
                <w:rFonts w:asciiTheme="minorHAnsi" w:hAnsiTheme="minorHAnsi" w:cstheme="minorHAnsi"/>
                <w:b/>
                <w:szCs w:val="24"/>
              </w:rPr>
              <w:t xml:space="preserve">suppression of </w:t>
            </w:r>
            <w:r w:rsidR="008F0245" w:rsidRPr="00A53CA9">
              <w:rPr>
                <w:rFonts w:asciiTheme="minorHAnsi" w:hAnsiTheme="minorHAnsi" w:cstheme="minorHAnsi"/>
                <w:b/>
                <w:szCs w:val="24"/>
              </w:rPr>
              <w:t xml:space="preserve">5 </w:t>
            </w:r>
            <w:r w:rsidRPr="00A53CA9">
              <w:rPr>
                <w:rFonts w:asciiTheme="minorHAnsi" w:hAnsiTheme="minorHAnsi" w:cstheme="minorHAnsi"/>
                <w:b/>
                <w:szCs w:val="24"/>
              </w:rPr>
              <w:t>ITU-R Recommendations</w:t>
            </w:r>
          </w:p>
        </w:tc>
      </w:tr>
      <w:tr w:rsidR="00B4054B" w:rsidRPr="00A53CA9" w:rsidTr="006A0053">
        <w:tc>
          <w:tcPr>
            <w:tcW w:w="1526" w:type="dxa"/>
            <w:shd w:val="clear" w:color="auto" w:fill="auto"/>
          </w:tcPr>
          <w:p w:rsidR="00B4054B" w:rsidRPr="00A53CA9" w:rsidRDefault="00B4054B" w:rsidP="006A0053">
            <w:pPr>
              <w:spacing w:before="0"/>
              <w:jc w:val="left"/>
              <w:rPr>
                <w:b/>
                <w:bCs/>
                <w:sz w:val="24"/>
                <w:szCs w:val="24"/>
                <w:lang w:val="en-GB"/>
              </w:rPr>
            </w:pPr>
          </w:p>
        </w:tc>
        <w:tc>
          <w:tcPr>
            <w:tcW w:w="8363" w:type="dxa"/>
            <w:gridSpan w:val="2"/>
            <w:vMerge/>
            <w:shd w:val="clear" w:color="auto" w:fill="auto"/>
          </w:tcPr>
          <w:p w:rsidR="00B4054B" w:rsidRPr="00A53CA9" w:rsidRDefault="00B4054B" w:rsidP="006A0053">
            <w:pPr>
              <w:spacing w:before="0"/>
              <w:rPr>
                <w:b/>
                <w:bCs/>
                <w:sz w:val="24"/>
                <w:szCs w:val="24"/>
                <w:lang w:val="en-GB"/>
              </w:rPr>
            </w:pPr>
          </w:p>
        </w:tc>
      </w:tr>
      <w:tr w:rsidR="00B4054B" w:rsidRPr="00A53CA9" w:rsidTr="006A0053">
        <w:tc>
          <w:tcPr>
            <w:tcW w:w="1526" w:type="dxa"/>
            <w:shd w:val="clear" w:color="auto" w:fill="auto"/>
          </w:tcPr>
          <w:p w:rsidR="00B4054B" w:rsidRPr="00A53CA9" w:rsidRDefault="00B4054B" w:rsidP="006A0053">
            <w:pPr>
              <w:spacing w:before="0"/>
              <w:jc w:val="left"/>
              <w:rPr>
                <w:b/>
                <w:bCs/>
                <w:sz w:val="24"/>
                <w:szCs w:val="24"/>
                <w:lang w:val="en-GB"/>
              </w:rPr>
            </w:pPr>
          </w:p>
        </w:tc>
        <w:tc>
          <w:tcPr>
            <w:tcW w:w="8363" w:type="dxa"/>
            <w:gridSpan w:val="2"/>
            <w:vMerge/>
            <w:shd w:val="clear" w:color="auto" w:fill="auto"/>
          </w:tcPr>
          <w:p w:rsidR="00B4054B" w:rsidRPr="00A53CA9" w:rsidRDefault="00B4054B" w:rsidP="006A0053">
            <w:pPr>
              <w:spacing w:before="0"/>
              <w:rPr>
                <w:b/>
                <w:bCs/>
                <w:sz w:val="24"/>
                <w:szCs w:val="24"/>
                <w:lang w:val="en-GB"/>
              </w:rPr>
            </w:pPr>
          </w:p>
        </w:tc>
      </w:tr>
      <w:tr w:rsidR="00C51E92" w:rsidRPr="00A53CA9" w:rsidTr="00F72DBF">
        <w:tc>
          <w:tcPr>
            <w:tcW w:w="9889" w:type="dxa"/>
            <w:gridSpan w:val="3"/>
            <w:shd w:val="clear" w:color="auto" w:fill="auto"/>
          </w:tcPr>
          <w:p w:rsidR="00C51E92" w:rsidRPr="00A53CA9" w:rsidRDefault="00C51E92" w:rsidP="00F72DBF">
            <w:pPr>
              <w:spacing w:before="0"/>
              <w:jc w:val="left"/>
              <w:rPr>
                <w:b/>
                <w:bCs/>
                <w:sz w:val="24"/>
                <w:szCs w:val="24"/>
              </w:rPr>
            </w:pPr>
          </w:p>
        </w:tc>
      </w:tr>
      <w:tr w:rsidR="00C51E92" w:rsidRPr="00A53CA9" w:rsidTr="00F72DBF">
        <w:tc>
          <w:tcPr>
            <w:tcW w:w="9889" w:type="dxa"/>
            <w:gridSpan w:val="3"/>
            <w:shd w:val="clear" w:color="auto" w:fill="auto"/>
          </w:tcPr>
          <w:p w:rsidR="00C51E92" w:rsidRPr="00A53CA9" w:rsidRDefault="00C51E92" w:rsidP="00F72DBF">
            <w:pPr>
              <w:spacing w:before="0"/>
              <w:jc w:val="left"/>
              <w:rPr>
                <w:b/>
                <w:bCs/>
                <w:sz w:val="24"/>
                <w:szCs w:val="24"/>
              </w:rPr>
            </w:pPr>
          </w:p>
        </w:tc>
      </w:tr>
    </w:tbl>
    <w:p w:rsidR="004A7970" w:rsidRPr="00A53CA9" w:rsidRDefault="004A7970" w:rsidP="00A422DE">
      <w:pPr>
        <w:pStyle w:val="Normalaftertitle"/>
        <w:spacing w:before="120"/>
        <w:rPr>
          <w:sz w:val="24"/>
          <w:szCs w:val="24"/>
        </w:rPr>
      </w:pPr>
      <w:r w:rsidRPr="00A53CA9">
        <w:rPr>
          <w:sz w:val="24"/>
          <w:szCs w:val="24"/>
        </w:rPr>
        <w:t xml:space="preserve">At the meeting of Radiocommunication Study Group </w:t>
      </w:r>
      <w:r w:rsidR="008F0245" w:rsidRPr="00A53CA9">
        <w:rPr>
          <w:sz w:val="24"/>
          <w:szCs w:val="24"/>
        </w:rPr>
        <w:t>4</w:t>
      </w:r>
      <w:r w:rsidRPr="00A53CA9">
        <w:rPr>
          <w:sz w:val="24"/>
          <w:szCs w:val="24"/>
        </w:rPr>
        <w:t>, held</w:t>
      </w:r>
      <w:r w:rsidR="00A422DE">
        <w:rPr>
          <w:sz w:val="24"/>
          <w:szCs w:val="24"/>
        </w:rPr>
        <w:t xml:space="preserve"> on </w:t>
      </w:r>
      <w:r w:rsidR="008F0245" w:rsidRPr="00A53CA9">
        <w:rPr>
          <w:sz w:val="24"/>
          <w:szCs w:val="24"/>
        </w:rPr>
        <w:t>11 July 2014</w:t>
      </w:r>
      <w:r w:rsidRPr="00A53CA9">
        <w:rPr>
          <w:sz w:val="24"/>
          <w:szCs w:val="24"/>
        </w:rPr>
        <w:t>, the</w:t>
      </w:r>
      <w:r w:rsidR="00A53CA9">
        <w:rPr>
          <w:sz w:val="24"/>
          <w:szCs w:val="24"/>
        </w:rPr>
        <w:t xml:space="preserve"> </w:t>
      </w:r>
      <w:r w:rsidRPr="00A53CA9">
        <w:rPr>
          <w:sz w:val="24"/>
          <w:szCs w:val="24"/>
        </w:rPr>
        <w:t>Study</w:t>
      </w:r>
      <w:r w:rsidR="00A53CA9">
        <w:rPr>
          <w:sz w:val="24"/>
          <w:szCs w:val="24"/>
        </w:rPr>
        <w:t xml:space="preserve"> </w:t>
      </w:r>
      <w:r w:rsidRPr="00A53CA9">
        <w:rPr>
          <w:sz w:val="24"/>
          <w:szCs w:val="24"/>
        </w:rPr>
        <w:t xml:space="preserve">Group decided to seek adoption of </w:t>
      </w:r>
      <w:r w:rsidR="008F0245" w:rsidRPr="00A53CA9">
        <w:rPr>
          <w:sz w:val="24"/>
          <w:szCs w:val="24"/>
        </w:rPr>
        <w:t xml:space="preserve">1 </w:t>
      </w:r>
      <w:r w:rsidRPr="00A53CA9">
        <w:rPr>
          <w:sz w:val="24"/>
          <w:szCs w:val="24"/>
        </w:rPr>
        <w:t xml:space="preserve">draft new ITU-R Recommendation </w:t>
      </w:r>
      <w:r w:rsidRPr="00A53CA9">
        <w:rPr>
          <w:bCs/>
          <w:sz w:val="24"/>
          <w:szCs w:val="24"/>
        </w:rPr>
        <w:t xml:space="preserve">and </w:t>
      </w:r>
      <w:r w:rsidR="008F0245" w:rsidRPr="00A53CA9">
        <w:rPr>
          <w:bCs/>
          <w:sz w:val="24"/>
          <w:szCs w:val="24"/>
        </w:rPr>
        <w:t>1</w:t>
      </w:r>
      <w:r w:rsidRPr="00A53CA9">
        <w:rPr>
          <w:bCs/>
          <w:sz w:val="24"/>
          <w:szCs w:val="24"/>
        </w:rPr>
        <w:t xml:space="preserve"> draft revised ITU-R Recommendation</w:t>
      </w:r>
      <w:r w:rsidRPr="00A53CA9">
        <w:rPr>
          <w:sz w:val="24"/>
          <w:szCs w:val="24"/>
        </w:rPr>
        <w:t xml:space="preserve"> by correspondence (§ 10.2.3 of Resolution ITU-R 1-6) and further decided to apply the procedure for simultaneous adoption and approval by correspondence (PSAA), (§ 10.3 of Resolution ITU</w:t>
      </w:r>
      <w:r w:rsidRPr="00A53CA9">
        <w:rPr>
          <w:sz w:val="24"/>
          <w:szCs w:val="24"/>
        </w:rPr>
        <w:noBreakHyphen/>
        <w:t>R</w:t>
      </w:r>
      <w:r w:rsidR="00A53CA9">
        <w:rPr>
          <w:sz w:val="24"/>
          <w:szCs w:val="24"/>
        </w:rPr>
        <w:t xml:space="preserve"> </w:t>
      </w:r>
      <w:r w:rsidRPr="00A53CA9">
        <w:rPr>
          <w:sz w:val="24"/>
          <w:szCs w:val="24"/>
        </w:rPr>
        <w:t>1</w:t>
      </w:r>
      <w:r w:rsidRPr="00A53CA9">
        <w:rPr>
          <w:sz w:val="24"/>
          <w:szCs w:val="24"/>
        </w:rPr>
        <w:noBreakHyphen/>
        <w:t xml:space="preserve">6). The titles and summaries of the draft Recommendations are given in Annex 1. Furthermore, the Study Group proposed </w:t>
      </w:r>
      <w:r w:rsidR="00A422DE">
        <w:rPr>
          <w:sz w:val="24"/>
          <w:szCs w:val="24"/>
        </w:rPr>
        <w:t>approval of</w:t>
      </w:r>
      <w:r w:rsidRPr="00A53CA9">
        <w:rPr>
          <w:sz w:val="24"/>
          <w:szCs w:val="24"/>
        </w:rPr>
        <w:t xml:space="preserve"> suppression of </w:t>
      </w:r>
      <w:r w:rsidR="008F0245" w:rsidRPr="00A53CA9">
        <w:rPr>
          <w:sz w:val="24"/>
          <w:szCs w:val="24"/>
        </w:rPr>
        <w:t xml:space="preserve">5 </w:t>
      </w:r>
      <w:r w:rsidRPr="00A53CA9">
        <w:rPr>
          <w:sz w:val="24"/>
          <w:szCs w:val="24"/>
        </w:rPr>
        <w:t>Recommendations listed in Annex 2.</w:t>
      </w:r>
    </w:p>
    <w:p w:rsidR="004A7970" w:rsidRPr="00A53CA9" w:rsidRDefault="004A7970" w:rsidP="00A53CA9">
      <w:pPr>
        <w:spacing w:before="120"/>
        <w:rPr>
          <w:sz w:val="24"/>
          <w:szCs w:val="24"/>
        </w:rPr>
      </w:pPr>
      <w:r w:rsidRPr="00A53CA9">
        <w:rPr>
          <w:sz w:val="24"/>
          <w:szCs w:val="24"/>
        </w:rPr>
        <w:t>The consideration period shall extend for 2 months ending on</w:t>
      </w:r>
      <w:r w:rsidR="00A422DE">
        <w:rPr>
          <w:sz w:val="24"/>
          <w:szCs w:val="24"/>
        </w:rPr>
        <w:t xml:space="preserve"> </w:t>
      </w:r>
      <w:r w:rsidR="008F0245" w:rsidRPr="00A53CA9">
        <w:rPr>
          <w:sz w:val="24"/>
          <w:szCs w:val="24"/>
          <w:u w:val="single"/>
        </w:rPr>
        <w:t>29 September 2014</w:t>
      </w:r>
      <w:r w:rsidRPr="00A53CA9">
        <w:rPr>
          <w:sz w:val="24"/>
          <w:szCs w:val="24"/>
        </w:rPr>
        <w:t xml:space="preserve">. If within this period no objections are received from Member States, the draft Recommendations shall be considered to be adopted by Study Group </w:t>
      </w:r>
      <w:r w:rsidR="008F0245" w:rsidRPr="00A53CA9">
        <w:rPr>
          <w:sz w:val="24"/>
          <w:szCs w:val="24"/>
        </w:rPr>
        <w:t>4</w:t>
      </w:r>
      <w:r w:rsidRPr="00A53CA9">
        <w:rPr>
          <w:sz w:val="24"/>
          <w:szCs w:val="24"/>
        </w:rPr>
        <w:t xml:space="preserve">. Furthermore, since the PSAA procedure has been followed, the draft Recommendations shall also be considered as approved. </w:t>
      </w:r>
    </w:p>
    <w:p w:rsidR="004A7970" w:rsidRPr="00A53CA9" w:rsidRDefault="004A7970" w:rsidP="00A53CA9">
      <w:pPr>
        <w:tabs>
          <w:tab w:val="left" w:pos="0"/>
          <w:tab w:val="left" w:pos="1134"/>
          <w:tab w:val="left" w:pos="3119"/>
        </w:tabs>
        <w:spacing w:before="120"/>
        <w:rPr>
          <w:sz w:val="24"/>
          <w:szCs w:val="24"/>
        </w:rPr>
      </w:pPr>
      <w:r w:rsidRPr="00A53CA9">
        <w:rPr>
          <w:sz w:val="24"/>
          <w:szCs w:val="24"/>
        </w:rPr>
        <w:t>Any Member State who objects to the adoption of a draft Recommendation</w:t>
      </w:r>
      <w:r w:rsidR="00090022" w:rsidRPr="00A53CA9">
        <w:rPr>
          <w:sz w:val="24"/>
          <w:szCs w:val="24"/>
        </w:rPr>
        <w:t xml:space="preserve"> or approval of the suppression of a Recommendation</w:t>
      </w:r>
      <w:r w:rsidRPr="00A53CA9">
        <w:rPr>
          <w:sz w:val="24"/>
          <w:szCs w:val="24"/>
        </w:rPr>
        <w:t xml:space="preserve"> is requested to inform the Director and the Chairman of the Study Group of the reasons for the objection.</w:t>
      </w:r>
    </w:p>
    <w:p w:rsidR="004A7970" w:rsidRPr="00A53CA9" w:rsidRDefault="004A7970" w:rsidP="00A53CA9">
      <w:pPr>
        <w:spacing w:before="120"/>
        <w:rPr>
          <w:sz w:val="24"/>
          <w:szCs w:val="24"/>
        </w:rPr>
      </w:pPr>
      <w:r w:rsidRPr="00A53CA9">
        <w:rPr>
          <w:sz w:val="24"/>
          <w:szCs w:val="24"/>
        </w:rPr>
        <w:t xml:space="preserve">After the above-mentioned deadline, the results of the PSAA procedure will be announced in an Administrative Circular and the approved Recommendations will be published as soon as practicable (see </w:t>
      </w:r>
      <w:hyperlink r:id="rId9" w:history="1">
        <w:r w:rsidRPr="00A53CA9">
          <w:rPr>
            <w:rStyle w:val="Hyperlink"/>
            <w:sz w:val="24"/>
            <w:szCs w:val="24"/>
          </w:rPr>
          <w:t>http://www.itu.int/pub/R-REC</w:t>
        </w:r>
      </w:hyperlink>
      <w:r w:rsidRPr="00A53CA9">
        <w:rPr>
          <w:sz w:val="24"/>
          <w:szCs w:val="24"/>
        </w:rPr>
        <w:t xml:space="preserve">). </w:t>
      </w:r>
    </w:p>
    <w:p w:rsidR="004A7970" w:rsidRPr="00A53CA9" w:rsidRDefault="004A7970" w:rsidP="00BF5F50">
      <w:pPr>
        <w:rPr>
          <w:sz w:val="24"/>
          <w:szCs w:val="24"/>
        </w:rPr>
      </w:pPr>
      <w:r w:rsidRPr="000211C8">
        <w:br w:type="page"/>
      </w:r>
      <w:r w:rsidRPr="000211C8">
        <w:rPr>
          <w:sz w:val="24"/>
          <w:szCs w:val="24"/>
        </w:rPr>
        <w:lastRenderedPageBreak/>
        <w:t xml:space="preserve">Any ITU </w:t>
      </w:r>
      <w:r w:rsidRPr="00A53CA9">
        <w:rPr>
          <w:sz w:val="24"/>
          <w:szCs w:val="24"/>
        </w:rPr>
        <w:t>member organization aware of a patent held by itself or others which may fully or partly cover elements of the draft Recommendation(s) mentioned in this letter is requested to disclose such information to the Secretariat as soon as possible. The Common Patent Policy for ITU</w:t>
      </w:r>
      <w:r w:rsidRPr="00A53CA9">
        <w:rPr>
          <w:sz w:val="24"/>
          <w:szCs w:val="24"/>
        </w:rPr>
        <w:noBreakHyphen/>
        <w:t>T/ITU</w:t>
      </w:r>
      <w:r w:rsidRPr="00A53CA9">
        <w:rPr>
          <w:sz w:val="24"/>
          <w:szCs w:val="24"/>
        </w:rPr>
        <w:noBreakHyphen/>
        <w:t>R/ISO/IEC is available at</w:t>
      </w:r>
      <w:r w:rsidR="00B57F3C" w:rsidRPr="00810667">
        <w:rPr>
          <w:rStyle w:val="Hyperlink"/>
          <w:sz w:val="24"/>
          <w:szCs w:val="24"/>
          <w:u w:val="none"/>
        </w:rPr>
        <w:t xml:space="preserve"> </w:t>
      </w:r>
      <w:hyperlink r:id="rId10" w:history="1">
        <w:r w:rsidR="00B57F3C" w:rsidRPr="00A53CA9">
          <w:rPr>
            <w:rStyle w:val="Hyperlink"/>
            <w:sz w:val="24"/>
            <w:szCs w:val="24"/>
          </w:rPr>
          <w:t>http://www.itu.int/en/ITU-T/ipr/Pages/policy.aspx</w:t>
        </w:r>
      </w:hyperlink>
      <w:r w:rsidRPr="00A53CA9">
        <w:rPr>
          <w:sz w:val="24"/>
          <w:szCs w:val="24"/>
        </w:rPr>
        <w:t>.</w:t>
      </w:r>
    </w:p>
    <w:p w:rsidR="004A7970" w:rsidRPr="00A53CA9" w:rsidRDefault="004A7970" w:rsidP="00904ECB">
      <w:pPr>
        <w:spacing w:before="1418" w:line="240" w:lineRule="auto"/>
        <w:jc w:val="left"/>
        <w:rPr>
          <w:rFonts w:asciiTheme="minorHAnsi" w:hAnsiTheme="minorHAnsi" w:cstheme="minorHAnsi"/>
          <w:sz w:val="24"/>
          <w:szCs w:val="24"/>
        </w:rPr>
      </w:pPr>
      <w:r w:rsidRPr="00A53CA9">
        <w:rPr>
          <w:rFonts w:asciiTheme="minorHAnsi" w:hAnsiTheme="minorHAnsi" w:cstheme="minorHAnsi"/>
          <w:sz w:val="24"/>
          <w:szCs w:val="24"/>
        </w:rPr>
        <w:t>François Rancy</w:t>
      </w:r>
    </w:p>
    <w:p w:rsidR="004A7970" w:rsidRPr="00A53CA9" w:rsidRDefault="004A7970" w:rsidP="004A7970">
      <w:pPr>
        <w:spacing w:before="0" w:line="240" w:lineRule="auto"/>
        <w:jc w:val="left"/>
        <w:rPr>
          <w:rFonts w:asciiTheme="minorHAnsi" w:hAnsiTheme="minorHAnsi" w:cstheme="minorHAnsi"/>
          <w:sz w:val="24"/>
          <w:szCs w:val="24"/>
        </w:rPr>
      </w:pPr>
      <w:r w:rsidRPr="00A53CA9">
        <w:rPr>
          <w:rFonts w:asciiTheme="minorHAnsi" w:hAnsiTheme="minorHAnsi" w:cstheme="minorHAnsi"/>
          <w:sz w:val="24"/>
          <w:szCs w:val="24"/>
        </w:rPr>
        <w:t>Director</w:t>
      </w:r>
    </w:p>
    <w:p w:rsidR="004A7970" w:rsidRPr="00A53CA9" w:rsidRDefault="004A7970" w:rsidP="004A7970">
      <w:pPr>
        <w:ind w:left="1191" w:hanging="1191"/>
        <w:rPr>
          <w:sz w:val="24"/>
          <w:szCs w:val="24"/>
          <w:u w:val="single"/>
        </w:rPr>
      </w:pPr>
    </w:p>
    <w:p w:rsidR="004A7970" w:rsidRPr="00A53CA9" w:rsidRDefault="004A7970" w:rsidP="004A7970">
      <w:pPr>
        <w:ind w:left="1191" w:hanging="1191"/>
        <w:rPr>
          <w:sz w:val="24"/>
          <w:szCs w:val="24"/>
          <w:u w:val="single"/>
        </w:rPr>
      </w:pPr>
    </w:p>
    <w:p w:rsidR="004A7970" w:rsidRPr="00A53CA9" w:rsidRDefault="004A7970">
      <w:pPr>
        <w:ind w:left="1191" w:hanging="1191"/>
        <w:rPr>
          <w:sz w:val="24"/>
          <w:szCs w:val="24"/>
        </w:rPr>
      </w:pPr>
      <w:r w:rsidRPr="00A53CA9">
        <w:rPr>
          <w:b/>
          <w:bCs/>
          <w:sz w:val="24"/>
          <w:szCs w:val="24"/>
        </w:rPr>
        <w:t>Annex 1:</w:t>
      </w:r>
      <w:r w:rsidRPr="00A53CA9">
        <w:rPr>
          <w:sz w:val="24"/>
          <w:szCs w:val="24"/>
        </w:rPr>
        <w:t xml:space="preserve"> </w:t>
      </w:r>
      <w:r w:rsidRPr="00A53CA9">
        <w:rPr>
          <w:sz w:val="24"/>
          <w:szCs w:val="24"/>
        </w:rPr>
        <w:tab/>
        <w:t>Titles and summaries of the draft Recommendations</w:t>
      </w:r>
    </w:p>
    <w:p w:rsidR="004A7970" w:rsidRPr="00A53CA9" w:rsidRDefault="004A7970">
      <w:pPr>
        <w:ind w:left="1191" w:hanging="1191"/>
        <w:rPr>
          <w:sz w:val="24"/>
          <w:szCs w:val="24"/>
        </w:rPr>
      </w:pPr>
      <w:r w:rsidRPr="00A53CA9">
        <w:rPr>
          <w:b/>
          <w:bCs/>
          <w:sz w:val="24"/>
          <w:szCs w:val="24"/>
        </w:rPr>
        <w:t>Annex 2:</w:t>
      </w:r>
      <w:r w:rsidRPr="00A53CA9">
        <w:rPr>
          <w:sz w:val="24"/>
          <w:szCs w:val="24"/>
        </w:rPr>
        <w:tab/>
        <w:t>Recommendations proposed for suppression</w:t>
      </w:r>
    </w:p>
    <w:p w:rsidR="004A7970" w:rsidRPr="00A53CA9" w:rsidRDefault="004A7970" w:rsidP="004A7970">
      <w:pPr>
        <w:ind w:left="1191" w:hanging="1191"/>
        <w:rPr>
          <w:b/>
          <w:bCs/>
          <w:sz w:val="24"/>
          <w:szCs w:val="24"/>
        </w:rPr>
      </w:pPr>
    </w:p>
    <w:p w:rsidR="004A7970" w:rsidRPr="00A53CA9" w:rsidRDefault="004A7970" w:rsidP="00810667">
      <w:pPr>
        <w:tabs>
          <w:tab w:val="clear" w:pos="1588"/>
          <w:tab w:val="left" w:pos="2552"/>
        </w:tabs>
        <w:rPr>
          <w:sz w:val="24"/>
          <w:szCs w:val="24"/>
        </w:rPr>
      </w:pPr>
      <w:r w:rsidRPr="00A53CA9">
        <w:rPr>
          <w:b/>
          <w:bCs/>
          <w:sz w:val="24"/>
          <w:szCs w:val="24"/>
        </w:rPr>
        <w:t>Documents:</w:t>
      </w:r>
      <w:r w:rsidRPr="00A53CA9">
        <w:rPr>
          <w:sz w:val="24"/>
          <w:szCs w:val="24"/>
        </w:rPr>
        <w:tab/>
        <w:t>Document</w:t>
      </w:r>
      <w:r w:rsidR="00B3328A">
        <w:rPr>
          <w:sz w:val="24"/>
          <w:szCs w:val="24"/>
        </w:rPr>
        <w:t>s</w:t>
      </w:r>
      <w:r w:rsidRPr="00A53CA9">
        <w:rPr>
          <w:sz w:val="24"/>
          <w:szCs w:val="24"/>
        </w:rPr>
        <w:t xml:space="preserve"> </w:t>
      </w:r>
      <w:r w:rsidR="00810667">
        <w:rPr>
          <w:sz w:val="24"/>
          <w:szCs w:val="24"/>
        </w:rPr>
        <w:t>4</w:t>
      </w:r>
      <w:r w:rsidR="008F0245" w:rsidRPr="00A53CA9">
        <w:rPr>
          <w:sz w:val="24"/>
          <w:szCs w:val="24"/>
        </w:rPr>
        <w:t>/64</w:t>
      </w:r>
      <w:r w:rsidRPr="00A53CA9">
        <w:rPr>
          <w:sz w:val="24"/>
          <w:szCs w:val="24"/>
        </w:rPr>
        <w:t>(Rev.1)</w:t>
      </w:r>
      <w:r w:rsidR="008F0245" w:rsidRPr="00A53CA9">
        <w:rPr>
          <w:sz w:val="24"/>
          <w:szCs w:val="24"/>
        </w:rPr>
        <w:t xml:space="preserve">, </w:t>
      </w:r>
      <w:r w:rsidR="00810667">
        <w:rPr>
          <w:sz w:val="24"/>
          <w:szCs w:val="24"/>
        </w:rPr>
        <w:t>4</w:t>
      </w:r>
      <w:r w:rsidR="008F0245" w:rsidRPr="00A53CA9">
        <w:rPr>
          <w:sz w:val="24"/>
          <w:szCs w:val="24"/>
        </w:rPr>
        <w:t>/67(Rev.1)</w:t>
      </w:r>
      <w:r w:rsidRPr="00A53CA9">
        <w:rPr>
          <w:sz w:val="24"/>
          <w:szCs w:val="24"/>
        </w:rPr>
        <w:t xml:space="preserve"> </w:t>
      </w:r>
    </w:p>
    <w:p w:rsidR="004A7970" w:rsidRPr="00A53CA9" w:rsidRDefault="004A7970" w:rsidP="008F0245">
      <w:pPr>
        <w:tabs>
          <w:tab w:val="clear" w:pos="1588"/>
          <w:tab w:val="left" w:pos="2552"/>
        </w:tabs>
        <w:rPr>
          <w:sz w:val="24"/>
          <w:szCs w:val="24"/>
        </w:rPr>
      </w:pPr>
      <w:r w:rsidRPr="00A53CA9">
        <w:rPr>
          <w:sz w:val="24"/>
          <w:szCs w:val="24"/>
        </w:rPr>
        <w:t xml:space="preserve">These documents are available in electronic format at: </w:t>
      </w:r>
      <w:hyperlink r:id="rId11" w:history="1">
        <w:r w:rsidR="008F0245" w:rsidRPr="00A53CA9">
          <w:rPr>
            <w:rStyle w:val="Hyperlink"/>
            <w:sz w:val="24"/>
            <w:szCs w:val="24"/>
          </w:rPr>
          <w:t>http://www.itu.int/md/R12-SG04-C/en</w:t>
        </w:r>
      </w:hyperlink>
    </w:p>
    <w:p w:rsidR="004A7970" w:rsidRPr="00A53CA9" w:rsidRDefault="004A7970" w:rsidP="004A7970">
      <w:pPr>
        <w:tabs>
          <w:tab w:val="clear" w:pos="1588"/>
          <w:tab w:val="left" w:pos="2552"/>
        </w:tabs>
        <w:rPr>
          <w:sz w:val="24"/>
          <w:szCs w:val="24"/>
        </w:rPr>
      </w:pPr>
    </w:p>
    <w:p w:rsidR="004A7970" w:rsidRPr="00A53CA9" w:rsidRDefault="004A7970" w:rsidP="004A7970">
      <w:pPr>
        <w:tabs>
          <w:tab w:val="left" w:pos="284"/>
          <w:tab w:val="left" w:pos="568"/>
        </w:tabs>
        <w:spacing w:before="1920" w:after="60"/>
        <w:rPr>
          <w:sz w:val="24"/>
          <w:szCs w:val="24"/>
          <w:u w:val="single"/>
        </w:rPr>
      </w:pPr>
    </w:p>
    <w:p w:rsidR="004A7970" w:rsidRPr="000211C8" w:rsidRDefault="004A7970" w:rsidP="004A7970">
      <w:pPr>
        <w:tabs>
          <w:tab w:val="left" w:pos="284"/>
          <w:tab w:val="left" w:pos="568"/>
        </w:tabs>
        <w:spacing w:before="0" w:after="60"/>
        <w:rPr>
          <w:b/>
          <w:bCs/>
          <w:sz w:val="18"/>
          <w:szCs w:val="18"/>
        </w:rPr>
      </w:pPr>
      <w:r w:rsidRPr="000211C8">
        <w:rPr>
          <w:b/>
          <w:bCs/>
          <w:sz w:val="18"/>
          <w:szCs w:val="18"/>
        </w:rPr>
        <w:t>Distribution:</w:t>
      </w:r>
    </w:p>
    <w:p w:rsidR="004A7970" w:rsidRPr="000211C8" w:rsidRDefault="004A7970" w:rsidP="00A53CA9">
      <w:pPr>
        <w:tabs>
          <w:tab w:val="left" w:pos="567"/>
          <w:tab w:val="left" w:pos="6237"/>
        </w:tabs>
        <w:spacing w:before="0" w:line="240" w:lineRule="auto"/>
        <w:ind w:left="567" w:hanging="567"/>
        <w:jc w:val="left"/>
        <w:rPr>
          <w:rFonts w:asciiTheme="minorHAnsi" w:hAnsiTheme="minorHAnsi" w:cstheme="minorHAnsi"/>
          <w:sz w:val="18"/>
          <w:szCs w:val="18"/>
        </w:rPr>
      </w:pPr>
      <w:r w:rsidRPr="000211C8">
        <w:rPr>
          <w:rFonts w:asciiTheme="minorHAnsi" w:hAnsiTheme="minorHAnsi" w:cstheme="minorHAnsi"/>
          <w:sz w:val="18"/>
          <w:szCs w:val="18"/>
        </w:rPr>
        <w:t>–</w:t>
      </w:r>
      <w:r w:rsidRPr="000211C8">
        <w:rPr>
          <w:rFonts w:asciiTheme="minorHAnsi" w:hAnsiTheme="minorHAnsi" w:cstheme="minorHAnsi"/>
          <w:sz w:val="18"/>
          <w:szCs w:val="18"/>
        </w:rPr>
        <w:tab/>
        <w:t>Administrations of Member States of the ITU and Radiocommunication Sector Members</w:t>
      </w:r>
      <w:r w:rsidR="00A53CA9">
        <w:rPr>
          <w:rFonts w:asciiTheme="minorHAnsi" w:hAnsiTheme="minorHAnsi" w:cstheme="minorHAnsi"/>
          <w:sz w:val="18"/>
          <w:szCs w:val="18"/>
        </w:rPr>
        <w:t xml:space="preserve"> </w:t>
      </w:r>
      <w:r w:rsidRPr="000211C8">
        <w:rPr>
          <w:rFonts w:asciiTheme="minorHAnsi" w:hAnsiTheme="minorHAnsi" w:cstheme="minorHAnsi"/>
          <w:sz w:val="18"/>
          <w:szCs w:val="18"/>
        </w:rPr>
        <w:t>participating</w:t>
      </w:r>
      <w:r w:rsidR="0077406E" w:rsidRPr="000211C8">
        <w:rPr>
          <w:rFonts w:asciiTheme="minorHAnsi" w:hAnsiTheme="minorHAnsi" w:cstheme="minorHAnsi"/>
          <w:sz w:val="18"/>
          <w:szCs w:val="18"/>
        </w:rPr>
        <w:t xml:space="preserve"> </w:t>
      </w:r>
      <w:r w:rsidR="00A53CA9">
        <w:rPr>
          <w:rFonts w:asciiTheme="minorHAnsi" w:hAnsiTheme="minorHAnsi" w:cstheme="minorHAnsi"/>
          <w:sz w:val="18"/>
          <w:szCs w:val="18"/>
        </w:rPr>
        <w:br/>
      </w:r>
      <w:r w:rsidRPr="000211C8">
        <w:rPr>
          <w:rFonts w:asciiTheme="minorHAnsi" w:hAnsiTheme="minorHAnsi" w:cstheme="minorHAnsi"/>
          <w:sz w:val="18"/>
          <w:szCs w:val="18"/>
        </w:rPr>
        <w:t>in the work of</w:t>
      </w:r>
      <w:r w:rsidR="0077406E" w:rsidRPr="000211C8">
        <w:rPr>
          <w:rFonts w:asciiTheme="minorHAnsi" w:hAnsiTheme="minorHAnsi" w:cstheme="minorHAnsi"/>
          <w:sz w:val="18"/>
          <w:szCs w:val="18"/>
        </w:rPr>
        <w:t xml:space="preserve"> </w:t>
      </w:r>
      <w:r w:rsidRPr="000211C8">
        <w:rPr>
          <w:rFonts w:asciiTheme="minorHAnsi" w:hAnsiTheme="minorHAnsi" w:cstheme="minorHAnsi"/>
          <w:sz w:val="18"/>
          <w:szCs w:val="18"/>
        </w:rPr>
        <w:t xml:space="preserve">Radiocommunication Study Group </w:t>
      </w:r>
      <w:r w:rsidR="008F0245" w:rsidRPr="000211C8">
        <w:rPr>
          <w:rFonts w:asciiTheme="minorHAnsi" w:hAnsiTheme="minorHAnsi" w:cstheme="minorHAnsi"/>
          <w:sz w:val="18"/>
          <w:szCs w:val="18"/>
        </w:rPr>
        <w:t>4</w:t>
      </w:r>
    </w:p>
    <w:p w:rsidR="004A7970" w:rsidRPr="000211C8" w:rsidRDefault="004A7970">
      <w:pPr>
        <w:tabs>
          <w:tab w:val="left" w:pos="567"/>
          <w:tab w:val="left" w:pos="6237"/>
        </w:tabs>
        <w:spacing w:before="0" w:line="240" w:lineRule="auto"/>
        <w:rPr>
          <w:rFonts w:asciiTheme="minorHAnsi" w:hAnsiTheme="minorHAnsi" w:cstheme="minorHAnsi"/>
          <w:sz w:val="18"/>
          <w:szCs w:val="18"/>
        </w:rPr>
      </w:pPr>
      <w:r w:rsidRPr="000211C8">
        <w:rPr>
          <w:rFonts w:asciiTheme="minorHAnsi" w:hAnsiTheme="minorHAnsi" w:cstheme="minorHAnsi"/>
          <w:sz w:val="18"/>
          <w:szCs w:val="18"/>
        </w:rPr>
        <w:t>–</w:t>
      </w:r>
      <w:r w:rsidRPr="000211C8">
        <w:rPr>
          <w:rFonts w:asciiTheme="minorHAnsi" w:hAnsiTheme="minorHAnsi" w:cstheme="minorHAnsi"/>
          <w:sz w:val="18"/>
          <w:szCs w:val="18"/>
        </w:rPr>
        <w:tab/>
        <w:t xml:space="preserve">ITU-R Associates participating in the work of Radiocommunication Study Group </w:t>
      </w:r>
      <w:r w:rsidR="008F0245" w:rsidRPr="000211C8">
        <w:rPr>
          <w:rFonts w:asciiTheme="minorHAnsi" w:hAnsiTheme="minorHAnsi" w:cstheme="minorHAnsi"/>
          <w:sz w:val="18"/>
          <w:szCs w:val="18"/>
        </w:rPr>
        <w:t>4</w:t>
      </w:r>
    </w:p>
    <w:p w:rsidR="0077406E" w:rsidRPr="000211C8" w:rsidRDefault="004A7970" w:rsidP="0077406E">
      <w:pPr>
        <w:tabs>
          <w:tab w:val="left" w:pos="567"/>
          <w:tab w:val="left" w:pos="6237"/>
        </w:tabs>
        <w:spacing w:before="0" w:line="240" w:lineRule="auto"/>
        <w:ind w:left="567" w:hanging="567"/>
        <w:rPr>
          <w:rFonts w:asciiTheme="minorHAnsi" w:hAnsiTheme="minorHAnsi" w:cstheme="minorHAnsi"/>
          <w:sz w:val="18"/>
          <w:szCs w:val="18"/>
        </w:rPr>
      </w:pPr>
      <w:r w:rsidRPr="000211C8">
        <w:rPr>
          <w:rFonts w:asciiTheme="minorHAnsi" w:hAnsiTheme="minorHAnsi" w:cstheme="minorHAnsi"/>
          <w:sz w:val="18"/>
          <w:szCs w:val="18"/>
        </w:rPr>
        <w:t>–</w:t>
      </w:r>
      <w:r w:rsidRPr="000211C8">
        <w:rPr>
          <w:rFonts w:asciiTheme="minorHAnsi" w:hAnsiTheme="minorHAnsi" w:cstheme="minorHAnsi"/>
          <w:sz w:val="18"/>
          <w:szCs w:val="18"/>
        </w:rPr>
        <w:tab/>
        <w:t>Chairmen and Vice-Chairmen of Radiocommunication Study Groups and the Special Committee</w:t>
      </w:r>
    </w:p>
    <w:p w:rsidR="004A7970" w:rsidRPr="000211C8" w:rsidRDefault="0077406E" w:rsidP="0077406E">
      <w:pPr>
        <w:tabs>
          <w:tab w:val="left" w:pos="567"/>
          <w:tab w:val="left" w:pos="6237"/>
        </w:tabs>
        <w:spacing w:before="0" w:line="240" w:lineRule="auto"/>
        <w:ind w:left="567" w:hanging="567"/>
        <w:rPr>
          <w:rFonts w:asciiTheme="minorHAnsi" w:hAnsiTheme="minorHAnsi" w:cstheme="minorHAnsi"/>
          <w:sz w:val="18"/>
          <w:szCs w:val="18"/>
        </w:rPr>
      </w:pPr>
      <w:r w:rsidRPr="000211C8">
        <w:rPr>
          <w:rFonts w:asciiTheme="minorHAnsi" w:hAnsiTheme="minorHAnsi" w:cstheme="minorHAnsi"/>
          <w:sz w:val="18"/>
          <w:szCs w:val="18"/>
        </w:rPr>
        <w:tab/>
      </w:r>
      <w:r w:rsidR="004A7970" w:rsidRPr="000211C8">
        <w:rPr>
          <w:rFonts w:asciiTheme="minorHAnsi" w:hAnsiTheme="minorHAnsi" w:cstheme="minorHAnsi"/>
          <w:sz w:val="18"/>
          <w:szCs w:val="18"/>
        </w:rPr>
        <w:t>on Regulatory/Procedural Matters</w:t>
      </w:r>
    </w:p>
    <w:p w:rsidR="004A7970" w:rsidRPr="000211C8" w:rsidRDefault="004A7970" w:rsidP="00B500FB">
      <w:pPr>
        <w:tabs>
          <w:tab w:val="left" w:pos="567"/>
          <w:tab w:val="left" w:pos="6237"/>
        </w:tabs>
        <w:spacing w:before="0" w:line="240" w:lineRule="auto"/>
        <w:rPr>
          <w:rFonts w:asciiTheme="minorHAnsi" w:hAnsiTheme="minorHAnsi" w:cstheme="minorHAnsi"/>
          <w:sz w:val="18"/>
          <w:szCs w:val="18"/>
        </w:rPr>
      </w:pPr>
      <w:r w:rsidRPr="000211C8">
        <w:rPr>
          <w:rFonts w:asciiTheme="minorHAnsi" w:hAnsiTheme="minorHAnsi" w:cstheme="minorHAnsi"/>
          <w:sz w:val="18"/>
          <w:szCs w:val="18"/>
        </w:rPr>
        <w:t>–</w:t>
      </w:r>
      <w:r w:rsidRPr="000211C8">
        <w:rPr>
          <w:rFonts w:asciiTheme="minorHAnsi" w:hAnsiTheme="minorHAnsi" w:cstheme="minorHAnsi"/>
          <w:sz w:val="18"/>
          <w:szCs w:val="18"/>
        </w:rPr>
        <w:tab/>
        <w:t>Chairman and Vice-Chairmen of the Conference Preparatory Meeting</w:t>
      </w:r>
    </w:p>
    <w:p w:rsidR="004A7970" w:rsidRPr="000211C8" w:rsidRDefault="004A7970" w:rsidP="00B500FB">
      <w:pPr>
        <w:tabs>
          <w:tab w:val="left" w:pos="567"/>
          <w:tab w:val="left" w:pos="6237"/>
        </w:tabs>
        <w:spacing w:before="0" w:line="240" w:lineRule="auto"/>
        <w:rPr>
          <w:rFonts w:asciiTheme="minorHAnsi" w:hAnsiTheme="minorHAnsi" w:cstheme="minorHAnsi"/>
          <w:sz w:val="18"/>
          <w:szCs w:val="18"/>
        </w:rPr>
      </w:pPr>
      <w:r w:rsidRPr="000211C8">
        <w:rPr>
          <w:rFonts w:asciiTheme="minorHAnsi" w:hAnsiTheme="minorHAnsi" w:cstheme="minorHAnsi"/>
          <w:sz w:val="18"/>
          <w:szCs w:val="18"/>
        </w:rPr>
        <w:t>–</w:t>
      </w:r>
      <w:r w:rsidRPr="000211C8">
        <w:rPr>
          <w:rFonts w:asciiTheme="minorHAnsi" w:hAnsiTheme="minorHAnsi" w:cstheme="minorHAnsi"/>
          <w:sz w:val="18"/>
          <w:szCs w:val="18"/>
        </w:rPr>
        <w:tab/>
        <w:t>Members of the Radio Regulations Board</w:t>
      </w:r>
    </w:p>
    <w:p w:rsidR="0077406E" w:rsidRPr="000211C8" w:rsidRDefault="004A7970" w:rsidP="00B500FB">
      <w:pPr>
        <w:pStyle w:val="BodyTextIndent"/>
        <w:jc w:val="both"/>
        <w:rPr>
          <w:rFonts w:asciiTheme="minorHAnsi" w:hAnsiTheme="minorHAnsi" w:cstheme="minorHAnsi"/>
          <w:sz w:val="18"/>
          <w:szCs w:val="18"/>
        </w:rPr>
      </w:pPr>
      <w:r w:rsidRPr="000211C8">
        <w:rPr>
          <w:rFonts w:asciiTheme="minorHAnsi" w:hAnsiTheme="minorHAnsi" w:cstheme="minorHAnsi"/>
          <w:sz w:val="18"/>
          <w:szCs w:val="18"/>
        </w:rPr>
        <w:t>–</w:t>
      </w:r>
      <w:r w:rsidRPr="000211C8">
        <w:rPr>
          <w:rFonts w:asciiTheme="minorHAnsi" w:hAnsiTheme="minorHAnsi" w:cstheme="minorHAnsi"/>
          <w:sz w:val="18"/>
          <w:szCs w:val="18"/>
        </w:rPr>
        <w:tab/>
        <w:t xml:space="preserve">Secretary-General of the ITU, Director of the Telecommunication Standardization Bureau, </w:t>
      </w:r>
    </w:p>
    <w:p w:rsidR="004A7970" w:rsidRPr="000211C8" w:rsidRDefault="0077406E" w:rsidP="0077406E">
      <w:pPr>
        <w:pStyle w:val="BodyTextIndent"/>
        <w:jc w:val="both"/>
        <w:rPr>
          <w:rFonts w:asciiTheme="minorHAnsi" w:hAnsiTheme="minorHAnsi" w:cstheme="minorHAnsi"/>
          <w:sz w:val="18"/>
          <w:szCs w:val="18"/>
        </w:rPr>
      </w:pPr>
      <w:r w:rsidRPr="000211C8">
        <w:rPr>
          <w:rFonts w:asciiTheme="minorHAnsi" w:hAnsiTheme="minorHAnsi" w:cstheme="minorHAnsi"/>
          <w:sz w:val="18"/>
          <w:szCs w:val="18"/>
        </w:rPr>
        <w:tab/>
      </w:r>
      <w:r w:rsidR="004A7970" w:rsidRPr="000211C8">
        <w:rPr>
          <w:rFonts w:asciiTheme="minorHAnsi" w:hAnsiTheme="minorHAnsi" w:cstheme="minorHAnsi"/>
          <w:sz w:val="18"/>
          <w:szCs w:val="18"/>
        </w:rPr>
        <w:t>Director of the Telecommunication</w:t>
      </w:r>
      <w:r w:rsidR="00BF5F50" w:rsidRPr="000211C8">
        <w:rPr>
          <w:rFonts w:asciiTheme="minorHAnsi" w:hAnsiTheme="minorHAnsi" w:cstheme="minorHAnsi"/>
          <w:sz w:val="18"/>
          <w:szCs w:val="18"/>
        </w:rPr>
        <w:t xml:space="preserve"> </w:t>
      </w:r>
      <w:r w:rsidR="004A7970" w:rsidRPr="000211C8">
        <w:rPr>
          <w:rFonts w:asciiTheme="minorHAnsi" w:hAnsiTheme="minorHAnsi" w:cstheme="minorHAnsi"/>
          <w:sz w:val="18"/>
          <w:szCs w:val="18"/>
        </w:rPr>
        <w:t>Development Bureau</w:t>
      </w:r>
    </w:p>
    <w:p w:rsidR="00A45D9A" w:rsidRPr="000211C8" w:rsidRDefault="004A7970" w:rsidP="00A45D9A">
      <w:pPr>
        <w:pStyle w:val="AnnexNotitle0"/>
        <w:rPr>
          <w:rFonts w:asciiTheme="minorHAnsi" w:hAnsiTheme="minorHAnsi" w:cstheme="minorHAnsi"/>
          <w:szCs w:val="28"/>
        </w:rPr>
      </w:pPr>
      <w:r w:rsidRPr="000211C8">
        <w:br w:type="page"/>
      </w:r>
      <w:r w:rsidRPr="000211C8">
        <w:rPr>
          <w:rFonts w:asciiTheme="minorHAnsi" w:hAnsiTheme="minorHAnsi" w:cstheme="minorHAnsi"/>
          <w:szCs w:val="28"/>
        </w:rPr>
        <w:lastRenderedPageBreak/>
        <w:t>Annex 1</w:t>
      </w:r>
    </w:p>
    <w:p w:rsidR="004A7970" w:rsidRPr="000211C8" w:rsidRDefault="004A7970">
      <w:pPr>
        <w:pStyle w:val="AnnexNotitle0"/>
        <w:rPr>
          <w:rFonts w:asciiTheme="minorHAnsi" w:hAnsiTheme="minorHAnsi" w:cstheme="minorHAnsi"/>
          <w:szCs w:val="28"/>
        </w:rPr>
      </w:pPr>
      <w:r w:rsidRPr="000211C8">
        <w:rPr>
          <w:rFonts w:asciiTheme="minorHAnsi" w:hAnsiTheme="minorHAnsi" w:cstheme="minorHAnsi"/>
          <w:szCs w:val="28"/>
        </w:rPr>
        <w:t>Titles and summaries of the draft Recommendations</w:t>
      </w:r>
    </w:p>
    <w:p w:rsidR="004A7970" w:rsidRPr="000211C8" w:rsidRDefault="004A7970" w:rsidP="004A7970">
      <w:pPr>
        <w:rPr>
          <w:rFonts w:asciiTheme="minorHAnsi" w:hAnsiTheme="minorHAnsi" w:cstheme="minorHAnsi"/>
          <w:sz w:val="24"/>
          <w:szCs w:val="24"/>
        </w:rPr>
      </w:pPr>
    </w:p>
    <w:p w:rsidR="004A7970" w:rsidRPr="000211C8" w:rsidRDefault="004A7970" w:rsidP="008F0245">
      <w:pPr>
        <w:tabs>
          <w:tab w:val="right" w:pos="9639"/>
        </w:tabs>
        <w:rPr>
          <w:rFonts w:asciiTheme="minorHAnsi" w:hAnsiTheme="minorHAnsi" w:cstheme="minorHAnsi"/>
          <w:sz w:val="24"/>
          <w:szCs w:val="24"/>
        </w:rPr>
      </w:pPr>
      <w:r w:rsidRPr="000211C8">
        <w:rPr>
          <w:rFonts w:asciiTheme="minorHAnsi" w:hAnsiTheme="minorHAnsi" w:cstheme="minorHAnsi"/>
          <w:sz w:val="24"/>
          <w:szCs w:val="24"/>
          <w:u w:val="single"/>
        </w:rPr>
        <w:t>Draft new Recommendation ITU-R</w:t>
      </w:r>
      <w:r w:rsidR="008F0245" w:rsidRPr="000211C8">
        <w:rPr>
          <w:rFonts w:asciiTheme="minorHAnsi" w:hAnsiTheme="minorHAnsi" w:cstheme="minorHAnsi"/>
          <w:sz w:val="24"/>
          <w:szCs w:val="24"/>
          <w:u w:val="single"/>
        </w:rPr>
        <w:t xml:space="preserve"> S.[DIGCID]</w:t>
      </w:r>
      <w:r w:rsidRPr="000211C8">
        <w:rPr>
          <w:rFonts w:asciiTheme="minorHAnsi" w:hAnsiTheme="minorHAnsi" w:cstheme="minorHAnsi"/>
          <w:sz w:val="24"/>
          <w:szCs w:val="24"/>
        </w:rPr>
        <w:tab/>
        <w:t xml:space="preserve">Doc. </w:t>
      </w:r>
      <w:r w:rsidR="008F0245" w:rsidRPr="000211C8">
        <w:rPr>
          <w:rFonts w:asciiTheme="minorHAnsi" w:hAnsiTheme="minorHAnsi" w:cstheme="minorHAnsi"/>
          <w:sz w:val="24"/>
          <w:szCs w:val="24"/>
        </w:rPr>
        <w:t>4</w:t>
      </w:r>
      <w:r w:rsidRPr="000211C8">
        <w:rPr>
          <w:rFonts w:asciiTheme="minorHAnsi" w:hAnsiTheme="minorHAnsi" w:cstheme="minorHAnsi"/>
          <w:sz w:val="24"/>
          <w:szCs w:val="24"/>
        </w:rPr>
        <w:t>/</w:t>
      </w:r>
      <w:r w:rsidR="008F0245" w:rsidRPr="000211C8">
        <w:rPr>
          <w:rFonts w:asciiTheme="minorHAnsi" w:hAnsiTheme="minorHAnsi" w:cstheme="minorHAnsi"/>
          <w:sz w:val="24"/>
          <w:szCs w:val="24"/>
        </w:rPr>
        <w:t>67</w:t>
      </w:r>
      <w:r w:rsidRPr="000211C8">
        <w:rPr>
          <w:rFonts w:asciiTheme="minorHAnsi" w:hAnsiTheme="minorHAnsi" w:cstheme="minorHAnsi"/>
          <w:sz w:val="24"/>
          <w:szCs w:val="24"/>
        </w:rPr>
        <w:t>(Rev.1)</w:t>
      </w:r>
    </w:p>
    <w:p w:rsidR="004A7970" w:rsidRPr="000211C8" w:rsidRDefault="008F0245" w:rsidP="000211C8">
      <w:pPr>
        <w:pStyle w:val="Reptitle"/>
        <w:rPr>
          <w:rStyle w:val="RectitleChar"/>
          <w:rFonts w:asciiTheme="minorHAnsi" w:hAnsiTheme="minorHAnsi" w:cstheme="minorHAnsi"/>
          <w:bCs/>
          <w:szCs w:val="28"/>
        </w:rPr>
      </w:pPr>
      <w:r w:rsidRPr="000211C8">
        <w:rPr>
          <w:rStyle w:val="Strong"/>
          <w:rFonts w:eastAsia="SimSun"/>
          <w:b/>
          <w:szCs w:val="28"/>
        </w:rPr>
        <w:t>Carrier identification system for digital-modulation transmissions of fixed-satellite service occasional use carrier earth station transmissions</w:t>
      </w:r>
      <w:r w:rsidRPr="000211C8">
        <w:rPr>
          <w:rFonts w:eastAsia="SimSun"/>
          <w:b w:val="0"/>
        </w:rPr>
        <w:t xml:space="preserve"> </w:t>
      </w:r>
      <w:r w:rsidRPr="000211C8">
        <w:rPr>
          <w:rFonts w:eastAsia="SimSun"/>
          <w:bCs/>
        </w:rPr>
        <w:t>using geostationary</w:t>
      </w:r>
      <w:r w:rsidRPr="000211C8">
        <w:rPr>
          <w:rFonts w:eastAsia="SimSun"/>
          <w:b w:val="0"/>
        </w:rPr>
        <w:t>-</w:t>
      </w:r>
      <w:r w:rsidRPr="000211C8">
        <w:rPr>
          <w:rFonts w:eastAsia="SimSun"/>
        </w:rPr>
        <w:t>satellite</w:t>
      </w:r>
      <w:r w:rsidRPr="000211C8">
        <w:rPr>
          <w:rFonts w:eastAsia="SimSun" w:hint="eastAsia"/>
        </w:rPr>
        <w:t xml:space="preserve"> </w:t>
      </w:r>
      <w:r w:rsidRPr="000211C8">
        <w:rPr>
          <w:rFonts w:eastAsia="SimSun"/>
        </w:rPr>
        <w:t>networks</w:t>
      </w:r>
      <w:r w:rsidRPr="000211C8">
        <w:rPr>
          <w:rFonts w:eastAsia="SimSun" w:hint="eastAsia"/>
        </w:rPr>
        <w:t xml:space="preserve"> </w:t>
      </w:r>
      <w:r w:rsidRPr="000211C8">
        <w:rPr>
          <w:rFonts w:eastAsia="SimSun"/>
        </w:rPr>
        <w:t>in the 4/6 GHz and 11-12/13/14 GHz FSS bands</w:t>
      </w:r>
    </w:p>
    <w:p w:rsidR="008F0245" w:rsidRDefault="008F0245" w:rsidP="00B3328A">
      <w:pPr>
        <w:spacing w:before="240"/>
        <w:rPr>
          <w:rFonts w:asciiTheme="minorHAnsi" w:hAnsiTheme="minorHAnsi" w:cstheme="majorBidi"/>
          <w:sz w:val="24"/>
          <w:szCs w:val="24"/>
          <w:lang w:eastAsia="ja-JP"/>
        </w:rPr>
      </w:pPr>
      <w:r w:rsidRPr="000211C8">
        <w:rPr>
          <w:rFonts w:asciiTheme="minorHAnsi" w:hAnsiTheme="minorHAnsi" w:cstheme="majorBidi"/>
          <w:sz w:val="24"/>
          <w:szCs w:val="24"/>
        </w:rPr>
        <w:t xml:space="preserve">This Recommendation provides </w:t>
      </w:r>
      <w:r w:rsidRPr="000211C8">
        <w:rPr>
          <w:rFonts w:asciiTheme="minorHAnsi" w:hAnsiTheme="minorHAnsi" w:cstheme="majorBidi"/>
          <w:sz w:val="24"/>
          <w:szCs w:val="24"/>
          <w:lang w:eastAsia="ja-JP"/>
        </w:rPr>
        <w:t>possible methods about a carrier id</w:t>
      </w:r>
      <w:r w:rsidR="00A53CA9">
        <w:rPr>
          <w:rFonts w:asciiTheme="minorHAnsi" w:hAnsiTheme="minorHAnsi" w:cstheme="majorBidi"/>
          <w:sz w:val="24"/>
          <w:szCs w:val="24"/>
          <w:lang w:eastAsia="ja-JP"/>
        </w:rPr>
        <w:t>entification system for digital</w:t>
      </w:r>
      <w:r w:rsidR="00A53CA9">
        <w:rPr>
          <w:rFonts w:asciiTheme="minorHAnsi" w:hAnsiTheme="minorHAnsi" w:cstheme="majorBidi"/>
          <w:sz w:val="24"/>
          <w:szCs w:val="24"/>
          <w:lang w:eastAsia="ja-JP"/>
        </w:rPr>
        <w:noBreakHyphen/>
      </w:r>
      <w:r w:rsidRPr="000211C8">
        <w:rPr>
          <w:rFonts w:asciiTheme="minorHAnsi" w:hAnsiTheme="minorHAnsi" w:cstheme="majorBidi"/>
          <w:sz w:val="24"/>
          <w:szCs w:val="24"/>
          <w:lang w:eastAsia="ja-JP"/>
        </w:rPr>
        <w:t>modulations of fixed-satellite service (FSS) occasional use (OU) carrier earth station transmissions from a</w:t>
      </w:r>
      <w:r w:rsidR="00A53CA9">
        <w:rPr>
          <w:rFonts w:asciiTheme="minorHAnsi" w:hAnsiTheme="minorHAnsi" w:cstheme="majorBidi"/>
          <w:sz w:val="24"/>
          <w:szCs w:val="24"/>
          <w:lang w:eastAsia="ja-JP"/>
        </w:rPr>
        <w:t xml:space="preserve"> </w:t>
      </w:r>
      <w:r w:rsidRPr="000211C8">
        <w:rPr>
          <w:rFonts w:asciiTheme="minorHAnsi" w:hAnsiTheme="minorHAnsi" w:cstheme="majorBidi"/>
          <w:sz w:val="24"/>
          <w:szCs w:val="24"/>
          <w:lang w:eastAsia="ja-JP"/>
        </w:rPr>
        <w:t>fixed point to geostationary-satellite orbit space stations in the 4/6 GHz and 11</w:t>
      </w:r>
      <w:r w:rsidR="000211C8" w:rsidRPr="000211C8">
        <w:rPr>
          <w:rFonts w:asciiTheme="minorHAnsi" w:hAnsiTheme="minorHAnsi" w:cstheme="majorBidi"/>
          <w:sz w:val="24"/>
          <w:szCs w:val="24"/>
          <w:lang w:eastAsia="ja-JP"/>
        </w:rPr>
        <w:noBreakHyphen/>
      </w:r>
      <w:r w:rsidRPr="000211C8">
        <w:rPr>
          <w:rFonts w:asciiTheme="minorHAnsi" w:hAnsiTheme="minorHAnsi" w:cstheme="majorBidi"/>
          <w:sz w:val="24"/>
          <w:szCs w:val="24"/>
          <w:lang w:eastAsia="ja-JP"/>
        </w:rPr>
        <w:t>12/13/14</w:t>
      </w:r>
      <w:r w:rsidR="00A53CA9">
        <w:rPr>
          <w:rFonts w:asciiTheme="minorHAnsi" w:hAnsiTheme="minorHAnsi" w:cstheme="majorBidi"/>
          <w:sz w:val="24"/>
          <w:szCs w:val="24"/>
          <w:lang w:eastAsia="ja-JP"/>
        </w:rPr>
        <w:t xml:space="preserve"> </w:t>
      </w:r>
      <w:r w:rsidRPr="000211C8">
        <w:rPr>
          <w:rFonts w:asciiTheme="minorHAnsi" w:hAnsiTheme="minorHAnsi" w:cstheme="majorBidi"/>
          <w:sz w:val="24"/>
          <w:szCs w:val="24"/>
          <w:lang w:eastAsia="ja-JP"/>
        </w:rPr>
        <w:t>GHz FSS bands to facilitate the identification of the source of, and eliminate, unacceptable interference.</w:t>
      </w:r>
    </w:p>
    <w:p w:rsidR="008B569B" w:rsidRPr="000211C8" w:rsidRDefault="008B569B" w:rsidP="008B569B">
      <w:pPr>
        <w:rPr>
          <w:lang w:eastAsia="ja-JP"/>
        </w:rPr>
      </w:pPr>
    </w:p>
    <w:p w:rsidR="004A7970" w:rsidRPr="000211C8" w:rsidRDefault="000211C8" w:rsidP="000211C8">
      <w:pPr>
        <w:tabs>
          <w:tab w:val="right" w:pos="9639"/>
        </w:tabs>
        <w:spacing w:before="240"/>
        <w:rPr>
          <w:rFonts w:asciiTheme="minorHAnsi" w:hAnsiTheme="minorHAnsi" w:cstheme="minorHAnsi"/>
          <w:sz w:val="24"/>
          <w:szCs w:val="24"/>
        </w:rPr>
      </w:pPr>
      <w:r w:rsidRPr="000211C8">
        <w:rPr>
          <w:rFonts w:asciiTheme="minorHAnsi" w:hAnsiTheme="minorHAnsi" w:cstheme="minorHAnsi"/>
          <w:sz w:val="24"/>
          <w:szCs w:val="24"/>
          <w:u w:val="single"/>
        </w:rPr>
        <w:t>Draft revision of Recommendation ITU-R M.1478-2</w:t>
      </w:r>
      <w:r w:rsidRPr="000211C8">
        <w:rPr>
          <w:rFonts w:asciiTheme="minorHAnsi" w:hAnsiTheme="minorHAnsi" w:cstheme="minorHAnsi"/>
          <w:sz w:val="24"/>
          <w:szCs w:val="24"/>
        </w:rPr>
        <w:tab/>
        <w:t>Doc. 4/64(Rev.1)</w:t>
      </w:r>
    </w:p>
    <w:p w:rsidR="000211C8" w:rsidRPr="000211C8" w:rsidRDefault="000211C8" w:rsidP="000211C8">
      <w:pPr>
        <w:pStyle w:val="Reptitle"/>
        <w:rPr>
          <w:rFonts w:asciiTheme="minorHAnsi" w:hAnsiTheme="minorHAnsi" w:cstheme="minorHAnsi"/>
        </w:rPr>
      </w:pPr>
      <w:r w:rsidRPr="000211C8">
        <w:t>Protection criteria for Cospas-Sarsat search and rescue</w:t>
      </w:r>
      <w:r w:rsidRPr="000211C8">
        <w:br/>
        <w:t>instruments in the band 406-406.1 MHz</w:t>
      </w:r>
    </w:p>
    <w:p w:rsidR="000211C8" w:rsidRPr="000211C8" w:rsidRDefault="000211C8" w:rsidP="00B3328A">
      <w:pPr>
        <w:spacing w:before="240"/>
        <w:rPr>
          <w:sz w:val="24"/>
          <w:szCs w:val="24"/>
        </w:rPr>
      </w:pPr>
      <w:r w:rsidRPr="000211C8">
        <w:rPr>
          <w:sz w:val="24"/>
          <w:szCs w:val="24"/>
        </w:rPr>
        <w:t>The proposed revision of Reco</w:t>
      </w:r>
      <w:bookmarkStart w:id="0" w:name="_GoBack"/>
      <w:bookmarkEnd w:id="0"/>
      <w:r w:rsidRPr="000211C8">
        <w:rPr>
          <w:sz w:val="24"/>
          <w:szCs w:val="24"/>
        </w:rPr>
        <w:t>mmendation ITU-R M.1478-2 aims at including a new Annex dedicated to search and rescue repeaters on-board Galileo satellites and adding a summary of the protection criteria in Annex 11</w:t>
      </w:r>
      <w:r w:rsidRPr="000211C8">
        <w:rPr>
          <w:sz w:val="24"/>
          <w:szCs w:val="24"/>
          <w:lang w:eastAsia="zh-CN"/>
        </w:rPr>
        <w:t xml:space="preserve">. The corresponding figures are derived from the Report about WRC-15 agenda item 9.1, issue 9.1.1. The annexes as proposed in this Recommendation do not include the corresponding detailed calculations. In addition, </w:t>
      </w:r>
      <w:r w:rsidRPr="000211C8">
        <w:rPr>
          <w:sz w:val="24"/>
          <w:szCs w:val="24"/>
        </w:rPr>
        <w:t xml:space="preserve">the revision includes the protection criteria for the future GOES-R search and rescue satellite receiver, to correct some calculations for the present GOES series. </w:t>
      </w:r>
    </w:p>
    <w:p w:rsidR="000211C8" w:rsidRPr="000211C8" w:rsidRDefault="000211C8" w:rsidP="000211C8">
      <w:pPr>
        <w:tabs>
          <w:tab w:val="right" w:pos="9639"/>
        </w:tabs>
        <w:rPr>
          <w:rFonts w:asciiTheme="minorHAnsi" w:hAnsiTheme="minorHAnsi" w:cstheme="minorHAnsi"/>
          <w:sz w:val="24"/>
          <w:szCs w:val="24"/>
        </w:rPr>
      </w:pPr>
    </w:p>
    <w:p w:rsidR="000211C8" w:rsidRPr="000211C8" w:rsidRDefault="000211C8">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 w:val="28"/>
          <w:szCs w:val="28"/>
        </w:rPr>
      </w:pPr>
      <w:r w:rsidRPr="000211C8">
        <w:rPr>
          <w:rFonts w:asciiTheme="minorHAnsi" w:hAnsiTheme="minorHAnsi" w:cstheme="minorHAnsi"/>
          <w:sz w:val="28"/>
          <w:szCs w:val="28"/>
        </w:rPr>
        <w:br w:type="page"/>
      </w:r>
    </w:p>
    <w:p w:rsidR="004A7970" w:rsidRPr="000211C8" w:rsidRDefault="004A7970" w:rsidP="004A7970">
      <w:pPr>
        <w:pStyle w:val="Headingb"/>
        <w:spacing w:before="360" w:after="120"/>
        <w:jc w:val="center"/>
        <w:rPr>
          <w:rFonts w:asciiTheme="minorHAnsi" w:hAnsiTheme="minorHAnsi" w:cstheme="minorHAnsi"/>
          <w:sz w:val="28"/>
          <w:szCs w:val="28"/>
        </w:rPr>
      </w:pPr>
      <w:r w:rsidRPr="000211C8">
        <w:rPr>
          <w:rFonts w:asciiTheme="minorHAnsi" w:hAnsiTheme="minorHAnsi" w:cstheme="minorHAnsi"/>
          <w:sz w:val="28"/>
          <w:szCs w:val="28"/>
        </w:rPr>
        <w:lastRenderedPageBreak/>
        <w:t>Annex 2</w:t>
      </w:r>
    </w:p>
    <w:p w:rsidR="004A7970" w:rsidRPr="000211C8" w:rsidRDefault="004A7970">
      <w:pPr>
        <w:spacing w:before="360"/>
        <w:jc w:val="center"/>
        <w:rPr>
          <w:rFonts w:asciiTheme="minorHAnsi" w:hAnsiTheme="minorHAnsi" w:cstheme="minorHAnsi"/>
          <w:sz w:val="24"/>
          <w:szCs w:val="24"/>
        </w:rPr>
      </w:pPr>
      <w:r w:rsidRPr="000211C8">
        <w:rPr>
          <w:rFonts w:asciiTheme="minorHAnsi" w:hAnsiTheme="minorHAnsi" w:cstheme="minorHAnsi"/>
          <w:sz w:val="24"/>
          <w:szCs w:val="24"/>
        </w:rPr>
        <w:t xml:space="preserve">(Source: Document </w:t>
      </w:r>
      <w:hyperlink r:id="rId12" w:history="1">
        <w:r w:rsidR="000211C8" w:rsidRPr="006C1668">
          <w:rPr>
            <w:rStyle w:val="Hyperlink"/>
            <w:rFonts w:asciiTheme="minorHAnsi" w:hAnsiTheme="minorHAnsi" w:cstheme="minorHAnsi"/>
            <w:sz w:val="24"/>
            <w:szCs w:val="24"/>
          </w:rPr>
          <w:t>4/69</w:t>
        </w:r>
      </w:hyperlink>
      <w:r w:rsidRPr="000211C8">
        <w:rPr>
          <w:rFonts w:asciiTheme="minorHAnsi" w:hAnsiTheme="minorHAnsi" w:cstheme="minorHAnsi"/>
          <w:sz w:val="24"/>
          <w:szCs w:val="24"/>
        </w:rPr>
        <w:t>)</w:t>
      </w:r>
    </w:p>
    <w:p w:rsidR="004A7970" w:rsidRDefault="004A7970">
      <w:pPr>
        <w:spacing w:before="360"/>
        <w:jc w:val="center"/>
        <w:rPr>
          <w:rFonts w:asciiTheme="minorHAnsi" w:hAnsiTheme="minorHAnsi" w:cstheme="minorHAnsi"/>
          <w:b/>
          <w:bCs/>
          <w:sz w:val="28"/>
          <w:szCs w:val="28"/>
        </w:rPr>
      </w:pPr>
      <w:r w:rsidRPr="000211C8">
        <w:rPr>
          <w:rFonts w:asciiTheme="minorHAnsi" w:hAnsiTheme="minorHAnsi" w:cstheme="minorHAnsi"/>
          <w:b/>
          <w:bCs/>
          <w:sz w:val="28"/>
          <w:szCs w:val="28"/>
        </w:rPr>
        <w:t>Recommendations proposed for suppression</w:t>
      </w:r>
    </w:p>
    <w:p w:rsidR="000211C8" w:rsidRDefault="000211C8" w:rsidP="00252518"/>
    <w:p w:rsidR="00252518" w:rsidRPr="00BF5F50" w:rsidRDefault="00252518" w:rsidP="00252518"/>
    <w:tbl>
      <w:tblPr>
        <w:tblStyle w:val="TableGrid"/>
        <w:tblW w:w="0" w:type="auto"/>
        <w:jc w:val="center"/>
        <w:tblInd w:w="392" w:type="dxa"/>
        <w:tblLook w:val="04A0" w:firstRow="1" w:lastRow="0" w:firstColumn="1" w:lastColumn="0" w:noHBand="0" w:noVBand="1"/>
      </w:tblPr>
      <w:tblGrid>
        <w:gridCol w:w="1984"/>
        <w:gridCol w:w="7479"/>
      </w:tblGrid>
      <w:tr w:rsidR="000211C8" w:rsidTr="00252518">
        <w:trPr>
          <w:jc w:val="center"/>
        </w:trPr>
        <w:tc>
          <w:tcPr>
            <w:tcW w:w="1984" w:type="dxa"/>
            <w:tcBorders>
              <w:top w:val="single" w:sz="4" w:space="0" w:color="auto"/>
              <w:left w:val="single" w:sz="4" w:space="0" w:color="auto"/>
              <w:bottom w:val="single" w:sz="4" w:space="0" w:color="auto"/>
              <w:right w:val="single" w:sz="4" w:space="0" w:color="auto"/>
            </w:tcBorders>
            <w:hideMark/>
          </w:tcPr>
          <w:p w:rsidR="000211C8" w:rsidRDefault="000211C8">
            <w:pPr>
              <w:pStyle w:val="Tablehead"/>
              <w:rPr>
                <w:lang w:val="en-GB"/>
              </w:rPr>
            </w:pPr>
            <w:r>
              <w:rPr>
                <w:lang w:val="en-GB"/>
              </w:rPr>
              <w:t xml:space="preserve">Recommendation </w:t>
            </w:r>
            <w:r>
              <w:rPr>
                <w:lang w:val="en-GB"/>
              </w:rPr>
              <w:br/>
              <w:t>ITU-R</w:t>
            </w:r>
          </w:p>
        </w:tc>
        <w:tc>
          <w:tcPr>
            <w:tcW w:w="7479" w:type="dxa"/>
            <w:tcBorders>
              <w:top w:val="single" w:sz="4" w:space="0" w:color="auto"/>
              <w:left w:val="single" w:sz="4" w:space="0" w:color="auto"/>
              <w:bottom w:val="single" w:sz="4" w:space="0" w:color="auto"/>
              <w:right w:val="single" w:sz="4" w:space="0" w:color="auto"/>
            </w:tcBorders>
            <w:vAlign w:val="center"/>
            <w:hideMark/>
          </w:tcPr>
          <w:p w:rsidR="000211C8" w:rsidRDefault="000211C8">
            <w:pPr>
              <w:pStyle w:val="Tablehead"/>
              <w:rPr>
                <w:lang w:val="en-GB"/>
              </w:rPr>
            </w:pPr>
            <w:r>
              <w:rPr>
                <w:lang w:val="en-GB"/>
              </w:rPr>
              <w:t>Title</w:t>
            </w:r>
          </w:p>
        </w:tc>
      </w:tr>
      <w:tr w:rsidR="000211C8" w:rsidTr="00252518">
        <w:trPr>
          <w:jc w:val="center"/>
        </w:trPr>
        <w:tc>
          <w:tcPr>
            <w:tcW w:w="1984" w:type="dxa"/>
            <w:tcBorders>
              <w:top w:val="single" w:sz="4" w:space="0" w:color="auto"/>
              <w:left w:val="single" w:sz="4" w:space="0" w:color="auto"/>
              <w:bottom w:val="single" w:sz="4" w:space="0" w:color="auto"/>
              <w:right w:val="single" w:sz="4" w:space="0" w:color="auto"/>
            </w:tcBorders>
            <w:vAlign w:val="center"/>
          </w:tcPr>
          <w:p w:rsidR="000211C8" w:rsidRDefault="000211C8">
            <w:pPr>
              <w:pStyle w:val="Tabletext"/>
              <w:jc w:val="center"/>
              <w:rPr>
                <w:rFonts w:eastAsia="SimSun"/>
                <w:szCs w:val="20"/>
                <w:lang w:val="fr-CH"/>
              </w:rPr>
            </w:pPr>
            <w:r>
              <w:rPr>
                <w:rFonts w:eastAsia="SimSun"/>
                <w:szCs w:val="20"/>
                <w:lang w:val="fr-CH"/>
              </w:rPr>
              <w:t>S.352-4</w:t>
            </w:r>
          </w:p>
        </w:tc>
        <w:tc>
          <w:tcPr>
            <w:tcW w:w="7479" w:type="dxa"/>
            <w:tcBorders>
              <w:top w:val="single" w:sz="4" w:space="0" w:color="auto"/>
              <w:left w:val="single" w:sz="4" w:space="0" w:color="auto"/>
              <w:bottom w:val="single" w:sz="4" w:space="0" w:color="auto"/>
              <w:right w:val="single" w:sz="4" w:space="0" w:color="auto"/>
            </w:tcBorders>
          </w:tcPr>
          <w:p w:rsidR="000211C8" w:rsidRPr="000211C8" w:rsidRDefault="000211C8">
            <w:pPr>
              <w:pStyle w:val="Tabletext"/>
              <w:jc w:val="both"/>
              <w:rPr>
                <w:szCs w:val="20"/>
              </w:rPr>
            </w:pPr>
            <w:r w:rsidRPr="00F53321">
              <w:t>Hypothetical reference circuit for systems using ana</w:t>
            </w:r>
            <w:r w:rsidR="00252518">
              <w:t>logue transmission in the fixed</w:t>
            </w:r>
            <w:r w:rsidR="00252518">
              <w:noBreakHyphen/>
            </w:r>
            <w:r w:rsidRPr="00F53321">
              <w:t>satellite service</w:t>
            </w:r>
          </w:p>
        </w:tc>
      </w:tr>
      <w:tr w:rsidR="000211C8" w:rsidTr="00252518">
        <w:trPr>
          <w:jc w:val="center"/>
        </w:trPr>
        <w:tc>
          <w:tcPr>
            <w:tcW w:w="1984" w:type="dxa"/>
            <w:tcBorders>
              <w:top w:val="single" w:sz="4" w:space="0" w:color="auto"/>
              <w:left w:val="single" w:sz="4" w:space="0" w:color="auto"/>
              <w:bottom w:val="single" w:sz="4" w:space="0" w:color="auto"/>
              <w:right w:val="single" w:sz="4" w:space="0" w:color="auto"/>
            </w:tcBorders>
            <w:vAlign w:val="center"/>
          </w:tcPr>
          <w:p w:rsidR="000211C8" w:rsidRDefault="000211C8">
            <w:pPr>
              <w:pStyle w:val="Tabletext"/>
              <w:jc w:val="center"/>
              <w:rPr>
                <w:rFonts w:eastAsia="SimSun"/>
                <w:szCs w:val="20"/>
                <w:lang w:val="fr-CH"/>
              </w:rPr>
            </w:pPr>
            <w:r>
              <w:rPr>
                <w:rFonts w:eastAsia="SimSun"/>
                <w:szCs w:val="20"/>
                <w:lang w:val="fr-CH"/>
              </w:rPr>
              <w:t>S.</w:t>
            </w:r>
            <w:r>
              <w:t>353-8</w:t>
            </w:r>
          </w:p>
        </w:tc>
        <w:tc>
          <w:tcPr>
            <w:tcW w:w="7479" w:type="dxa"/>
            <w:tcBorders>
              <w:top w:val="single" w:sz="4" w:space="0" w:color="auto"/>
              <w:left w:val="single" w:sz="4" w:space="0" w:color="auto"/>
              <w:bottom w:val="single" w:sz="4" w:space="0" w:color="auto"/>
              <w:right w:val="single" w:sz="4" w:space="0" w:color="auto"/>
            </w:tcBorders>
          </w:tcPr>
          <w:p w:rsidR="000211C8" w:rsidRPr="00A53CA9" w:rsidRDefault="000211C8">
            <w:pPr>
              <w:pStyle w:val="Tabletext"/>
              <w:jc w:val="both"/>
              <w:rPr>
                <w:szCs w:val="20"/>
              </w:rPr>
            </w:pPr>
            <w:r w:rsidRPr="00F53321">
              <w:t>Allowable noise power in the hypothetical reference circuit for frequency-division m</w:t>
            </w:r>
            <w:r>
              <w:t>ultiplex telephony in the fixed-</w:t>
            </w:r>
            <w:r w:rsidRPr="00F53321">
              <w:t>satellite service</w:t>
            </w:r>
          </w:p>
        </w:tc>
      </w:tr>
      <w:tr w:rsidR="000211C8" w:rsidTr="00252518">
        <w:trPr>
          <w:jc w:val="center"/>
        </w:trPr>
        <w:tc>
          <w:tcPr>
            <w:tcW w:w="1984" w:type="dxa"/>
            <w:tcBorders>
              <w:top w:val="single" w:sz="4" w:space="0" w:color="auto"/>
              <w:left w:val="single" w:sz="4" w:space="0" w:color="auto"/>
              <w:bottom w:val="single" w:sz="4" w:space="0" w:color="auto"/>
              <w:right w:val="single" w:sz="4" w:space="0" w:color="auto"/>
            </w:tcBorders>
            <w:vAlign w:val="center"/>
          </w:tcPr>
          <w:p w:rsidR="000211C8" w:rsidRDefault="000211C8">
            <w:pPr>
              <w:pStyle w:val="Tabletext"/>
              <w:jc w:val="center"/>
              <w:rPr>
                <w:rFonts w:eastAsia="SimSun"/>
                <w:szCs w:val="20"/>
                <w:lang w:val="fr-CH"/>
              </w:rPr>
            </w:pPr>
            <w:r>
              <w:t>S.464-2</w:t>
            </w:r>
          </w:p>
        </w:tc>
        <w:tc>
          <w:tcPr>
            <w:tcW w:w="7479" w:type="dxa"/>
            <w:tcBorders>
              <w:top w:val="single" w:sz="4" w:space="0" w:color="auto"/>
              <w:left w:val="single" w:sz="4" w:space="0" w:color="auto"/>
              <w:bottom w:val="single" w:sz="4" w:space="0" w:color="auto"/>
              <w:right w:val="single" w:sz="4" w:space="0" w:color="auto"/>
            </w:tcBorders>
          </w:tcPr>
          <w:p w:rsidR="000211C8" w:rsidRPr="00F53321" w:rsidRDefault="000211C8">
            <w:pPr>
              <w:pStyle w:val="Tabletext"/>
              <w:jc w:val="both"/>
            </w:pPr>
            <w:r w:rsidRPr="00F53321">
              <w:t>Pre-emphasis characteristics for frequency-modulation systems for frequency-division multiplex telephony in the fixed-satellite service</w:t>
            </w:r>
          </w:p>
        </w:tc>
      </w:tr>
      <w:tr w:rsidR="000211C8" w:rsidTr="00252518">
        <w:trPr>
          <w:jc w:val="center"/>
        </w:trPr>
        <w:tc>
          <w:tcPr>
            <w:tcW w:w="1984" w:type="dxa"/>
            <w:tcBorders>
              <w:top w:val="single" w:sz="4" w:space="0" w:color="auto"/>
              <w:left w:val="single" w:sz="4" w:space="0" w:color="auto"/>
              <w:bottom w:val="single" w:sz="4" w:space="0" w:color="auto"/>
              <w:right w:val="single" w:sz="4" w:space="0" w:color="auto"/>
            </w:tcBorders>
            <w:vAlign w:val="center"/>
          </w:tcPr>
          <w:p w:rsidR="000211C8" w:rsidRDefault="000211C8">
            <w:pPr>
              <w:pStyle w:val="Tabletext"/>
              <w:jc w:val="center"/>
            </w:pPr>
            <w:r>
              <w:t>S.481-2</w:t>
            </w:r>
          </w:p>
        </w:tc>
        <w:tc>
          <w:tcPr>
            <w:tcW w:w="7479" w:type="dxa"/>
            <w:tcBorders>
              <w:top w:val="single" w:sz="4" w:space="0" w:color="auto"/>
              <w:left w:val="single" w:sz="4" w:space="0" w:color="auto"/>
              <w:bottom w:val="single" w:sz="4" w:space="0" w:color="auto"/>
              <w:right w:val="single" w:sz="4" w:space="0" w:color="auto"/>
            </w:tcBorders>
          </w:tcPr>
          <w:p w:rsidR="000211C8" w:rsidRPr="00F53321" w:rsidRDefault="000211C8">
            <w:pPr>
              <w:pStyle w:val="Tabletext"/>
              <w:jc w:val="both"/>
            </w:pPr>
            <w:r w:rsidRPr="00F53321">
              <w:t>Measurement of noise in actual traffic for systems in the fixed-satellite service for telephony using frequency-division multiplex</w:t>
            </w:r>
          </w:p>
        </w:tc>
      </w:tr>
      <w:tr w:rsidR="000211C8" w:rsidTr="00252518">
        <w:trPr>
          <w:jc w:val="center"/>
        </w:trPr>
        <w:tc>
          <w:tcPr>
            <w:tcW w:w="1984" w:type="dxa"/>
            <w:tcBorders>
              <w:top w:val="single" w:sz="4" w:space="0" w:color="auto"/>
              <w:left w:val="single" w:sz="4" w:space="0" w:color="auto"/>
              <w:bottom w:val="single" w:sz="4" w:space="0" w:color="auto"/>
              <w:right w:val="single" w:sz="4" w:space="0" w:color="auto"/>
            </w:tcBorders>
            <w:vAlign w:val="center"/>
          </w:tcPr>
          <w:p w:rsidR="000211C8" w:rsidRDefault="000211C8">
            <w:pPr>
              <w:pStyle w:val="Tabletext"/>
              <w:jc w:val="center"/>
            </w:pPr>
            <w:r>
              <w:t>S.482-2</w:t>
            </w:r>
          </w:p>
        </w:tc>
        <w:tc>
          <w:tcPr>
            <w:tcW w:w="7479" w:type="dxa"/>
            <w:tcBorders>
              <w:top w:val="single" w:sz="4" w:space="0" w:color="auto"/>
              <w:left w:val="single" w:sz="4" w:space="0" w:color="auto"/>
              <w:bottom w:val="single" w:sz="4" w:space="0" w:color="auto"/>
              <w:right w:val="single" w:sz="4" w:space="0" w:color="auto"/>
            </w:tcBorders>
          </w:tcPr>
          <w:p w:rsidR="000211C8" w:rsidRPr="00F53321" w:rsidRDefault="000211C8">
            <w:pPr>
              <w:pStyle w:val="Tabletext"/>
              <w:jc w:val="both"/>
            </w:pPr>
            <w:r w:rsidRPr="00F53321">
              <w:t>Measurement of performance by means of a signal of a uniform spectrum for systems using frequency-division multiplex telephony in the fixed-satellite service</w:t>
            </w:r>
          </w:p>
        </w:tc>
      </w:tr>
    </w:tbl>
    <w:p w:rsidR="004A7970" w:rsidRDefault="004A7970" w:rsidP="004A7970"/>
    <w:p w:rsidR="004A7970" w:rsidRDefault="004A7970" w:rsidP="004A7970">
      <w:pPr>
        <w:pStyle w:val="Headingb"/>
        <w:spacing w:before="360" w:after="120"/>
        <w:jc w:val="center"/>
      </w:pPr>
      <w:r>
        <w:t>________________</w:t>
      </w:r>
    </w:p>
    <w:p w:rsidR="004A7970" w:rsidRDefault="004A7970" w:rsidP="004A7970">
      <w:pPr>
        <w:jc w:val="center"/>
      </w:pPr>
    </w:p>
    <w:sectPr w:rsidR="004A7970" w:rsidSect="00031E64">
      <w:headerReference w:type="even" r:id="rId13"/>
      <w:headerReference w:type="default" r:id="rId14"/>
      <w:headerReference w:type="first" r:id="rId15"/>
      <w:footerReference w:type="first" r:id="rId16"/>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970" w:rsidRDefault="004A7970">
      <w:r>
        <w:separator/>
      </w:r>
    </w:p>
  </w:endnote>
  <w:endnote w:type="continuationSeparator" w:id="0">
    <w:p w:rsidR="004A7970" w:rsidRDefault="004A7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5E5EB3" w:rsidRDefault="00E915AF" w:rsidP="00F914DD">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970" w:rsidRDefault="004A7970">
      <w:r>
        <w:t>____________________</w:t>
      </w:r>
    </w:p>
  </w:footnote>
  <w:footnote w:type="continuationSeparator" w:id="0">
    <w:p w:rsidR="004A7970" w:rsidRDefault="004A79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BF5F50" w:rsidRDefault="00BF5F50" w:rsidP="00BF5F50">
    <w:pPr>
      <w:pStyle w:val="Header"/>
      <w:jc w:val="center"/>
    </w:pPr>
    <w:r w:rsidRPr="00BF5F50">
      <w:rPr>
        <w:sz w:val="18"/>
        <w:szCs w:val="18"/>
      </w:rPr>
      <w:t xml:space="preserve">- </w:t>
    </w:r>
    <w:r w:rsidRPr="00BF5F50">
      <w:rPr>
        <w:rStyle w:val="PageNumber"/>
        <w:sz w:val="18"/>
        <w:szCs w:val="18"/>
      </w:rPr>
      <w:fldChar w:fldCharType="begin"/>
    </w:r>
    <w:r w:rsidRPr="00BF5F50">
      <w:rPr>
        <w:rStyle w:val="PageNumber"/>
        <w:sz w:val="18"/>
        <w:szCs w:val="18"/>
      </w:rPr>
      <w:instrText xml:space="preserve"> PAGE </w:instrText>
    </w:r>
    <w:r w:rsidRPr="00BF5F50">
      <w:rPr>
        <w:rStyle w:val="PageNumber"/>
        <w:sz w:val="18"/>
        <w:szCs w:val="18"/>
      </w:rPr>
      <w:fldChar w:fldCharType="separate"/>
    </w:r>
    <w:r w:rsidR="00B3328A">
      <w:rPr>
        <w:rStyle w:val="PageNumber"/>
        <w:noProof/>
        <w:sz w:val="18"/>
        <w:szCs w:val="18"/>
      </w:rPr>
      <w:t>2</w:t>
    </w:r>
    <w:r w:rsidRPr="00BF5F50">
      <w:rPr>
        <w:rStyle w:val="PageNumber"/>
        <w:sz w:val="18"/>
        <w:szCs w:val="18"/>
      </w:rPr>
      <w:fldChar w:fldCharType="end"/>
    </w:r>
    <w:r w:rsidRPr="00BF5F50">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F50" w:rsidRPr="00BF5F50" w:rsidRDefault="00BF5F50" w:rsidP="00BF5F50">
    <w:pPr>
      <w:pStyle w:val="Header"/>
      <w:jc w:val="center"/>
    </w:pPr>
    <w:r w:rsidRPr="00BF5F50">
      <w:rPr>
        <w:sz w:val="18"/>
        <w:szCs w:val="18"/>
      </w:rPr>
      <w:t xml:space="preserve">- </w:t>
    </w:r>
    <w:r w:rsidRPr="00BF5F50">
      <w:rPr>
        <w:rStyle w:val="PageNumber"/>
        <w:sz w:val="18"/>
        <w:szCs w:val="18"/>
      </w:rPr>
      <w:fldChar w:fldCharType="begin"/>
    </w:r>
    <w:r w:rsidRPr="00BF5F50">
      <w:rPr>
        <w:rStyle w:val="PageNumber"/>
        <w:sz w:val="18"/>
        <w:szCs w:val="18"/>
      </w:rPr>
      <w:instrText xml:space="preserve"> PAGE </w:instrText>
    </w:r>
    <w:r w:rsidRPr="00BF5F50">
      <w:rPr>
        <w:rStyle w:val="PageNumber"/>
        <w:sz w:val="18"/>
        <w:szCs w:val="18"/>
      </w:rPr>
      <w:fldChar w:fldCharType="separate"/>
    </w:r>
    <w:r w:rsidR="00B3328A">
      <w:rPr>
        <w:rStyle w:val="PageNumber"/>
        <w:noProof/>
        <w:sz w:val="18"/>
        <w:szCs w:val="18"/>
      </w:rPr>
      <w:t>3</w:t>
    </w:r>
    <w:r w:rsidRPr="00BF5F50">
      <w:rPr>
        <w:rStyle w:val="PageNumber"/>
        <w:sz w:val="18"/>
        <w:szCs w:val="18"/>
      </w:rPr>
      <w:fldChar w:fldCharType="end"/>
    </w:r>
    <w:r w:rsidRPr="00BF5F50">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342FA8F7" wp14:editId="2371DA68">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6CE609ED"/>
    <w:multiLevelType w:val="hybridMultilevel"/>
    <w:tmpl w:val="2A8E02DC"/>
    <w:lvl w:ilvl="0" w:tplc="4B86A374">
      <w:start w:val="27"/>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4A7970"/>
    <w:rsid w:val="00006A31"/>
    <w:rsid w:val="00006C82"/>
    <w:rsid w:val="00010E30"/>
    <w:rsid w:val="00015C76"/>
    <w:rsid w:val="000211C8"/>
    <w:rsid w:val="00026CF8"/>
    <w:rsid w:val="00030BD7"/>
    <w:rsid w:val="00031E64"/>
    <w:rsid w:val="00034340"/>
    <w:rsid w:val="00045A8D"/>
    <w:rsid w:val="0005167A"/>
    <w:rsid w:val="00054E5D"/>
    <w:rsid w:val="00070258"/>
    <w:rsid w:val="0007323C"/>
    <w:rsid w:val="00086D03"/>
    <w:rsid w:val="00090022"/>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4404"/>
    <w:rsid w:val="00144DFB"/>
    <w:rsid w:val="00175354"/>
    <w:rsid w:val="00187CA3"/>
    <w:rsid w:val="00196710"/>
    <w:rsid w:val="00197324"/>
    <w:rsid w:val="001B351B"/>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2518"/>
    <w:rsid w:val="00257189"/>
    <w:rsid w:val="00266E74"/>
    <w:rsid w:val="00283C3B"/>
    <w:rsid w:val="002861E6"/>
    <w:rsid w:val="00287D18"/>
    <w:rsid w:val="002A2618"/>
    <w:rsid w:val="002A5DD7"/>
    <w:rsid w:val="002B0CAC"/>
    <w:rsid w:val="002D5A15"/>
    <w:rsid w:val="002D5BDD"/>
    <w:rsid w:val="002E3D27"/>
    <w:rsid w:val="002E4FED"/>
    <w:rsid w:val="002F0890"/>
    <w:rsid w:val="002F2531"/>
    <w:rsid w:val="002F4967"/>
    <w:rsid w:val="00316935"/>
    <w:rsid w:val="003266ED"/>
    <w:rsid w:val="003370B8"/>
    <w:rsid w:val="00345D38"/>
    <w:rsid w:val="00352097"/>
    <w:rsid w:val="003666FF"/>
    <w:rsid w:val="0037309C"/>
    <w:rsid w:val="00380A6E"/>
    <w:rsid w:val="003836D4"/>
    <w:rsid w:val="003A1F49"/>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623F7"/>
    <w:rsid w:val="0046720A"/>
    <w:rsid w:val="00480F51"/>
    <w:rsid w:val="00481124"/>
    <w:rsid w:val="004815EB"/>
    <w:rsid w:val="00487569"/>
    <w:rsid w:val="00496864"/>
    <w:rsid w:val="00496920"/>
    <w:rsid w:val="004A4496"/>
    <w:rsid w:val="004A7970"/>
    <w:rsid w:val="004B11AB"/>
    <w:rsid w:val="004B120D"/>
    <w:rsid w:val="004B7971"/>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79E9"/>
    <w:rsid w:val="005A7C57"/>
    <w:rsid w:val="005B214C"/>
    <w:rsid w:val="005C776B"/>
    <w:rsid w:val="005D3669"/>
    <w:rsid w:val="005E5EB3"/>
    <w:rsid w:val="005F3CB6"/>
    <w:rsid w:val="005F657C"/>
    <w:rsid w:val="00602D53"/>
    <w:rsid w:val="006047E5"/>
    <w:rsid w:val="0064371D"/>
    <w:rsid w:val="00650B2A"/>
    <w:rsid w:val="00651777"/>
    <w:rsid w:val="006550F8"/>
    <w:rsid w:val="00656226"/>
    <w:rsid w:val="006829F3"/>
    <w:rsid w:val="006A518B"/>
    <w:rsid w:val="006B0590"/>
    <w:rsid w:val="006B49DA"/>
    <w:rsid w:val="006C1668"/>
    <w:rsid w:val="006C53F8"/>
    <w:rsid w:val="006C7CDE"/>
    <w:rsid w:val="007234B1"/>
    <w:rsid w:val="00723D08"/>
    <w:rsid w:val="00725FDA"/>
    <w:rsid w:val="00727816"/>
    <w:rsid w:val="00730B9A"/>
    <w:rsid w:val="00750CFA"/>
    <w:rsid w:val="007553DA"/>
    <w:rsid w:val="0077406E"/>
    <w:rsid w:val="00782354"/>
    <w:rsid w:val="007921A7"/>
    <w:rsid w:val="007B3DB1"/>
    <w:rsid w:val="007D183E"/>
    <w:rsid w:val="007D43D0"/>
    <w:rsid w:val="007E1833"/>
    <w:rsid w:val="007E3F13"/>
    <w:rsid w:val="007F751A"/>
    <w:rsid w:val="00800012"/>
    <w:rsid w:val="0080261F"/>
    <w:rsid w:val="00806160"/>
    <w:rsid w:val="00810667"/>
    <w:rsid w:val="008143A4"/>
    <w:rsid w:val="0081513E"/>
    <w:rsid w:val="00854131"/>
    <w:rsid w:val="0085652D"/>
    <w:rsid w:val="0087694B"/>
    <w:rsid w:val="00880F4D"/>
    <w:rsid w:val="008B35A3"/>
    <w:rsid w:val="008B37E1"/>
    <w:rsid w:val="008B45F8"/>
    <w:rsid w:val="008B569B"/>
    <w:rsid w:val="008C2E74"/>
    <w:rsid w:val="008D5409"/>
    <w:rsid w:val="008E006D"/>
    <w:rsid w:val="008E38B4"/>
    <w:rsid w:val="008F0245"/>
    <w:rsid w:val="008F4F21"/>
    <w:rsid w:val="00904D4A"/>
    <w:rsid w:val="00904ECB"/>
    <w:rsid w:val="009151BA"/>
    <w:rsid w:val="00925023"/>
    <w:rsid w:val="009277BC"/>
    <w:rsid w:val="00927D57"/>
    <w:rsid w:val="00931A51"/>
    <w:rsid w:val="00944805"/>
    <w:rsid w:val="00947185"/>
    <w:rsid w:val="009518B3"/>
    <w:rsid w:val="00955A28"/>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31370"/>
    <w:rsid w:val="00A34D6F"/>
    <w:rsid w:val="00A41F91"/>
    <w:rsid w:val="00A422DE"/>
    <w:rsid w:val="00A45D9A"/>
    <w:rsid w:val="00A53CA9"/>
    <w:rsid w:val="00A63355"/>
    <w:rsid w:val="00A7596D"/>
    <w:rsid w:val="00A963DF"/>
    <w:rsid w:val="00AC0C22"/>
    <w:rsid w:val="00AC3896"/>
    <w:rsid w:val="00AD2CF2"/>
    <w:rsid w:val="00AE2D88"/>
    <w:rsid w:val="00AE6F6F"/>
    <w:rsid w:val="00AF3325"/>
    <w:rsid w:val="00AF34D9"/>
    <w:rsid w:val="00AF70DA"/>
    <w:rsid w:val="00B019D3"/>
    <w:rsid w:val="00B3328A"/>
    <w:rsid w:val="00B34CF9"/>
    <w:rsid w:val="00B37559"/>
    <w:rsid w:val="00B4054B"/>
    <w:rsid w:val="00B500FB"/>
    <w:rsid w:val="00B579B0"/>
    <w:rsid w:val="00B57D11"/>
    <w:rsid w:val="00B57F3C"/>
    <w:rsid w:val="00B649D7"/>
    <w:rsid w:val="00B81C2F"/>
    <w:rsid w:val="00B90743"/>
    <w:rsid w:val="00B90C45"/>
    <w:rsid w:val="00B933BE"/>
    <w:rsid w:val="00BD6738"/>
    <w:rsid w:val="00BD7E5E"/>
    <w:rsid w:val="00BE63DB"/>
    <w:rsid w:val="00BE6574"/>
    <w:rsid w:val="00BF5F50"/>
    <w:rsid w:val="00C07319"/>
    <w:rsid w:val="00C16FD2"/>
    <w:rsid w:val="00C224B1"/>
    <w:rsid w:val="00C4395E"/>
    <w:rsid w:val="00C47FFD"/>
    <w:rsid w:val="00C51E92"/>
    <w:rsid w:val="00C57E2C"/>
    <w:rsid w:val="00C608B7"/>
    <w:rsid w:val="00C66F24"/>
    <w:rsid w:val="00C76D7F"/>
    <w:rsid w:val="00C813AA"/>
    <w:rsid w:val="00C818D7"/>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16A9"/>
    <w:rsid w:val="00DA383E"/>
    <w:rsid w:val="00DA4037"/>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6415"/>
    <w:rsid w:val="00EA15B3"/>
    <w:rsid w:val="00EB2358"/>
    <w:rsid w:val="00EB3EB8"/>
    <w:rsid w:val="00EC02FE"/>
    <w:rsid w:val="00EC4A96"/>
    <w:rsid w:val="00F424BF"/>
    <w:rsid w:val="00F44FC3"/>
    <w:rsid w:val="00F46107"/>
    <w:rsid w:val="00F468C5"/>
    <w:rsid w:val="00F52F39"/>
    <w:rsid w:val="00F6184F"/>
    <w:rsid w:val="00F63323"/>
    <w:rsid w:val="00F802CD"/>
    <w:rsid w:val="00F8310E"/>
    <w:rsid w:val="00F914DD"/>
    <w:rsid w:val="00FA2358"/>
    <w:rsid w:val="00FB2592"/>
    <w:rsid w:val="00FB2810"/>
    <w:rsid w:val="00FB7A2C"/>
    <w:rsid w:val="00FC2947"/>
    <w:rsid w:val="00FE0818"/>
    <w:rsid w:val="00FE6FB1"/>
    <w:rsid w:val="00FF1DED"/>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99"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uiPriority w:val="99"/>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99"/>
    <w:qFormat/>
    <w:rsid w:val="009518B3"/>
    <w:rPr>
      <w:b/>
      <w:bCs/>
    </w:rPr>
  </w:style>
  <w:style w:type="paragraph" w:styleId="ListParagraph">
    <w:name w:val="List Paragraph"/>
    <w:basedOn w:val="Normal"/>
    <w:uiPriority w:val="34"/>
    <w:qFormat/>
    <w:rsid w:val="004A7970"/>
    <w:pPr>
      <w:spacing w:before="120" w:line="240" w:lineRule="auto"/>
      <w:ind w:left="720"/>
      <w:contextualSpacing/>
      <w:jc w:val="left"/>
    </w:pPr>
    <w:rPr>
      <w:rFonts w:ascii="Times New Roman" w:hAnsi="Times New Roman" w:cs="Times New Roman"/>
      <w:sz w:val="24"/>
      <w:szCs w:val="20"/>
      <w:lang w:val="en-GB"/>
    </w:rPr>
  </w:style>
  <w:style w:type="paragraph" w:customStyle="1" w:styleId="AnnexNotitle0">
    <w:name w:val="Annex_No &amp; title"/>
    <w:basedOn w:val="Normal"/>
    <w:next w:val="Normalaftertitle"/>
    <w:uiPriority w:val="99"/>
    <w:rsid w:val="004A7970"/>
    <w:pPr>
      <w:keepNext/>
      <w:keepLines/>
      <w:spacing w:before="480" w:line="240" w:lineRule="auto"/>
      <w:jc w:val="center"/>
    </w:pPr>
    <w:rPr>
      <w:rFonts w:ascii="Times New Roman" w:hAnsi="Times New Roman" w:cs="Times New Roman"/>
      <w:b/>
      <w:sz w:val="28"/>
      <w:szCs w:val="20"/>
      <w:lang w:val="en-GB"/>
    </w:rPr>
  </w:style>
  <w:style w:type="paragraph" w:styleId="BodyTextIndent">
    <w:name w:val="Body Text Indent"/>
    <w:basedOn w:val="Normal"/>
    <w:link w:val="BodyTextIndentChar"/>
    <w:rsid w:val="004A7970"/>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4A7970"/>
    <w:rPr>
      <w:rFonts w:ascii="Times New Roman" w:hAnsi="Times New Roman" w:cs="Times New Roman"/>
      <w:sz w:val="16"/>
      <w:lang w:val="en-GB" w:eastAsia="en-US"/>
    </w:rPr>
  </w:style>
  <w:style w:type="character" w:customStyle="1" w:styleId="RectitleChar">
    <w:name w:val="Rec_title Char"/>
    <w:link w:val="Rectitle"/>
    <w:uiPriority w:val="99"/>
    <w:rsid w:val="004A7970"/>
    <w:rPr>
      <w:b/>
      <w:sz w:val="28"/>
      <w:szCs w:val="22"/>
      <w:lang w:val="en-US" w:eastAsia="en-US"/>
    </w:rPr>
  </w:style>
  <w:style w:type="character" w:customStyle="1" w:styleId="FooterChar">
    <w:name w:val="Footer Char"/>
    <w:basedOn w:val="DefaultParagraphFont"/>
    <w:link w:val="Footer"/>
    <w:uiPriority w:val="99"/>
    <w:rsid w:val="004B7971"/>
    <w:rPr>
      <w:sz w:val="22"/>
      <w:szCs w:val="22"/>
      <w:lang w:val="en-US" w:eastAsia="en-US"/>
    </w:rPr>
  </w:style>
  <w:style w:type="character" w:customStyle="1" w:styleId="TableheadChar">
    <w:name w:val="Table_head Char"/>
    <w:basedOn w:val="DefaultParagraphFont"/>
    <w:link w:val="Tablehead"/>
    <w:uiPriority w:val="99"/>
    <w:locked/>
    <w:rsid w:val="000211C8"/>
    <w:rPr>
      <w:b/>
      <w:szCs w:val="22"/>
      <w:lang w:val="en-US" w:eastAsia="en-US"/>
    </w:rPr>
  </w:style>
  <w:style w:type="character" w:customStyle="1" w:styleId="TabletextChar">
    <w:name w:val="Table_text Char"/>
    <w:link w:val="Tabletext"/>
    <w:locked/>
    <w:rsid w:val="000211C8"/>
    <w:rPr>
      <w:szCs w:val="22"/>
      <w:lang w:val="en-US" w:eastAsia="en-US"/>
    </w:rPr>
  </w:style>
  <w:style w:type="table" w:styleId="TableGrid">
    <w:name w:val="Table Grid"/>
    <w:basedOn w:val="TableNormal"/>
    <w:rsid w:val="000211C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link w:val="enumlev1"/>
    <w:uiPriority w:val="99"/>
    <w:locked/>
    <w:rsid w:val="000211C8"/>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99"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uiPriority w:val="99"/>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99"/>
    <w:qFormat/>
    <w:rsid w:val="009518B3"/>
    <w:rPr>
      <w:b/>
      <w:bCs/>
    </w:rPr>
  </w:style>
  <w:style w:type="paragraph" w:styleId="ListParagraph">
    <w:name w:val="List Paragraph"/>
    <w:basedOn w:val="Normal"/>
    <w:uiPriority w:val="34"/>
    <w:qFormat/>
    <w:rsid w:val="004A7970"/>
    <w:pPr>
      <w:spacing w:before="120" w:line="240" w:lineRule="auto"/>
      <w:ind w:left="720"/>
      <w:contextualSpacing/>
      <w:jc w:val="left"/>
    </w:pPr>
    <w:rPr>
      <w:rFonts w:ascii="Times New Roman" w:hAnsi="Times New Roman" w:cs="Times New Roman"/>
      <w:sz w:val="24"/>
      <w:szCs w:val="20"/>
      <w:lang w:val="en-GB"/>
    </w:rPr>
  </w:style>
  <w:style w:type="paragraph" w:customStyle="1" w:styleId="AnnexNotitle0">
    <w:name w:val="Annex_No &amp; title"/>
    <w:basedOn w:val="Normal"/>
    <w:next w:val="Normalaftertitle"/>
    <w:uiPriority w:val="99"/>
    <w:rsid w:val="004A7970"/>
    <w:pPr>
      <w:keepNext/>
      <w:keepLines/>
      <w:spacing w:before="480" w:line="240" w:lineRule="auto"/>
      <w:jc w:val="center"/>
    </w:pPr>
    <w:rPr>
      <w:rFonts w:ascii="Times New Roman" w:hAnsi="Times New Roman" w:cs="Times New Roman"/>
      <w:b/>
      <w:sz w:val="28"/>
      <w:szCs w:val="20"/>
      <w:lang w:val="en-GB"/>
    </w:rPr>
  </w:style>
  <w:style w:type="paragraph" w:styleId="BodyTextIndent">
    <w:name w:val="Body Text Indent"/>
    <w:basedOn w:val="Normal"/>
    <w:link w:val="BodyTextIndentChar"/>
    <w:rsid w:val="004A7970"/>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4A7970"/>
    <w:rPr>
      <w:rFonts w:ascii="Times New Roman" w:hAnsi="Times New Roman" w:cs="Times New Roman"/>
      <w:sz w:val="16"/>
      <w:lang w:val="en-GB" w:eastAsia="en-US"/>
    </w:rPr>
  </w:style>
  <w:style w:type="character" w:customStyle="1" w:styleId="RectitleChar">
    <w:name w:val="Rec_title Char"/>
    <w:link w:val="Rectitle"/>
    <w:uiPriority w:val="99"/>
    <w:rsid w:val="004A7970"/>
    <w:rPr>
      <w:b/>
      <w:sz w:val="28"/>
      <w:szCs w:val="22"/>
      <w:lang w:val="en-US" w:eastAsia="en-US"/>
    </w:rPr>
  </w:style>
  <w:style w:type="character" w:customStyle="1" w:styleId="FooterChar">
    <w:name w:val="Footer Char"/>
    <w:basedOn w:val="DefaultParagraphFont"/>
    <w:link w:val="Footer"/>
    <w:uiPriority w:val="99"/>
    <w:rsid w:val="004B7971"/>
    <w:rPr>
      <w:sz w:val="22"/>
      <w:szCs w:val="22"/>
      <w:lang w:val="en-US" w:eastAsia="en-US"/>
    </w:rPr>
  </w:style>
  <w:style w:type="character" w:customStyle="1" w:styleId="TableheadChar">
    <w:name w:val="Table_head Char"/>
    <w:basedOn w:val="DefaultParagraphFont"/>
    <w:link w:val="Tablehead"/>
    <w:uiPriority w:val="99"/>
    <w:locked/>
    <w:rsid w:val="000211C8"/>
    <w:rPr>
      <w:b/>
      <w:szCs w:val="22"/>
      <w:lang w:val="en-US" w:eastAsia="en-US"/>
    </w:rPr>
  </w:style>
  <w:style w:type="character" w:customStyle="1" w:styleId="TabletextChar">
    <w:name w:val="Table_text Char"/>
    <w:link w:val="Tabletext"/>
    <w:locked/>
    <w:rsid w:val="000211C8"/>
    <w:rPr>
      <w:szCs w:val="22"/>
      <w:lang w:val="en-US" w:eastAsia="en-US"/>
    </w:rPr>
  </w:style>
  <w:style w:type="table" w:styleId="TableGrid">
    <w:name w:val="Table Grid"/>
    <w:basedOn w:val="TableNormal"/>
    <w:rsid w:val="000211C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link w:val="enumlev1"/>
    <w:uiPriority w:val="99"/>
    <w:locked/>
    <w:rsid w:val="000211C8"/>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940793108">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tu.int/md/R12-SG04-C-0069/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R12-SG04-C/en"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itu.int/en/ITU-T/ipr/Pages/policy.aspx" TargetMode="External"/><Relationship Id="rId4" Type="http://schemas.microsoft.com/office/2007/relationships/stylesWithEffects" Target="stylesWithEffects.xml"/><Relationship Id="rId9" Type="http://schemas.openxmlformats.org/officeDocument/2006/relationships/hyperlink" Target="http://www.itu.int/pub/R-REC"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6D5A0-04FA-484A-851A-F363404EC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PE_NewBRcirc.dotx</Template>
  <TotalTime>119</TotalTime>
  <Pages>4</Pages>
  <Words>758</Words>
  <Characters>5088</Characters>
  <Application>Microsoft Office Word</Application>
  <DocSecurity>0</DocSecurity>
  <Lines>42</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5835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dc:creator>
  <cp:lastModifiedBy>ITU</cp:lastModifiedBy>
  <cp:revision>9</cp:revision>
  <cp:lastPrinted>2014-07-21T12:46:00Z</cp:lastPrinted>
  <dcterms:created xsi:type="dcterms:W3CDTF">2014-07-21T07:18:00Z</dcterms:created>
  <dcterms:modified xsi:type="dcterms:W3CDTF">2014-07-21T12:48:00Z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