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F852E7" w:rsidTr="00651777">
        <w:tc>
          <w:tcPr>
            <w:tcW w:w="5353" w:type="dxa"/>
            <w:gridSpan w:val="4"/>
          </w:tcPr>
          <w:p w:rsidR="00651777" w:rsidRPr="00F852E7" w:rsidRDefault="00CD0E47" w:rsidP="00935551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F852E7">
              <w:rPr>
                <w:sz w:val="24"/>
                <w:szCs w:val="24"/>
              </w:rPr>
              <w:t>Circular Administrativa</w:t>
            </w:r>
            <w:r w:rsidRPr="00F852E7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F852E7">
              <w:rPr>
                <w:b/>
                <w:bCs/>
                <w:sz w:val="24"/>
                <w:szCs w:val="24"/>
              </w:rPr>
              <w:t>CACE/</w:t>
            </w:r>
            <w:r w:rsidR="00935551">
              <w:rPr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4536" w:type="dxa"/>
          </w:tcPr>
          <w:p w:rsidR="00651777" w:rsidRPr="00F852E7" w:rsidRDefault="00935551" w:rsidP="00935551">
            <w:pPr>
              <w:jc w:val="right"/>
              <w:rPr>
                <w:sz w:val="24"/>
                <w:szCs w:val="24"/>
              </w:rPr>
            </w:pPr>
            <w:r w:rsidRPr="0002491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  <w:r w:rsidRPr="0002491A">
              <w:rPr>
                <w:bCs/>
                <w:sz w:val="24"/>
                <w:szCs w:val="24"/>
              </w:rPr>
              <w:t xml:space="preserve"> de junio de 201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2339B" w:rsidRPr="00F852E7" w:rsidTr="00D2339B">
        <w:tc>
          <w:tcPr>
            <w:tcW w:w="1384" w:type="dxa"/>
          </w:tcPr>
          <w:p w:rsidR="00D2339B" w:rsidRPr="00F852E7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F852E7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F852E7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F852E7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F852E7" w:rsidTr="00EA15B3">
        <w:tc>
          <w:tcPr>
            <w:tcW w:w="9889" w:type="dxa"/>
            <w:gridSpan w:val="5"/>
          </w:tcPr>
          <w:p w:rsidR="00D2339B" w:rsidRPr="00F852E7" w:rsidRDefault="00CD0E47" w:rsidP="00935551">
            <w:pPr>
              <w:jc w:val="left"/>
              <w:rPr>
                <w:b/>
                <w:sz w:val="24"/>
                <w:szCs w:val="24"/>
              </w:rPr>
            </w:pPr>
            <w:r w:rsidRPr="00F852E7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Pr="00F852E7">
              <w:rPr>
                <w:b/>
                <w:sz w:val="24"/>
                <w:szCs w:val="24"/>
              </w:rPr>
              <w:br/>
              <w:t>del Sector de Radiocomunicaciones y a los Asociados del UIT-R que participan</w:t>
            </w:r>
            <w:r w:rsidRPr="00F852E7">
              <w:rPr>
                <w:b/>
                <w:sz w:val="24"/>
                <w:szCs w:val="24"/>
              </w:rPr>
              <w:br/>
              <w:t xml:space="preserve">en los trabajos de la Comisión de Estudio </w:t>
            </w:r>
            <w:r w:rsidR="00935551">
              <w:rPr>
                <w:b/>
                <w:sz w:val="24"/>
                <w:szCs w:val="24"/>
              </w:rPr>
              <w:t>1</w:t>
            </w:r>
            <w:r w:rsidRPr="00F852E7">
              <w:rPr>
                <w:b/>
                <w:sz w:val="24"/>
                <w:szCs w:val="24"/>
              </w:rPr>
              <w:t xml:space="preserve"> de </w:t>
            </w:r>
            <w:r w:rsidR="006C04E0" w:rsidRPr="00F852E7">
              <w:rPr>
                <w:b/>
                <w:sz w:val="24"/>
                <w:szCs w:val="24"/>
              </w:rPr>
              <w:t>Radiocomunicaciones</w:t>
            </w:r>
          </w:p>
          <w:p w:rsidR="00CD0E47" w:rsidRPr="00F852E7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F852E7" w:rsidTr="00471EDA">
        <w:tc>
          <w:tcPr>
            <w:tcW w:w="1526" w:type="dxa"/>
            <w:gridSpan w:val="2"/>
            <w:shd w:val="clear" w:color="auto" w:fill="auto"/>
          </w:tcPr>
          <w:p w:rsidR="00CD0E47" w:rsidRPr="00F852E7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F852E7">
              <w:rPr>
                <w:sz w:val="24"/>
                <w:szCs w:val="24"/>
                <w:lang w:val="en-US"/>
              </w:rPr>
              <w:t>Objeto</w:t>
            </w:r>
            <w:r w:rsidR="006C04E0" w:rsidRPr="00F852E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F852E7" w:rsidRDefault="00CD0E47" w:rsidP="00935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F852E7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935551">
              <w:rPr>
                <w:b/>
                <w:bCs/>
                <w:sz w:val="24"/>
                <w:szCs w:val="24"/>
              </w:rPr>
              <w:t>1</w:t>
            </w:r>
            <w:r w:rsidRPr="00F852E7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935551" w:rsidRPr="0002491A">
              <w:rPr>
                <w:b/>
                <w:sz w:val="24"/>
                <w:szCs w:val="24"/>
              </w:rPr>
              <w:t>(Gestión del espectro)</w:t>
            </w:r>
          </w:p>
          <w:p w:rsidR="00CD0E47" w:rsidRPr="00F852E7" w:rsidRDefault="00CD0E47" w:rsidP="00935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F852E7">
              <w:rPr>
                <w:sz w:val="24"/>
                <w:szCs w:val="24"/>
              </w:rPr>
              <w:t>–</w:t>
            </w:r>
            <w:r w:rsidRPr="00F852E7">
              <w:rPr>
                <w:b/>
                <w:bCs/>
                <w:sz w:val="24"/>
                <w:szCs w:val="24"/>
              </w:rPr>
              <w:tab/>
            </w:r>
            <w:r w:rsidR="00CE6299" w:rsidRPr="00F852E7">
              <w:rPr>
                <w:b/>
                <w:bCs/>
                <w:sz w:val="24"/>
                <w:szCs w:val="24"/>
              </w:rPr>
              <w:t xml:space="preserve">Propuesta de adopción </w:t>
            </w:r>
            <w:r w:rsidR="00935551">
              <w:rPr>
                <w:b/>
                <w:bCs/>
                <w:sz w:val="24"/>
                <w:szCs w:val="24"/>
              </w:rPr>
              <w:t>5</w:t>
            </w:r>
            <w:r w:rsidR="00CE6299" w:rsidRPr="00F852E7">
              <w:rPr>
                <w:b/>
                <w:bCs/>
                <w:sz w:val="24"/>
                <w:szCs w:val="24"/>
              </w:rPr>
              <w:t> </w:t>
            </w:r>
            <w:r w:rsidR="00CE6299" w:rsidRPr="00F852E7">
              <w:rPr>
                <w:b/>
                <w:sz w:val="24"/>
                <w:szCs w:val="24"/>
              </w:rPr>
              <w:t>proyectos de Recomendación UIT-R revisada y su aprobación simultánea por correspondencia de conformidad con el § 10.3 de la Resolución UIT</w:t>
            </w:r>
            <w:r w:rsidR="00CE6299" w:rsidRPr="00F852E7">
              <w:rPr>
                <w:b/>
                <w:sz w:val="24"/>
                <w:szCs w:val="24"/>
              </w:rPr>
              <w:noBreakHyphen/>
              <w:t>R 1</w:t>
            </w:r>
            <w:r w:rsidR="00CE6299" w:rsidRPr="00F852E7">
              <w:rPr>
                <w:b/>
                <w:sz w:val="24"/>
                <w:szCs w:val="24"/>
              </w:rPr>
              <w:noBreakHyphen/>
              <w:t>6 (Procedimiento para la adopción y aprobación simultánea por correspondencia)</w:t>
            </w:r>
          </w:p>
        </w:tc>
      </w:tr>
      <w:tr w:rsidR="00CD0E47" w:rsidRPr="00F852E7" w:rsidTr="00471EDA">
        <w:tc>
          <w:tcPr>
            <w:tcW w:w="1526" w:type="dxa"/>
            <w:gridSpan w:val="2"/>
            <w:shd w:val="clear" w:color="auto" w:fill="auto"/>
          </w:tcPr>
          <w:p w:rsidR="00CD0E47" w:rsidRPr="00F852E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F852E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F852E7" w:rsidTr="00471EDA">
        <w:tc>
          <w:tcPr>
            <w:tcW w:w="1526" w:type="dxa"/>
            <w:gridSpan w:val="2"/>
            <w:shd w:val="clear" w:color="auto" w:fill="auto"/>
          </w:tcPr>
          <w:p w:rsidR="00CD0E47" w:rsidRPr="00F852E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F852E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F852E7" w:rsidTr="00471EDA">
        <w:tc>
          <w:tcPr>
            <w:tcW w:w="9889" w:type="dxa"/>
            <w:gridSpan w:val="5"/>
            <w:shd w:val="clear" w:color="auto" w:fill="auto"/>
          </w:tcPr>
          <w:p w:rsidR="00CD0E47" w:rsidRPr="00F852E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E6299" w:rsidRPr="00F852E7" w:rsidRDefault="00CE6299" w:rsidP="00550F7C">
      <w:pPr>
        <w:spacing w:before="600"/>
        <w:rPr>
          <w:sz w:val="24"/>
          <w:szCs w:val="24"/>
        </w:rPr>
      </w:pPr>
      <w:r w:rsidRPr="00F852E7">
        <w:rPr>
          <w:sz w:val="24"/>
          <w:szCs w:val="24"/>
        </w:rPr>
        <w:t xml:space="preserve">En la reunión de la Comisión de Estudio </w:t>
      </w:r>
      <w:r w:rsidR="00935551">
        <w:rPr>
          <w:sz w:val="24"/>
          <w:szCs w:val="24"/>
        </w:rPr>
        <w:t>1</w:t>
      </w:r>
      <w:r w:rsidRPr="00F852E7">
        <w:rPr>
          <w:sz w:val="24"/>
          <w:szCs w:val="24"/>
        </w:rPr>
        <w:t xml:space="preserve"> de Radiocomunicaciones celebrada </w:t>
      </w:r>
      <w:r w:rsidR="00935551">
        <w:rPr>
          <w:sz w:val="24"/>
          <w:szCs w:val="24"/>
        </w:rPr>
        <w:t>el 12 de junio de 2014</w:t>
      </w:r>
      <w:r w:rsidRPr="00F852E7">
        <w:rPr>
          <w:sz w:val="24"/>
          <w:szCs w:val="24"/>
        </w:rPr>
        <w:t>, la Comisión de Estudio dec</w:t>
      </w:r>
      <w:r w:rsidR="00550F7C">
        <w:rPr>
          <w:sz w:val="24"/>
          <w:szCs w:val="24"/>
        </w:rPr>
        <w:t xml:space="preserve">idió solicitar la adopción de </w:t>
      </w:r>
      <w:r w:rsidR="00935551">
        <w:rPr>
          <w:sz w:val="24"/>
          <w:szCs w:val="24"/>
        </w:rPr>
        <w:t>5</w:t>
      </w:r>
      <w:r w:rsidRPr="00F852E7">
        <w:rPr>
          <w:sz w:val="24"/>
          <w:szCs w:val="24"/>
        </w:rPr>
        <w:t xml:space="preserve"> proyectos de Recomendación revisada por correspondencia (§ 10.2.3 de la Resolución UIT</w:t>
      </w:r>
      <w:r w:rsidRPr="00F852E7">
        <w:rPr>
          <w:sz w:val="24"/>
          <w:szCs w:val="24"/>
        </w:rPr>
        <w:noBreakHyphen/>
        <w:t>R 1</w:t>
      </w:r>
      <w:r w:rsidRPr="00F852E7">
        <w:rPr>
          <w:sz w:val="24"/>
          <w:szCs w:val="24"/>
        </w:rPr>
        <w:noBreakHyphen/>
        <w:t>6), y decidió además aplicar el procedimiento de adopción y aprobación simultáneas por correspondencia (PAAS) (§ 10.3 de la Resolución UIT</w:t>
      </w:r>
      <w:r w:rsidRPr="00F852E7">
        <w:rPr>
          <w:sz w:val="24"/>
          <w:szCs w:val="24"/>
        </w:rPr>
        <w:noBreakHyphen/>
        <w:t>R 1</w:t>
      </w:r>
      <w:r w:rsidRPr="00F852E7">
        <w:rPr>
          <w:sz w:val="24"/>
          <w:szCs w:val="24"/>
        </w:rPr>
        <w:noBreakHyphen/>
        <w:t>6). Los títulos y resúmenes de los proyectos de Recomendación aparecen e</w:t>
      </w:r>
      <w:r w:rsidR="00B557DC">
        <w:rPr>
          <w:sz w:val="24"/>
          <w:szCs w:val="24"/>
        </w:rPr>
        <w:t>n el Anexo a la presente.</w:t>
      </w:r>
    </w:p>
    <w:p w:rsidR="00CE6299" w:rsidRPr="00F852E7" w:rsidRDefault="00CE6299" w:rsidP="00B557DC">
      <w:pPr>
        <w:rPr>
          <w:sz w:val="24"/>
          <w:szCs w:val="24"/>
        </w:rPr>
      </w:pPr>
      <w:r w:rsidRPr="00F852E7">
        <w:rPr>
          <w:sz w:val="24"/>
          <w:szCs w:val="24"/>
        </w:rPr>
        <w:t xml:space="preserve">El periodo de consideración se extenderá durante 2 meses finalizando </w:t>
      </w:r>
      <w:r w:rsidR="00935551" w:rsidRPr="00591F7F">
        <w:rPr>
          <w:sz w:val="24"/>
          <w:szCs w:val="24"/>
        </w:rPr>
        <w:t xml:space="preserve">el </w:t>
      </w:r>
      <w:r w:rsidR="00935551">
        <w:rPr>
          <w:sz w:val="24"/>
          <w:szCs w:val="24"/>
          <w:u w:val="single"/>
        </w:rPr>
        <w:t>27</w:t>
      </w:r>
      <w:r w:rsidR="00935551" w:rsidRPr="00591F7F">
        <w:rPr>
          <w:sz w:val="24"/>
          <w:szCs w:val="24"/>
          <w:u w:val="single"/>
        </w:rPr>
        <w:t xml:space="preserve"> </w:t>
      </w:r>
      <w:r w:rsidR="00935551">
        <w:rPr>
          <w:sz w:val="24"/>
          <w:szCs w:val="24"/>
          <w:u w:val="single"/>
        </w:rPr>
        <w:t>de agosto</w:t>
      </w:r>
      <w:r w:rsidR="00935551" w:rsidRPr="00591F7F">
        <w:rPr>
          <w:sz w:val="24"/>
          <w:szCs w:val="24"/>
          <w:u w:val="single"/>
        </w:rPr>
        <w:t xml:space="preserve"> de 201</w:t>
      </w:r>
      <w:r w:rsidR="00935551">
        <w:rPr>
          <w:sz w:val="24"/>
          <w:szCs w:val="24"/>
          <w:u w:val="single"/>
        </w:rPr>
        <w:t>4</w:t>
      </w:r>
      <w:r w:rsidRPr="00F852E7">
        <w:rPr>
          <w:sz w:val="24"/>
          <w:szCs w:val="24"/>
        </w:rPr>
        <w:t>. Si durante este periodo no se reciben objeciones de los Estados Miembros, se considerará que los proyectos de Recomendación serán adoptados por la Comisión de Estudio </w:t>
      </w:r>
      <w:r w:rsidR="00935551">
        <w:rPr>
          <w:sz w:val="24"/>
          <w:szCs w:val="24"/>
        </w:rPr>
        <w:t>1</w:t>
      </w:r>
      <w:r w:rsidRPr="00F852E7">
        <w:rPr>
          <w:sz w:val="24"/>
          <w:szCs w:val="24"/>
        </w:rPr>
        <w:t>. Además, como se ha seguido el PAAS, los proyectos de Recomendación también se considerarán aprobados.</w:t>
      </w:r>
    </w:p>
    <w:p w:rsidR="00CE6299" w:rsidRPr="00F852E7" w:rsidRDefault="00CE6299" w:rsidP="00B557DC">
      <w:pPr>
        <w:rPr>
          <w:sz w:val="24"/>
          <w:szCs w:val="24"/>
        </w:rPr>
      </w:pPr>
      <w:r w:rsidRPr="00F852E7">
        <w:rPr>
          <w:sz w:val="24"/>
          <w:szCs w:val="24"/>
        </w:rPr>
        <w:t>Todo Estado Miembro que tenga una objeción a la adopción de un proyecto de Recomendación debe informar al Director y al Presidente de la Comisión de Estudio de los motivos de dicha objeción.</w:t>
      </w:r>
    </w:p>
    <w:p w:rsidR="00CE6299" w:rsidRPr="00F852E7" w:rsidRDefault="00CE6299" w:rsidP="00B557DC">
      <w:pPr>
        <w:rPr>
          <w:sz w:val="24"/>
          <w:szCs w:val="24"/>
        </w:rPr>
      </w:pPr>
      <w:r w:rsidRPr="00F852E7">
        <w:rPr>
          <w:sz w:val="24"/>
          <w:szCs w:val="24"/>
        </w:rPr>
        <w:t xml:space="preserve">Tras la fecha límite mencionada, los resultados del </w:t>
      </w:r>
      <w:bookmarkStart w:id="6" w:name="_GoBack"/>
      <w:bookmarkEnd w:id="6"/>
      <w:r w:rsidRPr="00F852E7">
        <w:rPr>
          <w:sz w:val="24"/>
          <w:szCs w:val="24"/>
        </w:rPr>
        <w:t>PAAS se comunicarán mediante Circul</w:t>
      </w:r>
      <w:r w:rsidR="00935551">
        <w:rPr>
          <w:sz w:val="24"/>
          <w:szCs w:val="24"/>
        </w:rPr>
        <w:t>ar Administrativa y la</w:t>
      </w:r>
      <w:r w:rsidRPr="00F852E7">
        <w:rPr>
          <w:sz w:val="24"/>
          <w:szCs w:val="24"/>
        </w:rPr>
        <w:t>s</w:t>
      </w:r>
      <w:r w:rsidR="00935551">
        <w:rPr>
          <w:sz w:val="24"/>
          <w:szCs w:val="24"/>
        </w:rPr>
        <w:t xml:space="preserve"> Recomendación</w:t>
      </w:r>
      <w:r w:rsidRPr="00F852E7">
        <w:rPr>
          <w:sz w:val="24"/>
          <w:szCs w:val="24"/>
        </w:rPr>
        <w:t>es</w:t>
      </w:r>
      <w:r w:rsidR="00935551">
        <w:rPr>
          <w:sz w:val="24"/>
          <w:szCs w:val="24"/>
        </w:rPr>
        <w:t xml:space="preserve"> aprobada</w:t>
      </w:r>
      <w:r w:rsidRPr="00F852E7">
        <w:rPr>
          <w:sz w:val="24"/>
          <w:szCs w:val="24"/>
        </w:rPr>
        <w:t>s</w:t>
      </w:r>
      <w:r w:rsidR="00935551">
        <w:rPr>
          <w:sz w:val="24"/>
          <w:szCs w:val="24"/>
        </w:rPr>
        <w:t xml:space="preserve"> se publicará</w:t>
      </w:r>
      <w:r w:rsidRPr="00F852E7">
        <w:rPr>
          <w:sz w:val="24"/>
          <w:szCs w:val="24"/>
        </w:rPr>
        <w:t xml:space="preserve">n tan pronto como sea posible (véase </w:t>
      </w:r>
      <w:hyperlink r:id="rId8" w:history="1">
        <w:r w:rsidRPr="00F852E7">
          <w:rPr>
            <w:color w:val="0000FF"/>
            <w:sz w:val="24"/>
            <w:szCs w:val="24"/>
            <w:u w:val="single"/>
          </w:rPr>
          <w:t>http://www.itu.int/pub/R-REC</w:t>
        </w:r>
      </w:hyperlink>
      <w:r w:rsidRPr="00F852E7">
        <w:rPr>
          <w:sz w:val="24"/>
          <w:szCs w:val="24"/>
        </w:rPr>
        <w:t>).</w:t>
      </w:r>
    </w:p>
    <w:p w:rsidR="00CE6299" w:rsidRPr="00F852E7" w:rsidRDefault="00CE6299" w:rsidP="00CE62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 w:rsidRPr="00F852E7">
        <w:rPr>
          <w:sz w:val="24"/>
          <w:szCs w:val="24"/>
        </w:rPr>
        <w:br w:type="page"/>
      </w:r>
    </w:p>
    <w:p w:rsidR="00CE6299" w:rsidRPr="00F852E7" w:rsidRDefault="00CE6299" w:rsidP="00B557DC">
      <w:pPr>
        <w:rPr>
          <w:sz w:val="24"/>
          <w:szCs w:val="24"/>
        </w:rPr>
      </w:pPr>
      <w:r w:rsidRPr="00F852E7">
        <w:rPr>
          <w:sz w:val="24"/>
          <w:szCs w:val="24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="00E010B8" w:rsidRPr="00F852E7">
        <w:rPr>
          <w:sz w:val="24"/>
          <w:szCs w:val="24"/>
        </w:rPr>
        <w:noBreakHyphen/>
      </w:r>
      <w:r w:rsidRPr="00F852E7">
        <w:rPr>
          <w:sz w:val="24"/>
          <w:szCs w:val="24"/>
        </w:rPr>
        <w:t>T/UIT</w:t>
      </w:r>
      <w:r w:rsidR="00E010B8" w:rsidRPr="00F852E7">
        <w:rPr>
          <w:sz w:val="24"/>
          <w:szCs w:val="24"/>
        </w:rPr>
        <w:noBreakHyphen/>
      </w:r>
      <w:r w:rsidRPr="00F852E7">
        <w:rPr>
          <w:sz w:val="24"/>
          <w:szCs w:val="24"/>
        </w:rPr>
        <w:t>R/ISO/CEI puede consultarse en</w:t>
      </w:r>
      <w:r w:rsidR="00A9747B" w:rsidRPr="00F852E7">
        <w:rPr>
          <w:sz w:val="24"/>
          <w:szCs w:val="24"/>
        </w:rPr>
        <w:t>:</w:t>
      </w:r>
      <w:r w:rsidRPr="00F852E7">
        <w:rPr>
          <w:sz w:val="24"/>
          <w:szCs w:val="24"/>
        </w:rPr>
        <w:t xml:space="preserve"> </w:t>
      </w:r>
      <w:hyperlink r:id="rId9" w:history="1">
        <w:r w:rsidR="00F21CC7" w:rsidRPr="00257189">
          <w:rPr>
            <w:rStyle w:val="Hyperlink"/>
            <w:sz w:val="24"/>
            <w:szCs w:val="24"/>
          </w:rPr>
          <w:t>http://www.itu.int/en/ITU-T/ipr/Pages/policy.aspx</w:t>
        </w:r>
      </w:hyperlink>
      <w:r w:rsidRPr="00F852E7">
        <w:rPr>
          <w:sz w:val="24"/>
          <w:szCs w:val="24"/>
        </w:rPr>
        <w:t>.</w:t>
      </w:r>
    </w:p>
    <w:p w:rsidR="00CE6299" w:rsidRPr="00F852E7" w:rsidRDefault="00CE6299" w:rsidP="00CE6299">
      <w:pPr>
        <w:jc w:val="left"/>
        <w:rPr>
          <w:sz w:val="24"/>
          <w:szCs w:val="24"/>
        </w:rPr>
      </w:pPr>
    </w:p>
    <w:p w:rsidR="00CE6299" w:rsidRPr="00F852E7" w:rsidRDefault="00CE6299" w:rsidP="00CE6299">
      <w:pPr>
        <w:jc w:val="left"/>
        <w:rPr>
          <w:sz w:val="24"/>
          <w:szCs w:val="24"/>
        </w:rPr>
      </w:pPr>
    </w:p>
    <w:p w:rsidR="00CE6299" w:rsidRPr="00F852E7" w:rsidRDefault="00CE6299" w:rsidP="00CE6299">
      <w:pPr>
        <w:jc w:val="left"/>
        <w:rPr>
          <w:sz w:val="24"/>
          <w:szCs w:val="24"/>
        </w:rPr>
      </w:pPr>
    </w:p>
    <w:p w:rsidR="00CE6299" w:rsidRPr="00F852E7" w:rsidRDefault="00CE6299" w:rsidP="00CE6299">
      <w:pPr>
        <w:jc w:val="left"/>
        <w:rPr>
          <w:sz w:val="24"/>
          <w:szCs w:val="24"/>
        </w:rPr>
      </w:pPr>
    </w:p>
    <w:p w:rsidR="00CE6299" w:rsidRPr="00F852E7" w:rsidRDefault="00CE6299" w:rsidP="00CE62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sz w:val="24"/>
          <w:szCs w:val="24"/>
        </w:rPr>
      </w:pPr>
      <w:r w:rsidRPr="00F852E7">
        <w:rPr>
          <w:sz w:val="24"/>
          <w:szCs w:val="24"/>
        </w:rPr>
        <w:t>François Rancy</w:t>
      </w:r>
      <w:r w:rsidRPr="00F852E7">
        <w:rPr>
          <w:sz w:val="24"/>
          <w:szCs w:val="24"/>
        </w:rPr>
        <w:br/>
      </w:r>
      <w:r w:rsidR="000C4E7D" w:rsidRPr="00F852E7">
        <w:rPr>
          <w:sz w:val="24"/>
          <w:szCs w:val="24"/>
        </w:rPr>
        <w:t>Director</w:t>
      </w:r>
    </w:p>
    <w:p w:rsidR="00CE6299" w:rsidRPr="00F852E7" w:rsidRDefault="00CE6299" w:rsidP="00CE6299">
      <w:pPr>
        <w:jc w:val="left"/>
        <w:rPr>
          <w:sz w:val="24"/>
          <w:szCs w:val="24"/>
        </w:rPr>
      </w:pPr>
    </w:p>
    <w:p w:rsidR="00CE6299" w:rsidRPr="00F852E7" w:rsidRDefault="00CE6299" w:rsidP="00CE6299">
      <w:pPr>
        <w:jc w:val="left"/>
        <w:rPr>
          <w:sz w:val="24"/>
          <w:szCs w:val="24"/>
        </w:rPr>
      </w:pPr>
    </w:p>
    <w:p w:rsidR="00CE6299" w:rsidRPr="00F852E7" w:rsidRDefault="00CE6299" w:rsidP="00CE6299">
      <w:pPr>
        <w:jc w:val="left"/>
        <w:rPr>
          <w:sz w:val="24"/>
          <w:szCs w:val="24"/>
        </w:rPr>
      </w:pPr>
    </w:p>
    <w:p w:rsidR="00CE6299" w:rsidRPr="00F852E7" w:rsidRDefault="00CE6299" w:rsidP="00CE6299">
      <w:pPr>
        <w:jc w:val="left"/>
        <w:rPr>
          <w:sz w:val="24"/>
          <w:szCs w:val="24"/>
        </w:rPr>
      </w:pPr>
    </w:p>
    <w:p w:rsidR="00CE6299" w:rsidRPr="00F852E7" w:rsidRDefault="00CE6299" w:rsidP="00FC3393">
      <w:pPr>
        <w:jc w:val="left"/>
        <w:rPr>
          <w:sz w:val="24"/>
          <w:szCs w:val="24"/>
        </w:rPr>
      </w:pPr>
      <w:r w:rsidRPr="00F852E7">
        <w:rPr>
          <w:b/>
          <w:bCs/>
          <w:sz w:val="24"/>
          <w:szCs w:val="24"/>
        </w:rPr>
        <w:t xml:space="preserve">Anexo </w:t>
      </w:r>
      <w:r w:rsidRPr="00F852E7">
        <w:rPr>
          <w:sz w:val="24"/>
          <w:szCs w:val="24"/>
        </w:rPr>
        <w:t xml:space="preserve">: </w:t>
      </w:r>
      <w:r w:rsidR="000C4E7D" w:rsidRPr="00F852E7">
        <w:rPr>
          <w:sz w:val="24"/>
          <w:szCs w:val="24"/>
        </w:rPr>
        <w:tab/>
      </w:r>
      <w:r w:rsidR="00290AEE" w:rsidRPr="00F852E7">
        <w:rPr>
          <w:sz w:val="24"/>
          <w:szCs w:val="24"/>
        </w:rPr>
        <w:tab/>
      </w:r>
      <w:r w:rsidR="00FC3393">
        <w:rPr>
          <w:sz w:val="24"/>
          <w:szCs w:val="24"/>
        </w:rPr>
        <w:t>Título</w:t>
      </w:r>
      <w:r w:rsidRPr="00F852E7">
        <w:rPr>
          <w:sz w:val="24"/>
          <w:szCs w:val="24"/>
        </w:rPr>
        <w:t>s</w:t>
      </w:r>
      <w:r w:rsidR="00FC3393">
        <w:rPr>
          <w:sz w:val="24"/>
          <w:szCs w:val="24"/>
        </w:rPr>
        <w:t xml:space="preserve"> y resumen</w:t>
      </w:r>
      <w:r w:rsidRPr="00F852E7">
        <w:rPr>
          <w:sz w:val="24"/>
          <w:szCs w:val="24"/>
        </w:rPr>
        <w:t>es de los proyectos de Recomendación</w:t>
      </w:r>
    </w:p>
    <w:p w:rsidR="00CE6299" w:rsidRPr="00F852E7" w:rsidRDefault="00626878" w:rsidP="00626878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Documento</w:t>
      </w:r>
      <w:r w:rsidR="00CE6299" w:rsidRPr="00F852E7">
        <w:rPr>
          <w:b/>
          <w:bCs/>
          <w:sz w:val="24"/>
          <w:szCs w:val="24"/>
        </w:rPr>
        <w:t>s</w:t>
      </w:r>
      <w:r w:rsidR="00CE6299" w:rsidRPr="00F852E7">
        <w:rPr>
          <w:sz w:val="24"/>
          <w:szCs w:val="24"/>
        </w:rPr>
        <w:t>:</w:t>
      </w:r>
      <w:r w:rsidR="000C4E7D" w:rsidRPr="00F852E7">
        <w:rPr>
          <w:sz w:val="24"/>
          <w:szCs w:val="24"/>
        </w:rPr>
        <w:tab/>
      </w:r>
      <w:r w:rsidR="00CE6299" w:rsidRPr="00F852E7">
        <w:rPr>
          <w:sz w:val="24"/>
          <w:szCs w:val="24"/>
        </w:rPr>
        <w:t>Documento</w:t>
      </w:r>
      <w:r w:rsidR="00EE35AA">
        <w:rPr>
          <w:sz w:val="24"/>
          <w:szCs w:val="24"/>
        </w:rPr>
        <w:t>s</w:t>
      </w:r>
      <w:r w:rsidR="00CE6299" w:rsidRPr="00F852E7">
        <w:rPr>
          <w:sz w:val="24"/>
          <w:szCs w:val="24"/>
        </w:rPr>
        <w:t xml:space="preserve"> </w:t>
      </w:r>
      <w:hyperlink r:id="rId10" w:history="1">
        <w:r w:rsidRPr="00C37F98">
          <w:rPr>
            <w:rStyle w:val="Hyperlink"/>
            <w:sz w:val="24"/>
            <w:szCs w:val="24"/>
          </w:rPr>
          <w:t>1/96</w:t>
        </w:r>
      </w:hyperlink>
      <w:r w:rsidRPr="00C37F98">
        <w:rPr>
          <w:sz w:val="24"/>
          <w:szCs w:val="24"/>
        </w:rPr>
        <w:t xml:space="preserve">(Rev.1), </w:t>
      </w:r>
      <w:hyperlink r:id="rId11" w:history="1">
        <w:r w:rsidRPr="00C37F98">
          <w:rPr>
            <w:rStyle w:val="Hyperlink"/>
            <w:sz w:val="24"/>
            <w:szCs w:val="24"/>
          </w:rPr>
          <w:t>1/97</w:t>
        </w:r>
      </w:hyperlink>
      <w:r w:rsidRPr="00C37F98">
        <w:rPr>
          <w:sz w:val="24"/>
          <w:szCs w:val="24"/>
        </w:rPr>
        <w:t xml:space="preserve">(Rev.1), </w:t>
      </w:r>
      <w:hyperlink r:id="rId12" w:history="1">
        <w:r w:rsidRPr="00C37F98">
          <w:rPr>
            <w:rStyle w:val="Hyperlink"/>
            <w:sz w:val="24"/>
            <w:szCs w:val="24"/>
          </w:rPr>
          <w:t>1/98</w:t>
        </w:r>
      </w:hyperlink>
      <w:r w:rsidRPr="00C37F98">
        <w:rPr>
          <w:sz w:val="24"/>
          <w:szCs w:val="24"/>
        </w:rPr>
        <w:t xml:space="preserve">(Rev.1), </w:t>
      </w:r>
      <w:hyperlink r:id="rId13" w:history="1">
        <w:r w:rsidRPr="00C37F98">
          <w:rPr>
            <w:rStyle w:val="Hyperlink"/>
            <w:sz w:val="24"/>
            <w:szCs w:val="24"/>
          </w:rPr>
          <w:t>1/102</w:t>
        </w:r>
      </w:hyperlink>
      <w:r w:rsidRPr="00C37F98">
        <w:rPr>
          <w:sz w:val="24"/>
          <w:szCs w:val="24"/>
        </w:rPr>
        <w:t xml:space="preserve">(Rev.1), </w:t>
      </w:r>
      <w:hyperlink r:id="rId14" w:history="1">
        <w:r w:rsidRPr="00C37F98">
          <w:rPr>
            <w:rStyle w:val="Hyperlink"/>
            <w:sz w:val="24"/>
            <w:szCs w:val="24"/>
          </w:rPr>
          <w:t>1/103</w:t>
        </w:r>
      </w:hyperlink>
      <w:r w:rsidRPr="00C37F98">
        <w:rPr>
          <w:sz w:val="24"/>
          <w:szCs w:val="24"/>
        </w:rPr>
        <w:t>(Rev.1)</w:t>
      </w:r>
    </w:p>
    <w:p w:rsidR="00CE6299" w:rsidRPr="00F852E7" w:rsidRDefault="00CE6299" w:rsidP="00CE6299">
      <w:pPr>
        <w:jc w:val="left"/>
        <w:rPr>
          <w:sz w:val="24"/>
          <w:szCs w:val="24"/>
          <w:u w:val="single"/>
        </w:rPr>
      </w:pPr>
      <w:r w:rsidRPr="006F41CB">
        <w:rPr>
          <w:sz w:val="24"/>
          <w:szCs w:val="24"/>
        </w:rPr>
        <w:t>Esta documentación está disponible en versión electrónica en la dirección</w:t>
      </w:r>
      <w:r w:rsidR="000C4E7D" w:rsidRPr="006F41CB">
        <w:rPr>
          <w:sz w:val="24"/>
          <w:szCs w:val="24"/>
        </w:rPr>
        <w:t>:</w:t>
      </w:r>
      <w:r w:rsidR="006F41CB">
        <w:rPr>
          <w:sz w:val="24"/>
          <w:szCs w:val="24"/>
          <w:u w:val="single"/>
        </w:rPr>
        <w:t xml:space="preserve"> </w:t>
      </w:r>
      <w:hyperlink r:id="rId15" w:history="1">
        <w:r w:rsidR="006F41CB" w:rsidRPr="000E4F07">
          <w:rPr>
            <w:rStyle w:val="Hyperlink"/>
            <w:sz w:val="24"/>
            <w:szCs w:val="24"/>
          </w:rPr>
          <w:t>http://www.itu.int/md/R12-SG01-C/en</w:t>
        </w:r>
      </w:hyperlink>
    </w:p>
    <w:p w:rsidR="00CE6299" w:rsidRDefault="00CE6299" w:rsidP="00CE6299">
      <w:pPr>
        <w:jc w:val="left"/>
      </w:pPr>
    </w:p>
    <w:p w:rsidR="007E59D7" w:rsidRPr="000266B0" w:rsidRDefault="007E59D7" w:rsidP="00CE6299">
      <w:pPr>
        <w:jc w:val="left"/>
      </w:pPr>
    </w:p>
    <w:p w:rsidR="00CE6299" w:rsidRPr="000266B0" w:rsidRDefault="00CE6299" w:rsidP="00CE6299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Distribución:</w:t>
      </w:r>
    </w:p>
    <w:p w:rsidR="00CE6299" w:rsidRPr="000266B0" w:rsidRDefault="00CE6299" w:rsidP="001661C0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</w:t>
      </w:r>
      <w:r w:rsidR="00F852E7">
        <w:rPr>
          <w:sz w:val="18"/>
          <w:szCs w:val="18"/>
        </w:rPr>
        <w:t xml:space="preserve">de la UIT y </w:t>
      </w:r>
      <w:r w:rsidRPr="000266B0">
        <w:rPr>
          <w:sz w:val="18"/>
          <w:szCs w:val="18"/>
        </w:rPr>
        <w:t xml:space="preserve">del Sector de Radiocomunicaciones que participan en los trabajos de la Comisión de Estudio </w:t>
      </w:r>
      <w:r w:rsidR="001661C0">
        <w:rPr>
          <w:sz w:val="18"/>
          <w:szCs w:val="18"/>
        </w:rPr>
        <w:t>1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1661C0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Asociados del UIT-R que participan en los trabajos de la Comisión de Estudio </w:t>
      </w:r>
      <w:r w:rsidR="001661C0">
        <w:rPr>
          <w:sz w:val="18"/>
          <w:szCs w:val="18"/>
        </w:rPr>
        <w:t>1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>Presidente</w:t>
      </w:r>
      <w:r>
        <w:rPr>
          <w:sz w:val="18"/>
          <w:szCs w:val="18"/>
        </w:rPr>
        <w:t>s</w:t>
      </w:r>
      <w:r w:rsidRPr="000266B0">
        <w:rPr>
          <w:sz w:val="18"/>
          <w:szCs w:val="18"/>
        </w:rPr>
        <w:t xml:space="preserve"> y Vicepresidentes de las Comisiones de Estudio de Radiocomunicaciones y Comisión Especial para Asuntos Reglamentarios </w:t>
      </w:r>
      <w:r>
        <w:rPr>
          <w:sz w:val="18"/>
          <w:szCs w:val="18"/>
        </w:rPr>
        <w:t xml:space="preserve">y </w:t>
      </w:r>
      <w:r w:rsidRPr="000266B0">
        <w:rPr>
          <w:sz w:val="18"/>
          <w:szCs w:val="18"/>
        </w:rPr>
        <w:t xml:space="preserve">de </w:t>
      </w:r>
      <w:r>
        <w:rPr>
          <w:sz w:val="18"/>
          <w:szCs w:val="18"/>
        </w:rPr>
        <w:t>P</w:t>
      </w:r>
      <w:r w:rsidRPr="000266B0">
        <w:rPr>
          <w:sz w:val="18"/>
          <w:szCs w:val="18"/>
        </w:rPr>
        <w:t xml:space="preserve">rocedimiento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 Reunión Preparatoria de la Conferencia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Miembros de la Junta del Reglamento de Radiocomunicaciones </w:t>
      </w:r>
    </w:p>
    <w:p w:rsidR="00CE6299" w:rsidRPr="000266B0" w:rsidRDefault="00CE6299" w:rsidP="00CE6299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7E59D7" w:rsidRDefault="007E59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  <w:r>
        <w:br w:type="page"/>
      </w:r>
    </w:p>
    <w:p w:rsidR="008E12E8" w:rsidRPr="00CF0968" w:rsidRDefault="008E12E8" w:rsidP="00D42F12">
      <w:pPr>
        <w:pStyle w:val="AnnexNotitle0"/>
        <w:spacing w:before="120"/>
        <w:rPr>
          <w:rFonts w:asciiTheme="minorHAnsi" w:hAnsiTheme="minorHAnsi" w:cstheme="minorHAnsi"/>
          <w:szCs w:val="28"/>
        </w:rPr>
      </w:pPr>
      <w:r w:rsidRPr="00CF0968">
        <w:rPr>
          <w:rFonts w:asciiTheme="minorHAnsi" w:hAnsiTheme="minorHAnsi" w:cstheme="minorHAnsi"/>
          <w:szCs w:val="28"/>
        </w:rPr>
        <w:lastRenderedPageBreak/>
        <w:t xml:space="preserve">Anexo </w:t>
      </w:r>
    </w:p>
    <w:p w:rsidR="008E12E8" w:rsidRPr="00CF0968" w:rsidRDefault="008E12E8" w:rsidP="00F21CC7">
      <w:pPr>
        <w:pStyle w:val="AnnexNotitle0"/>
        <w:spacing w:before="360" w:after="120"/>
        <w:rPr>
          <w:rFonts w:asciiTheme="minorHAnsi" w:hAnsiTheme="minorHAnsi" w:cstheme="minorHAnsi"/>
          <w:szCs w:val="28"/>
        </w:rPr>
      </w:pPr>
      <w:r w:rsidRPr="00CF0968">
        <w:rPr>
          <w:rFonts w:asciiTheme="minorHAnsi" w:hAnsiTheme="minorHAnsi" w:cstheme="minorHAnsi"/>
          <w:szCs w:val="28"/>
        </w:rPr>
        <w:t>Tít</w:t>
      </w:r>
      <w:r>
        <w:rPr>
          <w:rFonts w:asciiTheme="minorHAnsi" w:hAnsiTheme="minorHAnsi" w:cstheme="minorHAnsi"/>
          <w:szCs w:val="28"/>
        </w:rPr>
        <w:t>ulo y resumen de proyectos de Re</w:t>
      </w:r>
      <w:r w:rsidRPr="00CF0968">
        <w:rPr>
          <w:rFonts w:asciiTheme="minorHAnsi" w:hAnsiTheme="minorHAnsi" w:cstheme="minorHAnsi"/>
          <w:szCs w:val="28"/>
        </w:rPr>
        <w:t xml:space="preserve">comendación  </w:t>
      </w:r>
    </w:p>
    <w:p w:rsidR="008E12E8" w:rsidRPr="00CF0968" w:rsidRDefault="008E12E8" w:rsidP="00F21CC7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CF0968">
        <w:rPr>
          <w:rFonts w:asciiTheme="minorHAnsi" w:hAnsiTheme="minorHAnsi" w:cstheme="minorHAnsi"/>
          <w:sz w:val="24"/>
          <w:szCs w:val="24"/>
          <w:u w:val="single"/>
        </w:rPr>
        <w:t>Proyecto de revisión de la Recomendación UIT-R SM.1051-2</w:t>
      </w:r>
      <w:r w:rsidRPr="00CF0968">
        <w:rPr>
          <w:rFonts w:asciiTheme="minorHAnsi" w:hAnsiTheme="minorHAnsi" w:cstheme="minorHAnsi"/>
          <w:sz w:val="24"/>
          <w:szCs w:val="24"/>
        </w:rPr>
        <w:tab/>
        <w:t>Doc. 1/96(Rev.1)</w:t>
      </w:r>
    </w:p>
    <w:p w:rsidR="008E12E8" w:rsidRPr="00CF0968" w:rsidRDefault="008E12E8" w:rsidP="008E12E8">
      <w:pPr>
        <w:pStyle w:val="Rectitle"/>
        <w:rPr>
          <w:rFonts w:asciiTheme="minorHAnsi" w:eastAsia="MS Mincho" w:hAnsiTheme="minorHAnsi" w:cstheme="minorHAnsi"/>
        </w:rPr>
      </w:pPr>
      <w:r w:rsidRPr="00CF0968">
        <w:rPr>
          <w:lang w:val="es-ES"/>
        </w:rPr>
        <w:t>Prioridad de la determinación y eliminación de la interf</w:t>
      </w:r>
      <w:r>
        <w:rPr>
          <w:lang w:val="es-ES"/>
        </w:rPr>
        <w:t xml:space="preserve">erencia perjudicial en la banda </w:t>
      </w:r>
      <w:r w:rsidRPr="00CF0968">
        <w:rPr>
          <w:lang w:val="es-ES"/>
        </w:rPr>
        <w:t>406-406,1 MHz</w:t>
      </w:r>
      <w:r w:rsidRPr="00CF0968">
        <w:t xml:space="preserve"> </w:t>
      </w:r>
    </w:p>
    <w:p w:rsidR="008E12E8" w:rsidRPr="009C36D4" w:rsidRDefault="008E12E8" w:rsidP="008E12E8">
      <w:pPr>
        <w:jc w:val="left"/>
        <w:rPr>
          <w:sz w:val="24"/>
          <w:szCs w:val="24"/>
        </w:rPr>
      </w:pPr>
      <w:r w:rsidRPr="009C36D4">
        <w:rPr>
          <w:sz w:val="24"/>
          <w:szCs w:val="24"/>
        </w:rPr>
        <w:t>La finalidad de esta revisión es actualizar la Recomendación existente para tener en cuenta los cambios que han tenido lugar en el sistema Cospas-Sarsat y proporcionar nuevas referencias al programa de comprobación técnica de la UIT para 406 MHz, así como al Informe UIT-R</w:t>
      </w:r>
      <w:r>
        <w:rPr>
          <w:sz w:val="24"/>
          <w:szCs w:val="24"/>
        </w:rPr>
        <w:t xml:space="preserve"> </w:t>
      </w:r>
      <w:hyperlink r:id="rId16" w:history="1">
        <w:r w:rsidRPr="009C36D4">
          <w:rPr>
            <w:rStyle w:val="Hyperlink"/>
            <w:sz w:val="24"/>
            <w:szCs w:val="24"/>
          </w:rPr>
          <w:t>SM.2258</w:t>
        </w:r>
      </w:hyperlink>
      <w:r w:rsidRPr="009C36D4">
        <w:rPr>
          <w:sz w:val="24"/>
          <w:szCs w:val="24"/>
        </w:rPr>
        <w:t>.</w:t>
      </w:r>
      <w:r>
        <w:rPr>
          <w:sz w:val="24"/>
          <w:szCs w:val="24"/>
        </w:rPr>
        <w:t xml:space="preserve"> Se corrigen además algunas incoherencias en la Recomendación actual en vigor.</w:t>
      </w:r>
    </w:p>
    <w:p w:rsidR="008E12E8" w:rsidRPr="00CF0968" w:rsidRDefault="008E12E8" w:rsidP="008E12E8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CF0968">
        <w:rPr>
          <w:rFonts w:asciiTheme="minorHAnsi" w:hAnsiTheme="minorHAnsi" w:cstheme="minorHAnsi"/>
          <w:sz w:val="24"/>
          <w:szCs w:val="24"/>
          <w:u w:val="single"/>
        </w:rPr>
        <w:t>Proyecto de revisión de la Recomendación UIT-R SM.1268-2</w:t>
      </w:r>
      <w:r w:rsidRPr="00CF0968">
        <w:rPr>
          <w:rFonts w:asciiTheme="minorHAnsi" w:hAnsiTheme="minorHAnsi" w:cstheme="minorHAnsi"/>
          <w:sz w:val="24"/>
          <w:szCs w:val="24"/>
        </w:rPr>
        <w:tab/>
        <w:t>Doc. 1/97(Rev.1)</w:t>
      </w:r>
    </w:p>
    <w:p w:rsidR="008E12E8" w:rsidRPr="00A94405" w:rsidRDefault="008E12E8" w:rsidP="008E12E8">
      <w:pPr>
        <w:pStyle w:val="Rectitle"/>
      </w:pPr>
      <w:r w:rsidRPr="00A94405">
        <w:rPr>
          <w:bCs/>
        </w:rPr>
        <w:t>Método de medición de la máxima desviación de frecuencia de las</w:t>
      </w:r>
      <w:r w:rsidRPr="00A94405">
        <w:rPr>
          <w:bCs/>
        </w:rPr>
        <w:br/>
        <w:t>emisiones de radiodifusión en</w:t>
      </w:r>
      <w:r>
        <w:rPr>
          <w:bCs/>
        </w:rPr>
        <w:t xml:space="preserve"> </w:t>
      </w:r>
      <w:r w:rsidRPr="00A94405">
        <w:rPr>
          <w:bCs/>
        </w:rPr>
        <w:t>frecuencia modulada (FM)</w:t>
      </w:r>
      <w:r>
        <w:rPr>
          <w:bCs/>
        </w:rPr>
        <w:t xml:space="preserve"> </w:t>
      </w:r>
      <w:r w:rsidRPr="00A94405">
        <w:rPr>
          <w:bCs/>
        </w:rPr>
        <w:t>a utilizar en las estaciones</w:t>
      </w:r>
      <w:r>
        <w:rPr>
          <w:bCs/>
        </w:rPr>
        <w:t xml:space="preserve"> </w:t>
      </w:r>
      <w:r w:rsidRPr="00A94405">
        <w:rPr>
          <w:bCs/>
        </w:rPr>
        <w:t>de comprobación técnica</w:t>
      </w:r>
      <w:r w:rsidRPr="00A94405">
        <w:t xml:space="preserve"> </w:t>
      </w:r>
    </w:p>
    <w:p w:rsidR="008E12E8" w:rsidRPr="00EC3DD7" w:rsidRDefault="008E12E8" w:rsidP="008E12E8">
      <w:pPr>
        <w:jc w:val="left"/>
        <w:rPr>
          <w:sz w:val="24"/>
          <w:szCs w:val="24"/>
        </w:rPr>
      </w:pPr>
      <w:r w:rsidRPr="00BE67DB">
        <w:rPr>
          <w:sz w:val="24"/>
          <w:szCs w:val="24"/>
        </w:rPr>
        <w:t xml:space="preserve">Se propone la revisión de la Recomendación UIT-R SM.1268-2 </w:t>
      </w:r>
      <w:r>
        <w:rPr>
          <w:sz w:val="24"/>
          <w:szCs w:val="24"/>
        </w:rPr>
        <w:t xml:space="preserve">debido a consideraciones de carácter estadístico. En un examen de la Recomendación, en particular de su Anexo 2, se observó una ambigüedad que da origen a errores de interpretación. En la versión actual, los términos “muestras” y “valores de retención de cresta” se han utilizado de forma incoherente. Tras un análisis más cuidadoso de la situación, se ha elaborado el proyecto de revisión de la </w:t>
      </w:r>
      <w:r w:rsidRPr="00EC3DD7">
        <w:rPr>
          <w:sz w:val="24"/>
          <w:szCs w:val="24"/>
        </w:rPr>
        <w:t>Recomendación</w:t>
      </w:r>
      <w:r>
        <w:rPr>
          <w:sz w:val="24"/>
          <w:szCs w:val="24"/>
        </w:rPr>
        <w:t> </w:t>
      </w:r>
      <w:r w:rsidRPr="00EC3DD7">
        <w:rPr>
          <w:sz w:val="24"/>
          <w:szCs w:val="24"/>
        </w:rPr>
        <w:t>UIT</w:t>
      </w:r>
      <w:r>
        <w:rPr>
          <w:sz w:val="24"/>
          <w:szCs w:val="24"/>
        </w:rPr>
        <w:noBreakHyphen/>
      </w:r>
      <w:r w:rsidRPr="00EC3DD7">
        <w:rPr>
          <w:sz w:val="24"/>
          <w:szCs w:val="24"/>
        </w:rPr>
        <w:t>R</w:t>
      </w:r>
      <w:r>
        <w:rPr>
          <w:sz w:val="24"/>
          <w:szCs w:val="24"/>
        </w:rPr>
        <w:t> </w:t>
      </w:r>
      <w:r w:rsidRPr="00EC3DD7">
        <w:rPr>
          <w:sz w:val="24"/>
          <w:szCs w:val="24"/>
        </w:rPr>
        <w:t>SM.1268</w:t>
      </w:r>
      <w:r>
        <w:rPr>
          <w:sz w:val="24"/>
          <w:szCs w:val="24"/>
        </w:rPr>
        <w:t xml:space="preserve">. Además de una corrección a fondo, se han añadido algunos cambios de redacción para facilitar su comprensión. </w:t>
      </w:r>
    </w:p>
    <w:p w:rsidR="008E12E8" w:rsidRPr="00CF0968" w:rsidRDefault="008E12E8" w:rsidP="008E12E8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CF0968">
        <w:rPr>
          <w:rFonts w:asciiTheme="minorHAnsi" w:hAnsiTheme="minorHAnsi" w:cstheme="minorHAnsi"/>
          <w:sz w:val="24"/>
          <w:szCs w:val="24"/>
          <w:u w:val="single"/>
        </w:rPr>
        <w:t>Proyecto de revisión de la Recomendación UIT-R SM.1875-1</w:t>
      </w:r>
      <w:r w:rsidRPr="00CF0968">
        <w:rPr>
          <w:rFonts w:asciiTheme="minorHAnsi" w:hAnsiTheme="minorHAnsi" w:cstheme="minorHAnsi"/>
          <w:sz w:val="24"/>
          <w:szCs w:val="24"/>
        </w:rPr>
        <w:tab/>
        <w:t>Doc. 1/98(Rev.1)</w:t>
      </w:r>
    </w:p>
    <w:p w:rsidR="008E12E8" w:rsidRPr="00A74568" w:rsidRDefault="008E12E8" w:rsidP="008E12E8">
      <w:pPr>
        <w:pStyle w:val="Rectitle"/>
        <w:rPr>
          <w:bCs/>
        </w:rPr>
      </w:pPr>
      <w:r w:rsidRPr="00A74568">
        <w:rPr>
          <w:bCs/>
        </w:rPr>
        <w:t>Mediciones de la cobertura de la DVB</w:t>
      </w:r>
      <w:r w:rsidRPr="00A74568">
        <w:rPr>
          <w:bCs/>
        </w:rPr>
        <w:noBreakHyphen/>
        <w:t>T</w:t>
      </w:r>
      <w:r>
        <w:rPr>
          <w:bCs/>
        </w:rPr>
        <w:t xml:space="preserve"> </w:t>
      </w:r>
      <w:r w:rsidRPr="00A74568">
        <w:rPr>
          <w:bCs/>
        </w:rPr>
        <w:t>y verificación de los criterios</w:t>
      </w:r>
      <w:r w:rsidRPr="00A74568">
        <w:rPr>
          <w:bCs/>
        </w:rPr>
        <w:br/>
        <w:t>de planificación</w:t>
      </w:r>
    </w:p>
    <w:p w:rsidR="008E12E8" w:rsidRPr="00AD3A34" w:rsidRDefault="008E12E8" w:rsidP="008E12E8">
      <w:pPr>
        <w:jc w:val="left"/>
        <w:rPr>
          <w:sz w:val="24"/>
          <w:szCs w:val="24"/>
        </w:rPr>
      </w:pPr>
      <w:r w:rsidRPr="00AD3A34">
        <w:rPr>
          <w:sz w:val="24"/>
          <w:szCs w:val="24"/>
        </w:rPr>
        <w:t>Este proyecto de revisión de la Recomendación UIT-R SM.1875-1</w:t>
      </w:r>
      <w:r>
        <w:rPr>
          <w:sz w:val="24"/>
          <w:szCs w:val="24"/>
        </w:rPr>
        <w:t>,</w:t>
      </w:r>
      <w:r w:rsidRPr="00AD3A34">
        <w:rPr>
          <w:sz w:val="24"/>
          <w:szCs w:val="24"/>
        </w:rPr>
        <w:t xml:space="preserve"> “Medic</w:t>
      </w:r>
      <w:r>
        <w:rPr>
          <w:sz w:val="24"/>
          <w:szCs w:val="24"/>
        </w:rPr>
        <w:t>iones de la cobertura de la DVB-</w:t>
      </w:r>
      <w:r w:rsidRPr="00AD3A34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Pr="00AD3A34">
        <w:rPr>
          <w:sz w:val="24"/>
          <w:szCs w:val="24"/>
        </w:rPr>
        <w:t>y verificación de los criterios de planificación”</w:t>
      </w:r>
      <w:r>
        <w:rPr>
          <w:sz w:val="24"/>
          <w:szCs w:val="24"/>
        </w:rPr>
        <w:t>,</w:t>
      </w:r>
      <w:r w:rsidRPr="00AD3A34">
        <w:rPr>
          <w:sz w:val="24"/>
          <w:szCs w:val="24"/>
        </w:rPr>
        <w:t xml:space="preserve"> tiene una doble finalidad:</w:t>
      </w:r>
    </w:p>
    <w:p w:rsidR="008E12E8" w:rsidRPr="00AD3A34" w:rsidRDefault="008E12E8" w:rsidP="008E12E8">
      <w:pPr>
        <w:tabs>
          <w:tab w:val="clear" w:pos="794"/>
          <w:tab w:val="clear" w:pos="1191"/>
        </w:tabs>
        <w:ind w:left="709" w:hanging="709"/>
        <w:jc w:val="left"/>
        <w:rPr>
          <w:sz w:val="24"/>
          <w:szCs w:val="24"/>
        </w:rPr>
      </w:pPr>
      <w:r w:rsidRPr="00AD3A34">
        <w:rPr>
          <w:sz w:val="24"/>
          <w:szCs w:val="24"/>
        </w:rPr>
        <w:t xml:space="preserve">– </w:t>
      </w:r>
      <w:r w:rsidRPr="00AD3A34">
        <w:rPr>
          <w:sz w:val="24"/>
          <w:szCs w:val="24"/>
        </w:rPr>
        <w:tab/>
      </w:r>
      <w:r>
        <w:rPr>
          <w:sz w:val="24"/>
          <w:szCs w:val="24"/>
        </w:rPr>
        <w:t>definir</w:t>
      </w:r>
      <w:r w:rsidRPr="00AD3A34">
        <w:rPr>
          <w:sz w:val="24"/>
          <w:szCs w:val="24"/>
        </w:rPr>
        <w:t xml:space="preserve"> una desviación típica de la amplitud espectral σ en la banda de frecuencias  de la señal DVB-T calculada con arreglo al § 2.27</w:t>
      </w:r>
      <w:r>
        <w:rPr>
          <w:sz w:val="24"/>
          <w:szCs w:val="24"/>
        </w:rPr>
        <w:t>, “Desviación típica”;</w:t>
      </w:r>
    </w:p>
    <w:p w:rsidR="008E12E8" w:rsidRPr="00AD3A34" w:rsidRDefault="008E12E8" w:rsidP="008E12E8">
      <w:pPr>
        <w:tabs>
          <w:tab w:val="clear" w:pos="794"/>
        </w:tabs>
        <w:ind w:left="709" w:hanging="709"/>
        <w:jc w:val="left"/>
        <w:rPr>
          <w:sz w:val="24"/>
          <w:szCs w:val="24"/>
        </w:rPr>
      </w:pPr>
      <w:r w:rsidRPr="003561DE">
        <w:rPr>
          <w:sz w:val="24"/>
          <w:szCs w:val="24"/>
        </w:rPr>
        <w:t xml:space="preserve">– </w:t>
      </w:r>
      <w:r w:rsidRPr="003561DE">
        <w:rPr>
          <w:sz w:val="24"/>
          <w:szCs w:val="24"/>
        </w:rPr>
        <w:tab/>
      </w:r>
      <w:r>
        <w:rPr>
          <w:sz w:val="24"/>
          <w:szCs w:val="24"/>
        </w:rPr>
        <w:t>explic</w:t>
      </w:r>
      <w:r w:rsidRPr="00AD3A34">
        <w:rPr>
          <w:sz w:val="24"/>
          <w:szCs w:val="24"/>
        </w:rPr>
        <w:t xml:space="preserve">ar los motivos que </w:t>
      </w:r>
      <w:r>
        <w:rPr>
          <w:sz w:val="24"/>
          <w:szCs w:val="24"/>
        </w:rPr>
        <w:t xml:space="preserve">dan </w:t>
      </w:r>
      <w:r w:rsidRPr="00AD3A34">
        <w:rPr>
          <w:sz w:val="24"/>
          <w:szCs w:val="24"/>
        </w:rPr>
        <w:t xml:space="preserve">origen </w:t>
      </w:r>
      <w:r>
        <w:rPr>
          <w:sz w:val="24"/>
          <w:szCs w:val="24"/>
        </w:rPr>
        <w:t xml:space="preserve">a </w:t>
      </w:r>
      <w:r w:rsidRPr="00AD3A34">
        <w:rPr>
          <w:sz w:val="24"/>
          <w:szCs w:val="24"/>
        </w:rPr>
        <w:t>duda</w:t>
      </w:r>
      <w:r>
        <w:rPr>
          <w:sz w:val="24"/>
          <w:szCs w:val="24"/>
        </w:rPr>
        <w:t>s</w:t>
      </w:r>
      <w:r w:rsidRPr="00AD3A34">
        <w:rPr>
          <w:sz w:val="24"/>
          <w:szCs w:val="24"/>
        </w:rPr>
        <w:t xml:space="preserve"> con re</w:t>
      </w:r>
      <w:r>
        <w:rPr>
          <w:sz w:val="24"/>
          <w:szCs w:val="24"/>
        </w:rPr>
        <w:t>s</w:t>
      </w:r>
      <w:r w:rsidRPr="00AD3A34">
        <w:rPr>
          <w:sz w:val="24"/>
          <w:szCs w:val="24"/>
        </w:rPr>
        <w:t>pecto a la aplicaci</w:t>
      </w:r>
      <w:r>
        <w:rPr>
          <w:sz w:val="24"/>
          <w:szCs w:val="24"/>
        </w:rPr>
        <w:t xml:space="preserve">ón obligatoria de los requisitos indicados en el </w:t>
      </w:r>
      <w:r w:rsidRPr="00AD3A34">
        <w:rPr>
          <w:sz w:val="24"/>
          <w:szCs w:val="24"/>
        </w:rPr>
        <w:t>§ 3.1.4.1</w:t>
      </w:r>
      <w:r>
        <w:rPr>
          <w:sz w:val="24"/>
          <w:szCs w:val="24"/>
        </w:rPr>
        <w:t>, “</w:t>
      </w:r>
      <w:r w:rsidRPr="00AD3A34">
        <w:rPr>
          <w:sz w:val="24"/>
          <w:szCs w:val="24"/>
        </w:rPr>
        <w:t>Verificación de la distribución de intensidad de campo homogénea</w:t>
      </w:r>
      <w:r>
        <w:rPr>
          <w:sz w:val="24"/>
          <w:szCs w:val="24"/>
        </w:rPr>
        <w:t xml:space="preserve">”. </w:t>
      </w:r>
    </w:p>
    <w:p w:rsidR="008E12E8" w:rsidRPr="00CF0968" w:rsidRDefault="008E12E8" w:rsidP="008E12E8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CF0968">
        <w:rPr>
          <w:rFonts w:asciiTheme="minorHAnsi" w:hAnsiTheme="minorHAnsi" w:cstheme="minorHAnsi"/>
          <w:sz w:val="24"/>
          <w:szCs w:val="24"/>
          <w:u w:val="single"/>
        </w:rPr>
        <w:t>Proyecto de revisión de la Recomendación UIT-R SM.1413-2</w:t>
      </w:r>
      <w:r w:rsidRPr="00CF0968">
        <w:rPr>
          <w:rFonts w:asciiTheme="minorHAnsi" w:hAnsiTheme="minorHAnsi" w:cstheme="minorHAnsi"/>
          <w:sz w:val="24"/>
          <w:szCs w:val="24"/>
        </w:rPr>
        <w:tab/>
        <w:t>Doc. 1/102(Rev.1)</w:t>
      </w:r>
    </w:p>
    <w:p w:rsidR="008E12E8" w:rsidRPr="001055B8" w:rsidRDefault="008E12E8" w:rsidP="008E12E8">
      <w:pPr>
        <w:pStyle w:val="Rectitle"/>
      </w:pPr>
      <w:r w:rsidRPr="001055B8">
        <w:t>Diccionario de Datos de Radiocomunicaciones (</w:t>
      </w:r>
      <w:r>
        <w:t>DDR</w:t>
      </w:r>
      <w:r w:rsidRPr="001055B8">
        <w:t>)</w:t>
      </w:r>
    </w:p>
    <w:p w:rsidR="008E12E8" w:rsidRPr="001055B8" w:rsidRDefault="008E12E8" w:rsidP="008E12E8">
      <w:pPr>
        <w:jc w:val="left"/>
        <w:rPr>
          <w:sz w:val="24"/>
          <w:szCs w:val="24"/>
        </w:rPr>
      </w:pPr>
      <w:r w:rsidRPr="001055B8">
        <w:rPr>
          <w:sz w:val="24"/>
          <w:szCs w:val="24"/>
        </w:rPr>
        <w:t>Los cambios introducidos en el Ap</w:t>
      </w:r>
      <w:r>
        <w:rPr>
          <w:sz w:val="24"/>
          <w:szCs w:val="24"/>
        </w:rPr>
        <w:t>éndice 4 del Reglamento de Radiocomunicaciones por la CMR</w:t>
      </w:r>
      <w:r>
        <w:rPr>
          <w:sz w:val="24"/>
          <w:szCs w:val="24"/>
        </w:rPr>
        <w:noBreakHyphen/>
        <w:t>07 y la CMR</w:t>
      </w:r>
      <w:r>
        <w:rPr>
          <w:sz w:val="24"/>
          <w:szCs w:val="24"/>
        </w:rPr>
        <w:noBreakHyphen/>
        <w:t>12 afectan los datos de las notificaciones de los sistemas terrenales y espaciales.</w:t>
      </w:r>
    </w:p>
    <w:p w:rsidR="008E12E8" w:rsidRDefault="008E12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12E8" w:rsidRPr="005F4C78" w:rsidRDefault="008E12E8" w:rsidP="008E12E8">
      <w:pPr>
        <w:jc w:val="left"/>
        <w:rPr>
          <w:sz w:val="24"/>
          <w:szCs w:val="24"/>
        </w:rPr>
      </w:pPr>
      <w:r w:rsidRPr="005F4C78"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 xml:space="preserve">ado que </w:t>
      </w:r>
      <w:r w:rsidRPr="005F4C78">
        <w:rPr>
          <w:sz w:val="24"/>
          <w:szCs w:val="24"/>
        </w:rPr>
        <w:t>la Resolución 906 (CMR-07)</w:t>
      </w:r>
      <w:r>
        <w:rPr>
          <w:sz w:val="24"/>
          <w:szCs w:val="24"/>
        </w:rPr>
        <w:t xml:space="preserve"> </w:t>
      </w:r>
      <w:r w:rsidRPr="005F4C78">
        <w:rPr>
          <w:sz w:val="24"/>
          <w:szCs w:val="24"/>
        </w:rPr>
        <w:t xml:space="preserve">resuelve </w:t>
      </w:r>
      <w:r w:rsidRPr="005F4C78">
        <w:rPr>
          <w:i/>
          <w:iCs/>
          <w:sz w:val="24"/>
          <w:szCs w:val="24"/>
        </w:rPr>
        <w:t>que a partir del 1 de enero de 2009 la presentación de notificaciones para servicios</w:t>
      </w:r>
      <w:r>
        <w:rPr>
          <w:i/>
          <w:iCs/>
          <w:sz w:val="24"/>
          <w:szCs w:val="24"/>
        </w:rPr>
        <w:t xml:space="preserve"> </w:t>
      </w:r>
      <w:r w:rsidRPr="005F4C78">
        <w:rPr>
          <w:i/>
          <w:iCs/>
          <w:sz w:val="24"/>
          <w:szCs w:val="24"/>
        </w:rPr>
        <w:t xml:space="preserve">terrenales a la Oficina de </w:t>
      </w:r>
      <w:r>
        <w:rPr>
          <w:i/>
          <w:iCs/>
          <w:sz w:val="24"/>
          <w:szCs w:val="24"/>
        </w:rPr>
        <w:t>R</w:t>
      </w:r>
      <w:r w:rsidRPr="005F4C78">
        <w:rPr>
          <w:i/>
          <w:iCs/>
          <w:sz w:val="24"/>
          <w:szCs w:val="24"/>
        </w:rPr>
        <w:t>adiocomunicaciones se efectúe únicamente en formato electrónico</w:t>
      </w:r>
      <w:r>
        <w:rPr>
          <w:sz w:val="24"/>
          <w:szCs w:val="24"/>
        </w:rPr>
        <w:t>, es necesario realizar un examen de las secciones del DDR consagradas a los sistemas terrenales para asegurar que la información que contienen tengan en cuenta el cese de la utilización de notificaciones impresas.</w:t>
      </w:r>
    </w:p>
    <w:p w:rsidR="008E12E8" w:rsidRPr="00E706BB" w:rsidRDefault="008E12E8" w:rsidP="008E12E8">
      <w:pPr>
        <w:jc w:val="left"/>
        <w:rPr>
          <w:sz w:val="24"/>
          <w:szCs w:val="24"/>
        </w:rPr>
      </w:pPr>
      <w:r w:rsidRPr="00E706BB">
        <w:rPr>
          <w:sz w:val="24"/>
          <w:szCs w:val="24"/>
        </w:rPr>
        <w:t>Los cambios debidos a la modificación del Apéndice 4 del Reglamento de Radiocomunicaciones y la R</w:t>
      </w:r>
      <w:r>
        <w:rPr>
          <w:sz w:val="24"/>
          <w:szCs w:val="24"/>
        </w:rPr>
        <w:t>e</w:t>
      </w:r>
      <w:r w:rsidRPr="00E706BB">
        <w:rPr>
          <w:sz w:val="24"/>
          <w:szCs w:val="24"/>
        </w:rPr>
        <w:t>soluci</w:t>
      </w:r>
      <w:r>
        <w:rPr>
          <w:sz w:val="24"/>
          <w:szCs w:val="24"/>
        </w:rPr>
        <w:t>ón 906 (CMR-07) afectan varias secciones del DDR, concretamente:</w:t>
      </w:r>
    </w:p>
    <w:p w:rsidR="008E12E8" w:rsidRPr="00CA4292" w:rsidRDefault="008E12E8" w:rsidP="008E12E8">
      <w:pPr>
        <w:spacing w:before="80"/>
        <w:ind w:left="720"/>
        <w:rPr>
          <w:sz w:val="24"/>
          <w:szCs w:val="24"/>
        </w:rPr>
      </w:pPr>
      <w:r w:rsidRPr="00CD554A">
        <w:rPr>
          <w:sz w:val="24"/>
          <w:szCs w:val="24"/>
        </w:rPr>
        <w:t>Sección 2:</w:t>
      </w:r>
      <w:r w:rsidRPr="00CD554A">
        <w:rPr>
          <w:sz w:val="24"/>
          <w:szCs w:val="24"/>
        </w:rPr>
        <w:tab/>
      </w:r>
      <w:r w:rsidRPr="00CA4292">
        <w:rPr>
          <w:noProof/>
          <w:sz w:val="24"/>
          <w:szCs w:val="24"/>
        </w:rPr>
        <w:t>Datos para la notificación de sistemas terrenales;</w:t>
      </w:r>
    </w:p>
    <w:p w:rsidR="008E12E8" w:rsidRPr="00CA4292" w:rsidRDefault="008E12E8" w:rsidP="008E12E8">
      <w:pPr>
        <w:spacing w:before="80"/>
        <w:ind w:left="720"/>
        <w:rPr>
          <w:sz w:val="24"/>
          <w:szCs w:val="24"/>
        </w:rPr>
      </w:pPr>
      <w:r w:rsidRPr="00CA4292">
        <w:rPr>
          <w:sz w:val="24"/>
          <w:szCs w:val="24"/>
        </w:rPr>
        <w:t>Sección 3:</w:t>
      </w:r>
      <w:r w:rsidRPr="00CA4292">
        <w:rPr>
          <w:sz w:val="24"/>
          <w:szCs w:val="24"/>
        </w:rPr>
        <w:tab/>
      </w:r>
      <w:r w:rsidRPr="00CA4292">
        <w:rPr>
          <w:noProof/>
          <w:sz w:val="24"/>
          <w:szCs w:val="24"/>
        </w:rPr>
        <w:t>Descripción de los elementos de datos de los sistemas terrenales;</w:t>
      </w:r>
    </w:p>
    <w:p w:rsidR="008E12E8" w:rsidRPr="00CA4292" w:rsidRDefault="008E12E8" w:rsidP="008E12E8">
      <w:pPr>
        <w:spacing w:before="80"/>
        <w:ind w:left="720"/>
        <w:rPr>
          <w:sz w:val="24"/>
          <w:szCs w:val="24"/>
        </w:rPr>
      </w:pPr>
      <w:r w:rsidRPr="00CA4292">
        <w:rPr>
          <w:sz w:val="24"/>
          <w:szCs w:val="24"/>
        </w:rPr>
        <w:t>Sección 4:</w:t>
      </w:r>
      <w:r w:rsidRPr="00CA4292">
        <w:rPr>
          <w:sz w:val="24"/>
          <w:szCs w:val="24"/>
        </w:rPr>
        <w:tab/>
      </w:r>
      <w:r w:rsidRPr="00CA4292">
        <w:rPr>
          <w:noProof/>
          <w:sz w:val="24"/>
          <w:szCs w:val="24"/>
        </w:rPr>
        <w:t xml:space="preserve">Datos para la publicación anticipada, notificación y coordinación de sistemas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CA4292">
        <w:rPr>
          <w:noProof/>
          <w:sz w:val="24"/>
          <w:szCs w:val="24"/>
        </w:rPr>
        <w:t>espaciales; y</w:t>
      </w:r>
    </w:p>
    <w:p w:rsidR="008E12E8" w:rsidRPr="00CD554A" w:rsidRDefault="008E12E8" w:rsidP="008E12E8">
      <w:pPr>
        <w:spacing w:before="80"/>
        <w:ind w:left="720"/>
        <w:rPr>
          <w:noProof/>
          <w:sz w:val="24"/>
          <w:szCs w:val="24"/>
        </w:rPr>
      </w:pPr>
      <w:r w:rsidRPr="00CA4292">
        <w:rPr>
          <w:sz w:val="24"/>
          <w:szCs w:val="24"/>
        </w:rPr>
        <w:t>Sección 5:</w:t>
      </w:r>
      <w:r w:rsidRPr="00CA4292">
        <w:rPr>
          <w:sz w:val="24"/>
          <w:szCs w:val="24"/>
        </w:rPr>
        <w:tab/>
      </w:r>
      <w:r w:rsidRPr="00CA4292">
        <w:rPr>
          <w:noProof/>
          <w:sz w:val="24"/>
          <w:szCs w:val="24"/>
        </w:rPr>
        <w:t>Descripción de los elementos de datos de los sistemas espaciales</w:t>
      </w:r>
      <w:r w:rsidRPr="00CD554A">
        <w:rPr>
          <w:noProof/>
          <w:sz w:val="24"/>
          <w:szCs w:val="24"/>
        </w:rPr>
        <w:t>.</w:t>
      </w:r>
    </w:p>
    <w:p w:rsidR="008E12E8" w:rsidRPr="00B06FF2" w:rsidRDefault="008E12E8" w:rsidP="008E12E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Como resultado de l</w:t>
      </w:r>
      <w:r w:rsidRPr="00B06FF2">
        <w:rPr>
          <w:noProof/>
          <w:sz w:val="24"/>
          <w:szCs w:val="24"/>
        </w:rPr>
        <w:t>os cambio</w:t>
      </w:r>
      <w:r>
        <w:rPr>
          <w:noProof/>
          <w:sz w:val="24"/>
          <w:szCs w:val="24"/>
        </w:rPr>
        <w:t>s en esas secciones</w:t>
      </w:r>
      <w:r w:rsidRPr="00B06FF2">
        <w:rPr>
          <w:noProof/>
          <w:sz w:val="24"/>
          <w:szCs w:val="24"/>
        </w:rPr>
        <w:t>, fue necesario</w:t>
      </w:r>
      <w:r>
        <w:rPr>
          <w:noProof/>
          <w:sz w:val="24"/>
          <w:szCs w:val="24"/>
        </w:rPr>
        <w:t xml:space="preserve"> introducir</w:t>
      </w:r>
      <w:r w:rsidRPr="00B06FF2">
        <w:rPr>
          <w:noProof/>
          <w:sz w:val="24"/>
          <w:szCs w:val="24"/>
        </w:rPr>
        <w:t xml:space="preserve"> cambios </w:t>
      </w:r>
      <w:r>
        <w:rPr>
          <w:noProof/>
          <w:sz w:val="24"/>
          <w:szCs w:val="24"/>
        </w:rPr>
        <w:t xml:space="preserve">también </w:t>
      </w:r>
      <w:r w:rsidRPr="00B06FF2">
        <w:rPr>
          <w:noProof/>
          <w:sz w:val="24"/>
          <w:szCs w:val="24"/>
        </w:rPr>
        <w:t>en las siguientes Secciones:</w:t>
      </w:r>
    </w:p>
    <w:p w:rsidR="008E12E8" w:rsidRPr="008E1C5B" w:rsidRDefault="008E12E8" w:rsidP="008E12E8">
      <w:pPr>
        <w:spacing w:before="80"/>
        <w:ind w:left="720"/>
        <w:rPr>
          <w:sz w:val="24"/>
          <w:szCs w:val="24"/>
        </w:rPr>
      </w:pPr>
      <w:r w:rsidRPr="008E1C5B">
        <w:rPr>
          <w:sz w:val="24"/>
          <w:szCs w:val="24"/>
        </w:rPr>
        <w:t>Sección 7:</w:t>
      </w:r>
      <w:r w:rsidRPr="008E1C5B">
        <w:rPr>
          <w:sz w:val="24"/>
          <w:szCs w:val="24"/>
        </w:rPr>
        <w:tab/>
      </w:r>
      <w:r w:rsidRPr="008E1C5B">
        <w:rPr>
          <w:noProof/>
          <w:sz w:val="24"/>
          <w:szCs w:val="24"/>
        </w:rPr>
        <w:t>Diagramas;</w:t>
      </w:r>
    </w:p>
    <w:p w:rsidR="008E12E8" w:rsidRPr="008E1C5B" w:rsidRDefault="008E12E8" w:rsidP="008E12E8">
      <w:pPr>
        <w:spacing w:before="80"/>
        <w:ind w:left="720"/>
        <w:rPr>
          <w:noProof/>
          <w:sz w:val="24"/>
          <w:szCs w:val="24"/>
        </w:rPr>
      </w:pPr>
      <w:r w:rsidRPr="008E1C5B">
        <w:rPr>
          <w:sz w:val="24"/>
          <w:szCs w:val="24"/>
        </w:rPr>
        <w:t>Sección 8:</w:t>
      </w:r>
      <w:r w:rsidRPr="008E1C5B">
        <w:rPr>
          <w:sz w:val="24"/>
          <w:szCs w:val="24"/>
        </w:rPr>
        <w:tab/>
      </w:r>
      <w:r w:rsidRPr="008E1C5B">
        <w:rPr>
          <w:noProof/>
          <w:sz w:val="24"/>
          <w:szCs w:val="24"/>
        </w:rPr>
        <w:t>Cuadros comparativos entre el Apéndice 4 del RR y el DDR; y,</w:t>
      </w:r>
    </w:p>
    <w:p w:rsidR="008E12E8" w:rsidRPr="008E1C5B" w:rsidRDefault="008E12E8" w:rsidP="008E12E8">
      <w:pPr>
        <w:spacing w:before="80"/>
        <w:ind w:left="720"/>
        <w:rPr>
          <w:sz w:val="24"/>
          <w:szCs w:val="24"/>
        </w:rPr>
      </w:pPr>
      <w:r w:rsidRPr="008E1C5B">
        <w:rPr>
          <w:sz w:val="24"/>
          <w:szCs w:val="24"/>
        </w:rPr>
        <w:t>Sección 10:</w:t>
      </w:r>
      <w:r w:rsidRPr="008E1C5B">
        <w:rPr>
          <w:sz w:val="24"/>
          <w:szCs w:val="24"/>
        </w:rPr>
        <w:tab/>
        <w:t>Índices de consulta de los elementos de datos.</w:t>
      </w:r>
    </w:p>
    <w:p w:rsidR="008E12E8" w:rsidRPr="00070B1E" w:rsidRDefault="008E12E8" w:rsidP="008E12E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Conviene </w:t>
      </w:r>
      <w:r w:rsidRPr="00070B1E">
        <w:rPr>
          <w:sz w:val="24"/>
          <w:szCs w:val="24"/>
        </w:rPr>
        <w:t xml:space="preserve">indicar que </w:t>
      </w:r>
      <w:r>
        <w:rPr>
          <w:sz w:val="24"/>
          <w:szCs w:val="24"/>
        </w:rPr>
        <w:t>la Sección 10 no puede actualizarse hasta que no se eliminen las marcas de revisión del documento y éste se presente en el formato normalizado.</w:t>
      </w:r>
    </w:p>
    <w:p w:rsidR="008E12E8" w:rsidRPr="00070B1E" w:rsidRDefault="008E12E8" w:rsidP="008E12E8">
      <w:pPr>
        <w:jc w:val="left"/>
        <w:rPr>
          <w:sz w:val="24"/>
          <w:szCs w:val="24"/>
        </w:rPr>
      </w:pPr>
      <w:r w:rsidRPr="00070B1E">
        <w:rPr>
          <w:sz w:val="24"/>
          <w:szCs w:val="24"/>
        </w:rPr>
        <w:t>La Secci</w:t>
      </w:r>
      <w:r>
        <w:rPr>
          <w:sz w:val="24"/>
          <w:szCs w:val="24"/>
        </w:rPr>
        <w:t xml:space="preserve">ón 9, que </w:t>
      </w:r>
      <w:r w:rsidRPr="00070B1E">
        <w:rPr>
          <w:sz w:val="24"/>
          <w:szCs w:val="24"/>
        </w:rPr>
        <w:t>contiene datos proporcionados por la Oficina de Radiocomunicaciones</w:t>
      </w:r>
      <w:r>
        <w:rPr>
          <w:sz w:val="24"/>
          <w:szCs w:val="24"/>
        </w:rPr>
        <w:t xml:space="preserve">, también estará disponible tras la adopción de las revisiones propuestas a esta Recomendación. </w:t>
      </w:r>
    </w:p>
    <w:p w:rsidR="008E12E8" w:rsidRPr="0017227B" w:rsidRDefault="008E12E8" w:rsidP="008E12E8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17227B">
        <w:rPr>
          <w:rFonts w:asciiTheme="minorHAnsi" w:hAnsiTheme="minorHAnsi" w:cstheme="minorHAnsi"/>
          <w:sz w:val="24"/>
          <w:szCs w:val="24"/>
          <w:u w:val="single"/>
        </w:rPr>
        <w:t>Proyecto de modificación de la Recomendación UIT-R SM.1603-1</w:t>
      </w:r>
      <w:r w:rsidRPr="0017227B">
        <w:rPr>
          <w:rFonts w:asciiTheme="minorHAnsi" w:hAnsiTheme="minorHAnsi" w:cstheme="minorHAnsi"/>
          <w:sz w:val="24"/>
          <w:szCs w:val="24"/>
        </w:rPr>
        <w:tab/>
        <w:t>Doc. 1/103(Rev.1)</w:t>
      </w:r>
    </w:p>
    <w:p w:rsidR="008E12E8" w:rsidRPr="0017227B" w:rsidRDefault="008E12E8" w:rsidP="008E12E8">
      <w:pPr>
        <w:pStyle w:val="Rectitle"/>
      </w:pPr>
      <w:r w:rsidRPr="0017227B">
        <w:rPr>
          <w:bCs/>
          <w:iCs/>
        </w:rPr>
        <w:t>Reorganización del espectro como método de gestión nacional del espectro</w:t>
      </w:r>
    </w:p>
    <w:p w:rsidR="008E12E8" w:rsidRPr="00A657FA" w:rsidRDefault="008E12E8" w:rsidP="008E12E8">
      <w:pPr>
        <w:rPr>
          <w:rFonts w:eastAsia="SimSun"/>
          <w:sz w:val="24"/>
          <w:szCs w:val="24"/>
          <w:lang w:eastAsia="zh-CN"/>
        </w:rPr>
      </w:pPr>
      <w:r w:rsidRPr="00A657FA">
        <w:rPr>
          <w:rFonts w:eastAsia="SimSun"/>
          <w:sz w:val="24"/>
          <w:szCs w:val="24"/>
          <w:lang w:eastAsia="zh-CN"/>
        </w:rPr>
        <w:t>La finalidad de la modificación es la siguiente:</w:t>
      </w:r>
    </w:p>
    <w:p w:rsidR="008E12E8" w:rsidRPr="00A657FA" w:rsidRDefault="008E12E8" w:rsidP="008E12E8">
      <w:pPr>
        <w:pStyle w:val="enumlev1"/>
        <w:tabs>
          <w:tab w:val="clear" w:pos="794"/>
        </w:tabs>
        <w:jc w:val="left"/>
        <w:rPr>
          <w:sz w:val="24"/>
          <w:szCs w:val="24"/>
          <w:lang w:eastAsia="zh-CN"/>
        </w:rPr>
      </w:pPr>
      <w:r w:rsidRPr="00A657FA">
        <w:rPr>
          <w:sz w:val="24"/>
          <w:szCs w:val="24"/>
          <w:lang w:eastAsia="zh-CN"/>
        </w:rPr>
        <w:t>1)</w:t>
      </w:r>
      <w:r w:rsidRPr="00A657FA">
        <w:rPr>
          <w:sz w:val="24"/>
          <w:szCs w:val="24"/>
          <w:lang w:eastAsia="zh-CN"/>
        </w:rPr>
        <w:tab/>
        <w:t xml:space="preserve">en el § 3.2.2.2 del Anexo 1, considerar la “Reorganización del espectro al final de la vida útil de los equipos” </w:t>
      </w:r>
      <w:r>
        <w:rPr>
          <w:sz w:val="24"/>
          <w:szCs w:val="24"/>
          <w:lang w:eastAsia="zh-CN"/>
        </w:rPr>
        <w:t xml:space="preserve">como un caso de reorganización del espectro antes de la expiración de la licencia; </w:t>
      </w:r>
    </w:p>
    <w:p w:rsidR="008E12E8" w:rsidRPr="00CC67DC" w:rsidRDefault="008E12E8" w:rsidP="008E12E8">
      <w:pPr>
        <w:pStyle w:val="enumlev1"/>
        <w:tabs>
          <w:tab w:val="clear" w:pos="794"/>
        </w:tabs>
        <w:jc w:val="left"/>
        <w:rPr>
          <w:sz w:val="24"/>
          <w:szCs w:val="24"/>
          <w:lang w:eastAsia="zh-CN"/>
        </w:rPr>
      </w:pPr>
      <w:r w:rsidRPr="00CC67DC">
        <w:rPr>
          <w:sz w:val="24"/>
          <w:szCs w:val="24"/>
          <w:lang w:eastAsia="zh-CN"/>
        </w:rPr>
        <w:t>2)</w:t>
      </w:r>
      <w:r w:rsidRPr="00CC67DC">
        <w:rPr>
          <w:sz w:val="24"/>
          <w:szCs w:val="24"/>
          <w:lang w:eastAsia="zh-CN"/>
        </w:rPr>
        <w:tab/>
        <w:t>añadir un nuevo Apéndice 4 al Anexo 1 como ejemplo del proceso de reorganizaci</w:t>
      </w:r>
      <w:r>
        <w:rPr>
          <w:sz w:val="24"/>
          <w:szCs w:val="24"/>
          <w:lang w:eastAsia="zh-CN"/>
        </w:rPr>
        <w:t>ón del espectro basado en la experiencia de Benín;</w:t>
      </w:r>
    </w:p>
    <w:p w:rsidR="008E12E8" w:rsidRPr="00CC67DC" w:rsidRDefault="008E12E8" w:rsidP="008E12E8">
      <w:pPr>
        <w:pStyle w:val="enumlev1"/>
        <w:tabs>
          <w:tab w:val="clear" w:pos="794"/>
        </w:tabs>
        <w:jc w:val="left"/>
        <w:rPr>
          <w:sz w:val="24"/>
          <w:szCs w:val="24"/>
          <w:lang w:eastAsia="zh-CN"/>
        </w:rPr>
      </w:pPr>
      <w:r w:rsidRPr="00CC67DC">
        <w:rPr>
          <w:sz w:val="24"/>
          <w:szCs w:val="24"/>
          <w:lang w:eastAsia="zh-CN"/>
        </w:rPr>
        <w:t>3)</w:t>
      </w:r>
      <w:r w:rsidRPr="00CC67DC">
        <w:rPr>
          <w:sz w:val="24"/>
          <w:szCs w:val="24"/>
          <w:lang w:eastAsia="zh-CN"/>
        </w:rPr>
        <w:tab/>
        <w:t xml:space="preserve">añadir un nuevo Apéndice </w:t>
      </w:r>
      <w:r>
        <w:rPr>
          <w:sz w:val="24"/>
          <w:szCs w:val="24"/>
          <w:lang w:eastAsia="zh-CN"/>
        </w:rPr>
        <w:t>5</w:t>
      </w:r>
      <w:r w:rsidRPr="00CC67DC">
        <w:rPr>
          <w:sz w:val="24"/>
          <w:szCs w:val="24"/>
          <w:lang w:eastAsia="zh-CN"/>
        </w:rPr>
        <w:t xml:space="preserve"> al Anexo 1 como ejemplo del proceso de reorganizaci</w:t>
      </w:r>
      <w:r>
        <w:rPr>
          <w:sz w:val="24"/>
          <w:szCs w:val="24"/>
          <w:lang w:eastAsia="zh-CN"/>
        </w:rPr>
        <w:t>ón del espectro basad</w:t>
      </w:r>
      <w:r w:rsidRPr="00CC67DC">
        <w:rPr>
          <w:sz w:val="24"/>
          <w:szCs w:val="24"/>
          <w:lang w:eastAsia="zh-CN"/>
        </w:rPr>
        <w:t>o en la experiencia de</w:t>
      </w:r>
      <w:r>
        <w:rPr>
          <w:sz w:val="24"/>
          <w:szCs w:val="24"/>
          <w:lang w:eastAsia="zh-CN"/>
        </w:rPr>
        <w:t xml:space="preserve"> Ucrania; </w:t>
      </w:r>
    </w:p>
    <w:p w:rsidR="008E12E8" w:rsidRPr="00CC67DC" w:rsidRDefault="008E12E8" w:rsidP="008E12E8">
      <w:pPr>
        <w:tabs>
          <w:tab w:val="clear" w:pos="794"/>
        </w:tabs>
        <w:ind w:left="794" w:hanging="794"/>
        <w:jc w:val="left"/>
        <w:rPr>
          <w:rFonts w:eastAsia="Batang"/>
          <w:sz w:val="24"/>
          <w:szCs w:val="24"/>
          <w:lang w:eastAsia="zh-CN"/>
        </w:rPr>
      </w:pPr>
      <w:r w:rsidRPr="00CC67DC">
        <w:rPr>
          <w:sz w:val="24"/>
          <w:szCs w:val="24"/>
          <w:lang w:eastAsia="zh-CN"/>
        </w:rPr>
        <w:t>4)</w:t>
      </w:r>
      <w:r w:rsidRPr="00CC67DC">
        <w:rPr>
          <w:sz w:val="24"/>
          <w:szCs w:val="24"/>
          <w:lang w:eastAsia="zh-CN"/>
        </w:rPr>
        <w:tab/>
      </w:r>
      <w:r w:rsidRPr="00CC67DC">
        <w:rPr>
          <w:sz w:val="24"/>
          <w:szCs w:val="24"/>
          <w:lang w:eastAsia="ko-KR"/>
        </w:rPr>
        <w:t xml:space="preserve">añadir detalles en el </w:t>
      </w:r>
      <w:r w:rsidRPr="00CC67DC">
        <w:rPr>
          <w:sz w:val="24"/>
          <w:szCs w:val="24"/>
          <w:lang w:eastAsia="zh-CN"/>
        </w:rPr>
        <w:t>§ 3.2.2.</w:t>
      </w:r>
      <w:r w:rsidRPr="00CC67DC">
        <w:rPr>
          <w:rFonts w:hint="eastAsia"/>
          <w:sz w:val="24"/>
          <w:szCs w:val="24"/>
          <w:lang w:eastAsia="ko-KR"/>
        </w:rPr>
        <w:t>3</w:t>
      </w:r>
      <w:r w:rsidRPr="00CC67DC">
        <w:rPr>
          <w:sz w:val="24"/>
          <w:szCs w:val="24"/>
          <w:lang w:eastAsia="zh-CN"/>
        </w:rPr>
        <w:t xml:space="preserve"> del Anex</w:t>
      </w:r>
      <w:r>
        <w:rPr>
          <w:sz w:val="24"/>
          <w:szCs w:val="24"/>
          <w:lang w:eastAsia="zh-CN"/>
        </w:rPr>
        <w:t>o</w:t>
      </w:r>
      <w:r w:rsidRPr="00CC67DC">
        <w:rPr>
          <w:sz w:val="24"/>
          <w:szCs w:val="24"/>
          <w:lang w:eastAsia="zh-CN"/>
        </w:rPr>
        <w:t xml:space="preserve"> 1</w:t>
      </w:r>
      <w:r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eastAsia="ko-KR"/>
        </w:rPr>
        <w:t>“</w:t>
      </w:r>
      <w:r w:rsidRPr="00CC67DC">
        <w:rPr>
          <w:sz w:val="24"/>
          <w:szCs w:val="24"/>
          <w:lang w:eastAsia="ko-KR"/>
        </w:rPr>
        <w:t>Reorganización del espectro en las bandas exentas de licencia</w:t>
      </w:r>
      <w:r w:rsidRPr="00CC67DC">
        <w:rPr>
          <w:sz w:val="24"/>
          <w:szCs w:val="24"/>
          <w:lang w:eastAsia="zh-CN"/>
        </w:rPr>
        <w:t>”</w:t>
      </w:r>
      <w:r>
        <w:rPr>
          <w:sz w:val="24"/>
          <w:szCs w:val="24"/>
          <w:lang w:eastAsia="zh-CN"/>
        </w:rPr>
        <w:t xml:space="preserve">; </w:t>
      </w:r>
      <w:r w:rsidRPr="00CC67DC">
        <w:rPr>
          <w:sz w:val="24"/>
          <w:szCs w:val="24"/>
          <w:lang w:eastAsia="zh-CN"/>
        </w:rPr>
        <w:t xml:space="preserve"> </w:t>
      </w:r>
    </w:p>
    <w:p w:rsidR="008E12E8" w:rsidRPr="00F35C4C" w:rsidRDefault="008E12E8" w:rsidP="008E12E8">
      <w:pPr>
        <w:tabs>
          <w:tab w:val="clear" w:pos="794"/>
        </w:tabs>
        <w:ind w:left="794" w:hanging="794"/>
        <w:jc w:val="left"/>
        <w:rPr>
          <w:sz w:val="24"/>
          <w:szCs w:val="24"/>
          <w:lang w:eastAsia="ko-KR"/>
        </w:rPr>
      </w:pPr>
      <w:r w:rsidRPr="00C11A03">
        <w:rPr>
          <w:sz w:val="24"/>
          <w:szCs w:val="24"/>
          <w:lang w:eastAsia="zh-CN"/>
        </w:rPr>
        <w:t>5)</w:t>
      </w:r>
      <w:r w:rsidRPr="00C11A03">
        <w:rPr>
          <w:sz w:val="24"/>
          <w:szCs w:val="24"/>
          <w:lang w:eastAsia="zh-CN"/>
        </w:rPr>
        <w:tab/>
        <w:t xml:space="preserve">añadir en el Anexo 1 el nuevo § </w:t>
      </w:r>
      <w:r w:rsidRPr="00C11A03">
        <w:rPr>
          <w:rFonts w:hint="eastAsia"/>
          <w:sz w:val="24"/>
          <w:szCs w:val="24"/>
          <w:lang w:eastAsia="ko-KR"/>
        </w:rPr>
        <w:t>4</w:t>
      </w:r>
      <w:r w:rsidRPr="00C11A03">
        <w:rPr>
          <w:sz w:val="24"/>
          <w:szCs w:val="24"/>
          <w:lang w:eastAsia="zh-CN"/>
        </w:rPr>
        <w:t>.2.</w:t>
      </w:r>
      <w:r w:rsidRPr="00C11A03">
        <w:rPr>
          <w:rFonts w:hint="eastAsia"/>
          <w:sz w:val="24"/>
          <w:szCs w:val="24"/>
          <w:lang w:eastAsia="ko-KR"/>
        </w:rPr>
        <w:t>3</w:t>
      </w:r>
      <w:r w:rsidRPr="00C11A03">
        <w:rPr>
          <w:sz w:val="24"/>
          <w:szCs w:val="24"/>
          <w:lang w:eastAsia="ko-KR"/>
        </w:rPr>
        <w:t xml:space="preserve">, </w:t>
      </w:r>
      <w:r w:rsidRPr="00C11A03">
        <w:rPr>
          <w:sz w:val="24"/>
          <w:szCs w:val="24"/>
          <w:lang w:eastAsia="zh-CN"/>
        </w:rPr>
        <w:t>“</w:t>
      </w:r>
      <w:r w:rsidRPr="00F35C4C">
        <w:rPr>
          <w:sz w:val="24"/>
          <w:szCs w:val="24"/>
          <w:lang w:eastAsia="zh-CN"/>
        </w:rPr>
        <w:t>Compensación por pérdidas debidas a la reorganización de bandas exentas de licencia”</w:t>
      </w:r>
      <w:r>
        <w:rPr>
          <w:sz w:val="24"/>
          <w:szCs w:val="24"/>
          <w:lang w:eastAsia="zh-CN"/>
        </w:rPr>
        <w:t>;</w:t>
      </w:r>
    </w:p>
    <w:p w:rsidR="008E12E8" w:rsidRPr="00C11A03" w:rsidRDefault="008E12E8" w:rsidP="008E12E8">
      <w:pPr>
        <w:tabs>
          <w:tab w:val="clear" w:pos="794"/>
        </w:tabs>
        <w:ind w:left="794" w:hanging="794"/>
        <w:jc w:val="left"/>
        <w:rPr>
          <w:sz w:val="24"/>
          <w:szCs w:val="24"/>
          <w:lang w:eastAsia="ko-KR"/>
        </w:rPr>
      </w:pPr>
      <w:r w:rsidRPr="00C11A03">
        <w:rPr>
          <w:sz w:val="24"/>
          <w:szCs w:val="24"/>
          <w:lang w:eastAsia="zh-CN"/>
        </w:rPr>
        <w:t>6)</w:t>
      </w:r>
      <w:r w:rsidRPr="00C11A03">
        <w:rPr>
          <w:sz w:val="24"/>
          <w:szCs w:val="24"/>
          <w:lang w:eastAsia="zh-CN"/>
        </w:rPr>
        <w:tab/>
        <w:t xml:space="preserve">añadir un nuevo Apéndice 6 </w:t>
      </w:r>
      <w:r>
        <w:rPr>
          <w:sz w:val="24"/>
          <w:szCs w:val="24"/>
          <w:lang w:eastAsia="zh-CN"/>
        </w:rPr>
        <w:t xml:space="preserve">al Anexo 1  </w:t>
      </w:r>
      <w:r w:rsidRPr="00C11A03">
        <w:rPr>
          <w:sz w:val="24"/>
          <w:szCs w:val="24"/>
          <w:lang w:eastAsia="zh-CN"/>
        </w:rPr>
        <w:t>como ejemplo del proceso de reorganizaci</w:t>
      </w:r>
      <w:r>
        <w:rPr>
          <w:sz w:val="24"/>
          <w:szCs w:val="24"/>
          <w:lang w:eastAsia="zh-CN"/>
        </w:rPr>
        <w:t>ón del espectro basado en la experiencia de Estados Unidos.</w:t>
      </w:r>
    </w:p>
    <w:p w:rsidR="00CE6299" w:rsidRPr="000C4E7D" w:rsidRDefault="008E12E8" w:rsidP="00F21CC7">
      <w:pPr>
        <w:spacing w:before="360"/>
        <w:jc w:val="center"/>
      </w:pPr>
      <w:r w:rsidRPr="008A75E3">
        <w:rPr>
          <w:rFonts w:asciiTheme="majorBidi" w:hAnsiTheme="majorBidi" w:cstheme="majorBidi"/>
          <w:bCs/>
        </w:rPr>
        <w:t>________________</w:t>
      </w:r>
    </w:p>
    <w:sectPr w:rsidR="00CE6299" w:rsidRPr="000C4E7D" w:rsidSect="00235A29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D7997" w:rsidRDefault="00026CF8" w:rsidP="008E12E8">
    <w:pPr>
      <w:pStyle w:val="Header"/>
      <w:rPr>
        <w:sz w:val="18"/>
        <w:szCs w:val="18"/>
      </w:rPr>
    </w:pPr>
    <w:r>
      <w:tab/>
    </w:r>
    <w:r>
      <w:tab/>
    </w:r>
    <w:r w:rsidR="008E12E8">
      <w:t xml:space="preserve">- </w:t>
    </w:r>
    <w:r w:rsidRPr="00ED7997">
      <w:rPr>
        <w:rStyle w:val="PageNumber"/>
        <w:rFonts w:cs="Calibri"/>
        <w:sz w:val="18"/>
        <w:szCs w:val="18"/>
      </w:rPr>
      <w:fldChar w:fldCharType="begin"/>
    </w:r>
    <w:r w:rsidRPr="00ED7997">
      <w:rPr>
        <w:rStyle w:val="PageNumber"/>
        <w:rFonts w:cs="Calibri"/>
        <w:sz w:val="18"/>
        <w:szCs w:val="18"/>
      </w:rPr>
      <w:instrText xml:space="preserve"> PAGE </w:instrText>
    </w:r>
    <w:r w:rsidRPr="00ED7997">
      <w:rPr>
        <w:rStyle w:val="PageNumber"/>
        <w:rFonts w:cs="Calibri"/>
        <w:sz w:val="18"/>
        <w:szCs w:val="18"/>
      </w:rPr>
      <w:fldChar w:fldCharType="separate"/>
    </w:r>
    <w:r w:rsidR="00497F18">
      <w:rPr>
        <w:rStyle w:val="PageNumber"/>
        <w:rFonts w:cs="Calibri"/>
        <w:noProof/>
        <w:sz w:val="18"/>
        <w:szCs w:val="18"/>
      </w:rPr>
      <w:t>4</w:t>
    </w:r>
    <w:r w:rsidRPr="00ED7997">
      <w:rPr>
        <w:rStyle w:val="PageNumber"/>
        <w:rFonts w:cs="Calibri"/>
        <w:sz w:val="18"/>
        <w:szCs w:val="18"/>
      </w:rPr>
      <w:fldChar w:fldCharType="end"/>
    </w:r>
    <w:r w:rsidR="008E12E8">
      <w:rPr>
        <w:rStyle w:val="PageNumber"/>
        <w:rFonts w:cs="Calibri"/>
        <w:sz w:val="18"/>
        <w:szCs w:val="18"/>
      </w:rPr>
      <w:t xml:space="preserve"> </w:t>
    </w:r>
    <w:r w:rsidR="008E12E8"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AD1140" w:rsidP="00AD1140">
    <w:pPr>
      <w:pStyle w:val="Header"/>
    </w:pPr>
    <w:r>
      <w:ptab w:relativeTo="margin" w:alignment="center" w:leader="none"/>
    </w:r>
    <w:r w:rsidR="00B6207C" w:rsidRPr="00B6207C">
      <w:rPr>
        <w:noProof/>
        <w:sz w:val="18"/>
        <w:szCs w:val="18"/>
      </w:rPr>
      <w:t>-</w:t>
    </w:r>
    <w:r w:rsidR="00B6207C" w:rsidRPr="00B6207C">
      <w:rPr>
        <w:sz w:val="18"/>
        <w:szCs w:val="18"/>
      </w:rPr>
      <w:t xml:space="preserve"> </w:t>
    </w:r>
    <w:r w:rsidRPr="00B6207C">
      <w:rPr>
        <w:sz w:val="18"/>
        <w:szCs w:val="18"/>
      </w:rPr>
      <w:fldChar w:fldCharType="begin"/>
    </w:r>
    <w:r w:rsidRPr="00B6207C">
      <w:rPr>
        <w:sz w:val="18"/>
        <w:szCs w:val="18"/>
      </w:rPr>
      <w:instrText xml:space="preserve"> PAGE   \* MERGEFORMAT </w:instrText>
    </w:r>
    <w:r w:rsidRPr="00B6207C">
      <w:rPr>
        <w:sz w:val="18"/>
        <w:szCs w:val="18"/>
      </w:rPr>
      <w:fldChar w:fldCharType="separate"/>
    </w:r>
    <w:r w:rsidR="00497F18">
      <w:rPr>
        <w:noProof/>
        <w:sz w:val="18"/>
        <w:szCs w:val="18"/>
      </w:rPr>
      <w:t>3</w:t>
    </w:r>
    <w:r w:rsidRPr="00B6207C">
      <w:rPr>
        <w:noProof/>
        <w:sz w:val="18"/>
        <w:szCs w:val="18"/>
      </w:rPr>
      <w:fldChar w:fldCharType="end"/>
    </w:r>
    <w:r w:rsidR="00B6207C" w:rsidRPr="00B6207C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0D9DDC9E" wp14:editId="7C2547DA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C4E7D"/>
    <w:rsid w:val="000D786F"/>
    <w:rsid w:val="000E2185"/>
    <w:rsid w:val="000E3DEE"/>
    <w:rsid w:val="00103C76"/>
    <w:rsid w:val="0011265F"/>
    <w:rsid w:val="00145AA2"/>
    <w:rsid w:val="0016308F"/>
    <w:rsid w:val="001661C0"/>
    <w:rsid w:val="00192469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90AEE"/>
    <w:rsid w:val="002A2700"/>
    <w:rsid w:val="002C54C3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60CEC"/>
    <w:rsid w:val="00467117"/>
    <w:rsid w:val="004815EB"/>
    <w:rsid w:val="00496920"/>
    <w:rsid w:val="00497F18"/>
    <w:rsid w:val="004A28B6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0F7C"/>
    <w:rsid w:val="00553DD7"/>
    <w:rsid w:val="005558BD"/>
    <w:rsid w:val="0057469A"/>
    <w:rsid w:val="00577A01"/>
    <w:rsid w:val="00580814"/>
    <w:rsid w:val="005A03A3"/>
    <w:rsid w:val="005B214C"/>
    <w:rsid w:val="005C48EB"/>
    <w:rsid w:val="00602D53"/>
    <w:rsid w:val="00626878"/>
    <w:rsid w:val="00651777"/>
    <w:rsid w:val="00674F4F"/>
    <w:rsid w:val="006B0590"/>
    <w:rsid w:val="006B49DA"/>
    <w:rsid w:val="006C04E0"/>
    <w:rsid w:val="006F41CB"/>
    <w:rsid w:val="00700636"/>
    <w:rsid w:val="00707216"/>
    <w:rsid w:val="00712C78"/>
    <w:rsid w:val="007234B1"/>
    <w:rsid w:val="00730B9A"/>
    <w:rsid w:val="00783681"/>
    <w:rsid w:val="007921A7"/>
    <w:rsid w:val="007A5C27"/>
    <w:rsid w:val="007B0592"/>
    <w:rsid w:val="007B3DB1"/>
    <w:rsid w:val="007D183E"/>
    <w:rsid w:val="007E304D"/>
    <w:rsid w:val="007E3F13"/>
    <w:rsid w:val="007E59D7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D231B"/>
    <w:rsid w:val="008E03C2"/>
    <w:rsid w:val="008E12E8"/>
    <w:rsid w:val="008F4F21"/>
    <w:rsid w:val="00904D4A"/>
    <w:rsid w:val="009151BA"/>
    <w:rsid w:val="009277BC"/>
    <w:rsid w:val="00927D57"/>
    <w:rsid w:val="00935551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7017"/>
    <w:rsid w:val="009E4AEC"/>
    <w:rsid w:val="009E5BD8"/>
    <w:rsid w:val="009E681E"/>
    <w:rsid w:val="00A000AD"/>
    <w:rsid w:val="00A05186"/>
    <w:rsid w:val="00A34D6F"/>
    <w:rsid w:val="00A369C5"/>
    <w:rsid w:val="00A41F91"/>
    <w:rsid w:val="00A963DF"/>
    <w:rsid w:val="00A9747B"/>
    <w:rsid w:val="00AC3896"/>
    <w:rsid w:val="00AD1140"/>
    <w:rsid w:val="00AE6CFA"/>
    <w:rsid w:val="00AF3325"/>
    <w:rsid w:val="00B34CF9"/>
    <w:rsid w:val="00B557DC"/>
    <w:rsid w:val="00B6207C"/>
    <w:rsid w:val="00B67004"/>
    <w:rsid w:val="00B90C45"/>
    <w:rsid w:val="00B933BE"/>
    <w:rsid w:val="00BB4069"/>
    <w:rsid w:val="00BD38D8"/>
    <w:rsid w:val="00BD7E5E"/>
    <w:rsid w:val="00BD7FF7"/>
    <w:rsid w:val="00BE6574"/>
    <w:rsid w:val="00BF49D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E6299"/>
    <w:rsid w:val="00CF6752"/>
    <w:rsid w:val="00D10BA0"/>
    <w:rsid w:val="00D2339B"/>
    <w:rsid w:val="00D24EB5"/>
    <w:rsid w:val="00D41571"/>
    <w:rsid w:val="00D416A0"/>
    <w:rsid w:val="00D42F12"/>
    <w:rsid w:val="00D47672"/>
    <w:rsid w:val="00D5123C"/>
    <w:rsid w:val="00D51C9E"/>
    <w:rsid w:val="00D55560"/>
    <w:rsid w:val="00D6191B"/>
    <w:rsid w:val="00D61C5A"/>
    <w:rsid w:val="00DB3A18"/>
    <w:rsid w:val="00DB6B23"/>
    <w:rsid w:val="00DE66A5"/>
    <w:rsid w:val="00DF2B50"/>
    <w:rsid w:val="00E003F5"/>
    <w:rsid w:val="00E010B8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D7997"/>
    <w:rsid w:val="00EE35AA"/>
    <w:rsid w:val="00F1226E"/>
    <w:rsid w:val="00F21CC7"/>
    <w:rsid w:val="00F42C8C"/>
    <w:rsid w:val="00F468C5"/>
    <w:rsid w:val="00F52F39"/>
    <w:rsid w:val="00F55EAB"/>
    <w:rsid w:val="00F852E7"/>
    <w:rsid w:val="00F914DD"/>
    <w:rsid w:val="00F938C0"/>
    <w:rsid w:val="00FA2358"/>
    <w:rsid w:val="00FB2592"/>
    <w:rsid w:val="00FB2810"/>
    <w:rsid w:val="00FB4A94"/>
    <w:rsid w:val="00FC2947"/>
    <w:rsid w:val="00FC3393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CE629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link w:val="Rectitle"/>
    <w:uiPriority w:val="99"/>
    <w:rsid w:val="008E12E8"/>
    <w:rPr>
      <w:b/>
      <w:sz w:val="28"/>
      <w:szCs w:val="22"/>
      <w:lang w:val="es-ES_tradnl" w:eastAsia="en-US"/>
    </w:rPr>
  </w:style>
  <w:style w:type="character" w:customStyle="1" w:styleId="enumlev1Char">
    <w:name w:val="enumlev1 Char"/>
    <w:link w:val="enumlev1"/>
    <w:locked/>
    <w:rsid w:val="008E12E8"/>
    <w:rPr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CE629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link w:val="Rectitle"/>
    <w:uiPriority w:val="99"/>
    <w:rsid w:val="008E12E8"/>
    <w:rPr>
      <w:b/>
      <w:sz w:val="28"/>
      <w:szCs w:val="22"/>
      <w:lang w:val="es-ES_tradnl" w:eastAsia="en-US"/>
    </w:rPr>
  </w:style>
  <w:style w:type="character" w:customStyle="1" w:styleId="enumlev1Char">
    <w:name w:val="enumlev1 Char"/>
    <w:link w:val="enumlev1"/>
    <w:locked/>
    <w:rsid w:val="008E12E8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SG01-C-0102/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1-C-0098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pub/R-REP-SM.225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-009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1-C/en" TargetMode="External"/><Relationship Id="rId10" Type="http://schemas.openxmlformats.org/officeDocument/2006/relationships/hyperlink" Target="http://www.itu.int/md/R12-SG01-C-0096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SG01-C-0103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33</TotalTime>
  <Pages>4</Pages>
  <Words>1268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ITU</cp:lastModifiedBy>
  <cp:revision>18</cp:revision>
  <cp:lastPrinted>2014-06-30T06:19:00Z</cp:lastPrinted>
  <dcterms:created xsi:type="dcterms:W3CDTF">2014-06-18T12:15:00Z</dcterms:created>
  <dcterms:modified xsi:type="dcterms:W3CDTF">2014-06-30T06:20:00Z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