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0E4F07" w:rsidTr="00034340">
        <w:tc>
          <w:tcPr>
            <w:tcW w:w="7054" w:type="dxa"/>
            <w:gridSpan w:val="2"/>
            <w:shd w:val="clear" w:color="auto" w:fill="auto"/>
          </w:tcPr>
          <w:p w:rsidR="00C76D7F" w:rsidRPr="000E4F07" w:rsidRDefault="00D21694" w:rsidP="00E17344">
            <w:pPr>
              <w:spacing w:before="0"/>
              <w:jc w:val="left"/>
              <w:rPr>
                <w:sz w:val="24"/>
                <w:szCs w:val="24"/>
                <w:lang w:val="fr-CH"/>
              </w:rPr>
            </w:pPr>
            <w:r w:rsidRPr="000E4F07">
              <w:rPr>
                <w:sz w:val="24"/>
                <w:szCs w:val="24"/>
                <w:lang w:val="fr-CH"/>
              </w:rPr>
              <w:t xml:space="preserve">Administrative </w:t>
            </w:r>
            <w:r w:rsidR="008B35A3" w:rsidRPr="000E4F07">
              <w:rPr>
                <w:sz w:val="24"/>
                <w:szCs w:val="24"/>
                <w:lang w:val="fr-CH"/>
              </w:rPr>
              <w:t>C</w:t>
            </w:r>
            <w:r w:rsidR="00C76D7F" w:rsidRPr="000E4F07">
              <w:rPr>
                <w:sz w:val="24"/>
                <w:szCs w:val="24"/>
                <w:lang w:val="fr-CH"/>
              </w:rPr>
              <w:t>ircular</w:t>
            </w:r>
          </w:p>
          <w:p w:rsidR="00651777" w:rsidRPr="000E4F07" w:rsidRDefault="00E17344" w:rsidP="000E4F07">
            <w:pPr>
              <w:spacing w:before="0"/>
              <w:jc w:val="left"/>
              <w:rPr>
                <w:b/>
                <w:bCs/>
                <w:sz w:val="24"/>
                <w:szCs w:val="24"/>
                <w:lang w:val="fr-CH"/>
              </w:rPr>
            </w:pPr>
            <w:r w:rsidRPr="000E4F07">
              <w:rPr>
                <w:b/>
                <w:bCs/>
                <w:sz w:val="24"/>
                <w:szCs w:val="24"/>
                <w:lang w:val="fr-CH"/>
              </w:rPr>
              <w:t>CA</w:t>
            </w:r>
            <w:r w:rsidR="004A7970" w:rsidRPr="000E4F07">
              <w:rPr>
                <w:b/>
                <w:bCs/>
                <w:sz w:val="24"/>
                <w:szCs w:val="24"/>
                <w:lang w:val="fr-CH"/>
              </w:rPr>
              <w:t>CE</w:t>
            </w:r>
            <w:r w:rsidR="003836D4" w:rsidRPr="000E4F07">
              <w:rPr>
                <w:b/>
                <w:bCs/>
                <w:sz w:val="24"/>
                <w:szCs w:val="24"/>
                <w:lang w:val="fr-CH"/>
              </w:rPr>
              <w:t>/</w:t>
            </w:r>
            <w:r w:rsidR="000E4F07" w:rsidRPr="000E4F07">
              <w:rPr>
                <w:b/>
                <w:bCs/>
                <w:sz w:val="24"/>
                <w:szCs w:val="24"/>
                <w:lang w:val="fr-CH"/>
              </w:rPr>
              <w:t>675</w:t>
            </w:r>
          </w:p>
        </w:tc>
        <w:tc>
          <w:tcPr>
            <w:tcW w:w="2835" w:type="dxa"/>
            <w:shd w:val="clear" w:color="auto" w:fill="auto"/>
          </w:tcPr>
          <w:p w:rsidR="00651777" w:rsidRPr="000E4F07" w:rsidRDefault="000E4F07" w:rsidP="00034340">
            <w:pPr>
              <w:spacing w:before="0"/>
              <w:jc w:val="right"/>
              <w:rPr>
                <w:sz w:val="24"/>
                <w:szCs w:val="24"/>
                <w:lang w:val="en-GB"/>
              </w:rPr>
            </w:pPr>
            <w:r w:rsidRPr="000E4F07">
              <w:rPr>
                <w:sz w:val="24"/>
                <w:szCs w:val="24"/>
                <w:lang w:val="en-GB"/>
              </w:rPr>
              <w:t>27 June 2014</w:t>
            </w:r>
          </w:p>
        </w:tc>
      </w:tr>
      <w:tr w:rsidR="0037309C" w:rsidRPr="000E4F07" w:rsidTr="004D02EC">
        <w:tc>
          <w:tcPr>
            <w:tcW w:w="9889" w:type="dxa"/>
            <w:gridSpan w:val="3"/>
            <w:shd w:val="clear" w:color="auto" w:fill="auto"/>
          </w:tcPr>
          <w:p w:rsidR="0037309C" w:rsidRPr="000E4F07" w:rsidRDefault="0037309C" w:rsidP="006047E5">
            <w:pPr>
              <w:spacing w:before="0"/>
              <w:jc w:val="left"/>
              <w:rPr>
                <w:rFonts w:cs="Arial"/>
                <w:sz w:val="24"/>
                <w:szCs w:val="24"/>
                <w:lang w:val="en-GB"/>
              </w:rPr>
            </w:pPr>
          </w:p>
        </w:tc>
      </w:tr>
      <w:tr w:rsidR="0037309C" w:rsidRPr="000E4F07" w:rsidTr="00D374CD">
        <w:tc>
          <w:tcPr>
            <w:tcW w:w="9889" w:type="dxa"/>
            <w:gridSpan w:val="3"/>
            <w:shd w:val="clear" w:color="auto" w:fill="auto"/>
          </w:tcPr>
          <w:p w:rsidR="0037309C" w:rsidRPr="000E4F07" w:rsidRDefault="0037309C" w:rsidP="00D374CD">
            <w:pPr>
              <w:spacing w:before="0"/>
              <w:jc w:val="left"/>
              <w:rPr>
                <w:sz w:val="24"/>
                <w:szCs w:val="24"/>
              </w:rPr>
            </w:pPr>
          </w:p>
        </w:tc>
      </w:tr>
      <w:tr w:rsidR="0037309C" w:rsidRPr="000E4F07" w:rsidTr="004D02EC">
        <w:tc>
          <w:tcPr>
            <w:tcW w:w="9889" w:type="dxa"/>
            <w:gridSpan w:val="3"/>
            <w:shd w:val="clear" w:color="auto" w:fill="auto"/>
          </w:tcPr>
          <w:p w:rsidR="00D21694" w:rsidRPr="000E4F07" w:rsidRDefault="004A7970">
            <w:pPr>
              <w:spacing w:before="0"/>
              <w:jc w:val="left"/>
              <w:rPr>
                <w:b/>
                <w:bCs/>
                <w:sz w:val="24"/>
                <w:szCs w:val="24"/>
              </w:rPr>
            </w:pPr>
            <w:r w:rsidRPr="000E4F07">
              <w:rPr>
                <w:b/>
                <w:bCs/>
                <w:sz w:val="24"/>
                <w:szCs w:val="24"/>
              </w:rPr>
              <w:t>To Administrations of Member States of the ITU, Radiocommunication Sector Members</w:t>
            </w:r>
            <w:r w:rsidR="00BF5F50" w:rsidRPr="000E4F07">
              <w:rPr>
                <w:b/>
                <w:bCs/>
                <w:sz w:val="24"/>
                <w:szCs w:val="24"/>
              </w:rPr>
              <w:t xml:space="preserve"> </w:t>
            </w:r>
            <w:r w:rsidR="00DA16A9" w:rsidRPr="000E4F07">
              <w:rPr>
                <w:b/>
                <w:bCs/>
                <w:sz w:val="24"/>
                <w:szCs w:val="24"/>
              </w:rPr>
              <w:t>and</w:t>
            </w:r>
            <w:r w:rsidRPr="000E4F07">
              <w:rPr>
                <w:b/>
                <w:bCs/>
                <w:sz w:val="24"/>
                <w:szCs w:val="24"/>
              </w:rPr>
              <w:br/>
              <w:t xml:space="preserve">ITU-R Associates participating in the work of Radiocommunication Study Group </w:t>
            </w:r>
            <w:r w:rsidR="000E4F07" w:rsidRPr="000E4F07">
              <w:rPr>
                <w:b/>
                <w:bCs/>
                <w:sz w:val="24"/>
                <w:szCs w:val="24"/>
              </w:rPr>
              <w:t>1</w:t>
            </w:r>
          </w:p>
        </w:tc>
      </w:tr>
      <w:tr w:rsidR="0037309C" w:rsidRPr="000E4F07" w:rsidTr="004D02EC">
        <w:tc>
          <w:tcPr>
            <w:tcW w:w="9889" w:type="dxa"/>
            <w:gridSpan w:val="3"/>
            <w:shd w:val="clear" w:color="auto" w:fill="auto"/>
          </w:tcPr>
          <w:p w:rsidR="0037309C" w:rsidRPr="000E4F07" w:rsidRDefault="0037309C" w:rsidP="006047E5">
            <w:pPr>
              <w:spacing w:before="0"/>
              <w:jc w:val="left"/>
              <w:rPr>
                <w:sz w:val="24"/>
                <w:szCs w:val="24"/>
              </w:rPr>
            </w:pPr>
          </w:p>
        </w:tc>
      </w:tr>
      <w:tr w:rsidR="0037309C" w:rsidRPr="000E4F07" w:rsidTr="004D02EC">
        <w:tc>
          <w:tcPr>
            <w:tcW w:w="9889" w:type="dxa"/>
            <w:gridSpan w:val="3"/>
            <w:shd w:val="clear" w:color="auto" w:fill="auto"/>
          </w:tcPr>
          <w:p w:rsidR="0037309C" w:rsidRPr="000E4F07" w:rsidRDefault="0037309C" w:rsidP="006047E5">
            <w:pPr>
              <w:spacing w:before="0"/>
              <w:jc w:val="left"/>
              <w:rPr>
                <w:sz w:val="24"/>
                <w:szCs w:val="24"/>
              </w:rPr>
            </w:pPr>
          </w:p>
        </w:tc>
      </w:tr>
      <w:tr w:rsidR="00B4054B" w:rsidRPr="000E4F07" w:rsidTr="0037309C">
        <w:tc>
          <w:tcPr>
            <w:tcW w:w="1526" w:type="dxa"/>
            <w:shd w:val="clear" w:color="auto" w:fill="auto"/>
          </w:tcPr>
          <w:p w:rsidR="00B4054B" w:rsidRPr="000E4F07" w:rsidRDefault="00B4054B" w:rsidP="006A0053">
            <w:pPr>
              <w:spacing w:before="0"/>
              <w:jc w:val="left"/>
              <w:rPr>
                <w:sz w:val="24"/>
                <w:szCs w:val="24"/>
                <w:lang w:val="en-GB"/>
              </w:rPr>
            </w:pPr>
            <w:r w:rsidRPr="000E4F07">
              <w:rPr>
                <w:sz w:val="24"/>
                <w:szCs w:val="24"/>
              </w:rPr>
              <w:t>Subject:</w:t>
            </w:r>
          </w:p>
        </w:tc>
        <w:tc>
          <w:tcPr>
            <w:tcW w:w="8363" w:type="dxa"/>
            <w:gridSpan w:val="2"/>
            <w:vMerge w:val="restart"/>
            <w:shd w:val="clear" w:color="auto" w:fill="auto"/>
          </w:tcPr>
          <w:p w:rsidR="00B4054B" w:rsidRPr="000E4F07" w:rsidRDefault="004A7970">
            <w:pPr>
              <w:spacing w:before="0"/>
              <w:jc w:val="left"/>
              <w:rPr>
                <w:b/>
                <w:bCs/>
                <w:sz w:val="24"/>
                <w:szCs w:val="24"/>
              </w:rPr>
            </w:pPr>
            <w:r w:rsidRPr="000E4F07">
              <w:rPr>
                <w:b/>
                <w:bCs/>
                <w:sz w:val="24"/>
                <w:szCs w:val="24"/>
              </w:rPr>
              <w:t xml:space="preserve">Radiocommunication Study Group </w:t>
            </w:r>
            <w:r w:rsidR="000E4F07" w:rsidRPr="000E4F07">
              <w:rPr>
                <w:b/>
                <w:bCs/>
                <w:sz w:val="24"/>
                <w:szCs w:val="24"/>
              </w:rPr>
              <w:t>1 (Spectrum management)</w:t>
            </w:r>
          </w:p>
          <w:p w:rsidR="004A7970" w:rsidRPr="003271D2" w:rsidRDefault="004A7970" w:rsidP="00E46C70">
            <w:pPr>
              <w:keepNext/>
              <w:keepLines/>
              <w:numPr>
                <w:ilvl w:val="0"/>
                <w:numId w:val="2"/>
              </w:numPr>
              <w:tabs>
                <w:tab w:val="clear" w:pos="794"/>
                <w:tab w:val="clear" w:pos="1191"/>
                <w:tab w:val="clear" w:pos="1588"/>
                <w:tab w:val="left" w:pos="1418"/>
              </w:tabs>
              <w:spacing w:before="120" w:after="120" w:line="240" w:lineRule="auto"/>
              <w:ind w:left="318" w:right="-284" w:hanging="318"/>
              <w:jc w:val="left"/>
              <w:rPr>
                <w:szCs w:val="24"/>
              </w:rPr>
            </w:pPr>
            <w:r w:rsidRPr="003271D2">
              <w:rPr>
                <w:rFonts w:asciiTheme="minorHAnsi" w:hAnsiTheme="minorHAnsi" w:cstheme="minorHAnsi"/>
                <w:b/>
                <w:sz w:val="24"/>
                <w:szCs w:val="24"/>
              </w:rPr>
              <w:t xml:space="preserve">Proposed adoption of </w:t>
            </w:r>
            <w:r w:rsidR="000E4F07" w:rsidRPr="000E4F07">
              <w:rPr>
                <w:rFonts w:asciiTheme="minorHAnsi" w:hAnsiTheme="minorHAnsi" w:cstheme="minorHAnsi"/>
                <w:b/>
                <w:sz w:val="24"/>
                <w:szCs w:val="24"/>
              </w:rPr>
              <w:t xml:space="preserve">5 </w:t>
            </w:r>
            <w:r w:rsidRPr="003271D2">
              <w:rPr>
                <w:rFonts w:asciiTheme="minorHAnsi" w:hAnsiTheme="minorHAnsi" w:cstheme="minorHAnsi"/>
                <w:b/>
                <w:sz w:val="24"/>
                <w:szCs w:val="24"/>
              </w:rPr>
              <w:t>draft</w:t>
            </w:r>
            <w:r w:rsidR="00E46C70">
              <w:rPr>
                <w:rFonts w:asciiTheme="minorHAnsi" w:hAnsiTheme="minorHAnsi" w:cstheme="minorHAnsi"/>
                <w:b/>
                <w:sz w:val="24"/>
                <w:szCs w:val="24"/>
              </w:rPr>
              <w:t xml:space="preserve"> </w:t>
            </w:r>
            <w:r w:rsidRPr="003271D2">
              <w:rPr>
                <w:rFonts w:asciiTheme="minorHAnsi" w:hAnsiTheme="minorHAnsi" w:cstheme="minorHAnsi"/>
                <w:b/>
                <w:sz w:val="24"/>
                <w:szCs w:val="24"/>
              </w:rPr>
              <w:t>revised</w:t>
            </w:r>
            <w:r w:rsidR="00BF5F50" w:rsidRPr="000E4F07">
              <w:rPr>
                <w:rFonts w:asciiTheme="minorHAnsi" w:hAnsiTheme="minorHAnsi" w:cstheme="minorHAnsi"/>
                <w:b/>
                <w:sz w:val="24"/>
                <w:szCs w:val="24"/>
              </w:rPr>
              <w:t xml:space="preserve"> </w:t>
            </w:r>
            <w:r w:rsidRPr="003271D2">
              <w:rPr>
                <w:rFonts w:asciiTheme="minorHAnsi" w:hAnsiTheme="minorHAnsi" w:cstheme="minorHAnsi"/>
                <w:b/>
                <w:sz w:val="24"/>
                <w:szCs w:val="24"/>
              </w:rPr>
              <w:t>ITU-R Recommendations and their simultaneous approval</w:t>
            </w:r>
            <w:r w:rsidR="00E46C70">
              <w:rPr>
                <w:rFonts w:asciiTheme="minorHAnsi" w:hAnsiTheme="minorHAnsi" w:cstheme="minorHAnsi"/>
                <w:b/>
                <w:sz w:val="24"/>
                <w:szCs w:val="24"/>
              </w:rPr>
              <w:t xml:space="preserve"> </w:t>
            </w:r>
            <w:r w:rsidRPr="003271D2">
              <w:rPr>
                <w:rFonts w:asciiTheme="minorHAnsi" w:hAnsiTheme="minorHAnsi" w:cstheme="minorHAnsi"/>
                <w:b/>
                <w:sz w:val="24"/>
                <w:szCs w:val="24"/>
              </w:rPr>
              <w:t>by correspondence</w:t>
            </w:r>
            <w:r w:rsidR="00A45D9A" w:rsidRPr="000E4F07">
              <w:rPr>
                <w:rFonts w:asciiTheme="minorHAnsi" w:hAnsiTheme="minorHAnsi" w:cstheme="minorHAnsi"/>
                <w:b/>
                <w:sz w:val="24"/>
                <w:szCs w:val="24"/>
              </w:rPr>
              <w:t xml:space="preserve"> </w:t>
            </w:r>
            <w:r w:rsidRPr="003271D2">
              <w:rPr>
                <w:rFonts w:asciiTheme="minorHAnsi" w:hAnsiTheme="minorHAnsi" w:cstheme="minorHAnsi"/>
                <w:b/>
                <w:sz w:val="24"/>
                <w:szCs w:val="24"/>
              </w:rPr>
              <w:t>in accordance with § 10.3 of Resolution ITU</w:t>
            </w:r>
            <w:r w:rsidRPr="003271D2">
              <w:rPr>
                <w:rFonts w:asciiTheme="minorHAnsi" w:hAnsiTheme="minorHAnsi" w:cstheme="minorHAnsi"/>
                <w:b/>
                <w:sz w:val="24"/>
                <w:szCs w:val="24"/>
              </w:rPr>
              <w:noBreakHyphen/>
              <w:t>R 1-6</w:t>
            </w:r>
            <w:r w:rsidR="00E46C70">
              <w:rPr>
                <w:rFonts w:asciiTheme="minorHAnsi" w:hAnsiTheme="minorHAnsi" w:cstheme="minorHAnsi"/>
                <w:b/>
                <w:sz w:val="24"/>
                <w:szCs w:val="24"/>
              </w:rPr>
              <w:t xml:space="preserve"> </w:t>
            </w:r>
            <w:r w:rsidRPr="003271D2">
              <w:rPr>
                <w:rFonts w:asciiTheme="minorHAnsi" w:hAnsiTheme="minorHAnsi" w:cstheme="minorHAnsi"/>
                <w:b/>
                <w:sz w:val="24"/>
                <w:szCs w:val="24"/>
              </w:rPr>
              <w:t xml:space="preserve">(Procedure for the simultaneous adoption and approval </w:t>
            </w:r>
            <w:r w:rsidR="00C37F98">
              <w:rPr>
                <w:rFonts w:asciiTheme="minorHAnsi" w:hAnsiTheme="minorHAnsi" w:cstheme="minorHAnsi"/>
                <w:b/>
                <w:sz w:val="24"/>
                <w:szCs w:val="24"/>
              </w:rPr>
              <w:br/>
            </w:r>
            <w:r w:rsidRPr="003271D2">
              <w:rPr>
                <w:rFonts w:asciiTheme="minorHAnsi" w:hAnsiTheme="minorHAnsi" w:cstheme="minorHAnsi"/>
                <w:b/>
                <w:sz w:val="24"/>
                <w:szCs w:val="24"/>
              </w:rPr>
              <w:t>by correspondence)</w:t>
            </w:r>
          </w:p>
        </w:tc>
      </w:tr>
      <w:tr w:rsidR="00B4054B" w:rsidRPr="000E4F07" w:rsidTr="006A0053">
        <w:tc>
          <w:tcPr>
            <w:tcW w:w="1526" w:type="dxa"/>
            <w:shd w:val="clear" w:color="auto" w:fill="auto"/>
          </w:tcPr>
          <w:p w:rsidR="00B4054B" w:rsidRPr="000E4F07" w:rsidRDefault="00B4054B" w:rsidP="006A0053">
            <w:pPr>
              <w:spacing w:before="0"/>
              <w:jc w:val="left"/>
              <w:rPr>
                <w:b/>
                <w:bCs/>
                <w:sz w:val="24"/>
                <w:szCs w:val="24"/>
                <w:lang w:val="en-GB"/>
              </w:rPr>
            </w:pPr>
          </w:p>
        </w:tc>
        <w:tc>
          <w:tcPr>
            <w:tcW w:w="8363" w:type="dxa"/>
            <w:gridSpan w:val="2"/>
            <w:vMerge/>
            <w:shd w:val="clear" w:color="auto" w:fill="auto"/>
          </w:tcPr>
          <w:p w:rsidR="00B4054B" w:rsidRPr="000E4F07" w:rsidRDefault="00B4054B" w:rsidP="006A0053">
            <w:pPr>
              <w:spacing w:before="0"/>
              <w:rPr>
                <w:b/>
                <w:bCs/>
                <w:sz w:val="24"/>
                <w:szCs w:val="24"/>
                <w:lang w:val="en-GB"/>
              </w:rPr>
            </w:pPr>
          </w:p>
        </w:tc>
      </w:tr>
      <w:tr w:rsidR="00B4054B" w:rsidRPr="000E4F07" w:rsidTr="006A0053">
        <w:tc>
          <w:tcPr>
            <w:tcW w:w="1526" w:type="dxa"/>
            <w:shd w:val="clear" w:color="auto" w:fill="auto"/>
          </w:tcPr>
          <w:p w:rsidR="00B4054B" w:rsidRPr="000E4F07" w:rsidRDefault="00B4054B" w:rsidP="006A0053">
            <w:pPr>
              <w:spacing w:before="0"/>
              <w:jc w:val="left"/>
              <w:rPr>
                <w:b/>
                <w:bCs/>
                <w:sz w:val="24"/>
                <w:szCs w:val="24"/>
                <w:lang w:val="en-GB"/>
              </w:rPr>
            </w:pPr>
          </w:p>
        </w:tc>
        <w:tc>
          <w:tcPr>
            <w:tcW w:w="8363" w:type="dxa"/>
            <w:gridSpan w:val="2"/>
            <w:vMerge/>
            <w:shd w:val="clear" w:color="auto" w:fill="auto"/>
          </w:tcPr>
          <w:p w:rsidR="00B4054B" w:rsidRPr="000E4F07" w:rsidRDefault="00B4054B" w:rsidP="006A0053">
            <w:pPr>
              <w:spacing w:before="0"/>
              <w:rPr>
                <w:b/>
                <w:bCs/>
                <w:sz w:val="24"/>
                <w:szCs w:val="24"/>
                <w:lang w:val="en-GB"/>
              </w:rPr>
            </w:pPr>
          </w:p>
        </w:tc>
      </w:tr>
      <w:tr w:rsidR="00C51E92" w:rsidRPr="000E4F07" w:rsidTr="00F72DBF">
        <w:tc>
          <w:tcPr>
            <w:tcW w:w="9889" w:type="dxa"/>
            <w:gridSpan w:val="3"/>
            <w:shd w:val="clear" w:color="auto" w:fill="auto"/>
          </w:tcPr>
          <w:p w:rsidR="00C51E92" w:rsidRPr="000E4F07" w:rsidRDefault="00C51E92" w:rsidP="00F72DBF">
            <w:pPr>
              <w:spacing w:before="0"/>
              <w:jc w:val="left"/>
              <w:rPr>
                <w:b/>
                <w:bCs/>
                <w:sz w:val="24"/>
                <w:szCs w:val="24"/>
              </w:rPr>
            </w:pPr>
          </w:p>
        </w:tc>
      </w:tr>
      <w:tr w:rsidR="00C51E92" w:rsidRPr="000E4F07" w:rsidTr="00F72DBF">
        <w:tc>
          <w:tcPr>
            <w:tcW w:w="9889" w:type="dxa"/>
            <w:gridSpan w:val="3"/>
            <w:shd w:val="clear" w:color="auto" w:fill="auto"/>
          </w:tcPr>
          <w:p w:rsidR="00C51E92" w:rsidRPr="000E4F07" w:rsidRDefault="00C51E92" w:rsidP="00F72DBF">
            <w:pPr>
              <w:spacing w:before="0"/>
              <w:jc w:val="left"/>
              <w:rPr>
                <w:b/>
                <w:bCs/>
                <w:sz w:val="24"/>
                <w:szCs w:val="24"/>
              </w:rPr>
            </w:pPr>
          </w:p>
        </w:tc>
      </w:tr>
    </w:tbl>
    <w:p w:rsidR="004A7970" w:rsidRPr="000E4F07" w:rsidRDefault="004A7970" w:rsidP="0084433D">
      <w:pPr>
        <w:pStyle w:val="Normalaftertitle"/>
        <w:spacing w:before="160"/>
        <w:rPr>
          <w:sz w:val="24"/>
          <w:szCs w:val="24"/>
        </w:rPr>
      </w:pPr>
      <w:r w:rsidRPr="000E4F07">
        <w:rPr>
          <w:sz w:val="24"/>
          <w:szCs w:val="24"/>
        </w:rPr>
        <w:t xml:space="preserve">At the meeting of Radiocommunication Study Group </w:t>
      </w:r>
      <w:r w:rsidR="000E4F07" w:rsidRPr="000E4F07">
        <w:rPr>
          <w:sz w:val="24"/>
          <w:szCs w:val="24"/>
        </w:rPr>
        <w:t>1</w:t>
      </w:r>
      <w:r w:rsidRPr="000E4F07">
        <w:rPr>
          <w:sz w:val="24"/>
          <w:szCs w:val="24"/>
        </w:rPr>
        <w:t xml:space="preserve">, held </w:t>
      </w:r>
      <w:r w:rsidR="0084433D">
        <w:rPr>
          <w:sz w:val="24"/>
          <w:szCs w:val="24"/>
        </w:rPr>
        <w:t>on</w:t>
      </w:r>
      <w:bookmarkStart w:id="0" w:name="_GoBack"/>
      <w:bookmarkEnd w:id="0"/>
      <w:r w:rsidRPr="000E4F07">
        <w:rPr>
          <w:sz w:val="24"/>
          <w:szCs w:val="24"/>
        </w:rPr>
        <w:t xml:space="preserve"> </w:t>
      </w:r>
      <w:r w:rsidR="000E4F07" w:rsidRPr="000E4F07">
        <w:rPr>
          <w:sz w:val="24"/>
          <w:szCs w:val="24"/>
        </w:rPr>
        <w:t>12 June 2014</w:t>
      </w:r>
      <w:r w:rsidRPr="000E4F07">
        <w:rPr>
          <w:sz w:val="24"/>
          <w:szCs w:val="24"/>
        </w:rPr>
        <w:t xml:space="preserve">, the Study Group decided to seek adoption of </w:t>
      </w:r>
      <w:r w:rsidR="000E4F07" w:rsidRPr="000E4F07">
        <w:rPr>
          <w:bCs/>
          <w:sz w:val="24"/>
          <w:szCs w:val="24"/>
        </w:rPr>
        <w:t xml:space="preserve">5 </w:t>
      </w:r>
      <w:r w:rsidRPr="000E4F07">
        <w:rPr>
          <w:bCs/>
          <w:sz w:val="24"/>
          <w:szCs w:val="24"/>
        </w:rPr>
        <w:t>draft revised ITU-R Recommendation</w:t>
      </w:r>
      <w:r w:rsidRPr="003271D2">
        <w:rPr>
          <w:bCs/>
          <w:sz w:val="24"/>
          <w:szCs w:val="24"/>
        </w:rPr>
        <w:t>s</w:t>
      </w:r>
      <w:r w:rsidRPr="000E4F07">
        <w:rPr>
          <w:sz w:val="24"/>
          <w:szCs w:val="24"/>
        </w:rPr>
        <w:t xml:space="preserve"> by correspondence (§ 10.2.3 of Resolution ITU-R 1-6) and further decided to apply the procedure for simultaneous adoption and approval by correspondence (PSAA), (§ 10.3 of Resolution ITU</w:t>
      </w:r>
      <w:r w:rsidRPr="000E4F07">
        <w:rPr>
          <w:sz w:val="24"/>
          <w:szCs w:val="24"/>
        </w:rPr>
        <w:noBreakHyphen/>
        <w:t>R 1</w:t>
      </w:r>
      <w:r w:rsidRPr="000E4F07">
        <w:rPr>
          <w:sz w:val="24"/>
          <w:szCs w:val="24"/>
        </w:rPr>
        <w:noBreakHyphen/>
        <w:t>6). The title</w:t>
      </w:r>
      <w:r w:rsidRPr="003271D2">
        <w:rPr>
          <w:sz w:val="24"/>
          <w:szCs w:val="24"/>
        </w:rPr>
        <w:t>s</w:t>
      </w:r>
      <w:r w:rsidRPr="000E4F07">
        <w:rPr>
          <w:sz w:val="24"/>
          <w:szCs w:val="24"/>
        </w:rPr>
        <w:t xml:space="preserve"> and summar</w:t>
      </w:r>
      <w:r w:rsidRPr="003271D2">
        <w:rPr>
          <w:sz w:val="24"/>
          <w:szCs w:val="24"/>
        </w:rPr>
        <w:t>ies</w:t>
      </w:r>
      <w:r w:rsidRPr="000E4F07">
        <w:rPr>
          <w:sz w:val="24"/>
          <w:szCs w:val="24"/>
        </w:rPr>
        <w:t xml:space="preserve"> of the draft Recommendation</w:t>
      </w:r>
      <w:r w:rsidRPr="003271D2">
        <w:rPr>
          <w:sz w:val="24"/>
          <w:szCs w:val="24"/>
        </w:rPr>
        <w:t>s</w:t>
      </w:r>
      <w:r w:rsidRPr="000E4F07">
        <w:rPr>
          <w:sz w:val="24"/>
          <w:szCs w:val="24"/>
        </w:rPr>
        <w:t xml:space="preserve"> are given in </w:t>
      </w:r>
      <w:r w:rsidR="00F802CD" w:rsidRPr="000E4F07">
        <w:rPr>
          <w:sz w:val="24"/>
          <w:szCs w:val="24"/>
        </w:rPr>
        <w:t>the Annex to this letter</w:t>
      </w:r>
      <w:r w:rsidRPr="000E4F07">
        <w:rPr>
          <w:sz w:val="24"/>
          <w:szCs w:val="24"/>
        </w:rPr>
        <w:t xml:space="preserve">. </w:t>
      </w:r>
    </w:p>
    <w:p w:rsidR="004A7970" w:rsidRPr="000E4F07" w:rsidRDefault="004A7970">
      <w:pPr>
        <w:rPr>
          <w:sz w:val="24"/>
          <w:szCs w:val="24"/>
        </w:rPr>
      </w:pPr>
      <w:r w:rsidRPr="000E4F07">
        <w:rPr>
          <w:sz w:val="24"/>
          <w:szCs w:val="24"/>
        </w:rPr>
        <w:t>The consideration period shall extend for 2 months ending on</w:t>
      </w:r>
      <w:r w:rsidR="00E46C70">
        <w:rPr>
          <w:sz w:val="24"/>
          <w:szCs w:val="24"/>
        </w:rPr>
        <w:t xml:space="preserve"> </w:t>
      </w:r>
      <w:r w:rsidR="000E4F07" w:rsidRPr="006E0129">
        <w:rPr>
          <w:sz w:val="24"/>
          <w:szCs w:val="24"/>
          <w:u w:val="single"/>
        </w:rPr>
        <w:t>27 August 2014</w:t>
      </w:r>
      <w:r w:rsidRPr="000E4F07">
        <w:rPr>
          <w:sz w:val="24"/>
          <w:szCs w:val="24"/>
        </w:rPr>
        <w:t>. If within this period no objections are received from Member States, the draft Recommendation</w:t>
      </w:r>
      <w:r w:rsidRPr="003271D2">
        <w:rPr>
          <w:sz w:val="24"/>
          <w:szCs w:val="24"/>
        </w:rPr>
        <w:t>s</w:t>
      </w:r>
      <w:r w:rsidRPr="000E4F07">
        <w:rPr>
          <w:sz w:val="24"/>
          <w:szCs w:val="24"/>
        </w:rPr>
        <w:t xml:space="preserve"> shall be considered to be adopted by Study Group </w:t>
      </w:r>
      <w:r w:rsidR="000E4F07" w:rsidRPr="000E4F07">
        <w:rPr>
          <w:sz w:val="24"/>
          <w:szCs w:val="24"/>
        </w:rPr>
        <w:t>1</w:t>
      </w:r>
      <w:r w:rsidRPr="000E4F07">
        <w:rPr>
          <w:sz w:val="24"/>
          <w:szCs w:val="24"/>
        </w:rPr>
        <w:t>. Furthermore, since the PSAA procedure has been followed, the draft Recommendation</w:t>
      </w:r>
      <w:r w:rsidRPr="003271D2">
        <w:rPr>
          <w:sz w:val="24"/>
          <w:szCs w:val="24"/>
        </w:rPr>
        <w:t>s</w:t>
      </w:r>
      <w:r w:rsidRPr="000E4F07">
        <w:rPr>
          <w:sz w:val="24"/>
          <w:szCs w:val="24"/>
        </w:rPr>
        <w:t xml:space="preserve"> shall also be considered as approved. </w:t>
      </w:r>
    </w:p>
    <w:p w:rsidR="004A7970" w:rsidRPr="000E4F07" w:rsidRDefault="004A7970">
      <w:pPr>
        <w:tabs>
          <w:tab w:val="left" w:pos="0"/>
          <w:tab w:val="left" w:pos="1134"/>
          <w:tab w:val="left" w:pos="3119"/>
        </w:tabs>
        <w:spacing w:after="240"/>
        <w:rPr>
          <w:sz w:val="24"/>
          <w:szCs w:val="24"/>
        </w:rPr>
      </w:pPr>
      <w:r w:rsidRPr="000E4F07">
        <w:rPr>
          <w:sz w:val="24"/>
          <w:szCs w:val="24"/>
        </w:rPr>
        <w:t>Any Member State who objects to the adoption of a draft Recommendation is requested to inform the Director and the Chairman of the Study Group of the reasons for the objection.</w:t>
      </w:r>
    </w:p>
    <w:p w:rsidR="004A7970" w:rsidRPr="00904ECB" w:rsidRDefault="004A7970">
      <w:pPr>
        <w:rPr>
          <w:sz w:val="24"/>
          <w:szCs w:val="24"/>
        </w:rPr>
      </w:pPr>
      <w:r w:rsidRPr="000E4F07">
        <w:rPr>
          <w:sz w:val="24"/>
          <w:szCs w:val="24"/>
        </w:rPr>
        <w:t>After the above-mentioned deadline, the results of the PSAA procedure will be announced in an Administrative Circular and the approved Recommendation</w:t>
      </w:r>
      <w:r w:rsidRPr="003271D2">
        <w:rPr>
          <w:sz w:val="24"/>
          <w:szCs w:val="24"/>
        </w:rPr>
        <w:t>s</w:t>
      </w:r>
      <w:r w:rsidRPr="000E4F07">
        <w:rPr>
          <w:sz w:val="24"/>
          <w:szCs w:val="24"/>
        </w:rPr>
        <w:t xml:space="preserve"> will be published as soon as practicable (see </w:t>
      </w:r>
      <w:hyperlink r:id="rId9" w:history="1">
        <w:r w:rsidRPr="000E4F07">
          <w:rPr>
            <w:rStyle w:val="Hyperlink"/>
            <w:sz w:val="24"/>
            <w:szCs w:val="24"/>
          </w:rPr>
          <w:t>http://www.itu.int/pub/R-REC</w:t>
        </w:r>
      </w:hyperlink>
      <w:r w:rsidRPr="000E4F07">
        <w:rPr>
          <w:sz w:val="24"/>
          <w:szCs w:val="24"/>
        </w:rPr>
        <w:t>).</w:t>
      </w:r>
      <w:r w:rsidRPr="00904ECB">
        <w:rPr>
          <w:sz w:val="24"/>
          <w:szCs w:val="24"/>
        </w:rPr>
        <w:t xml:space="preserve"> </w:t>
      </w:r>
    </w:p>
    <w:p w:rsidR="004A7970" w:rsidRPr="00904ECB" w:rsidRDefault="004A7970" w:rsidP="00A52F5B">
      <w:pPr>
        <w:rPr>
          <w:sz w:val="24"/>
          <w:szCs w:val="24"/>
        </w:rPr>
      </w:pPr>
      <w:r>
        <w:br w:type="page"/>
      </w:r>
      <w:r w:rsidRPr="00904ECB">
        <w:rPr>
          <w:sz w:val="24"/>
          <w:szCs w:val="24"/>
        </w:rPr>
        <w:lastRenderedPageBreak/>
        <w:t>Any ITU member organization aware of a patent held by itself or others which may fully or partly cover eleme</w:t>
      </w:r>
      <w:r w:rsidR="00A52F5B">
        <w:rPr>
          <w:sz w:val="24"/>
          <w:szCs w:val="24"/>
        </w:rPr>
        <w:t>nts of the draft Recommendation</w:t>
      </w:r>
      <w:r w:rsidRPr="00904ECB">
        <w:rPr>
          <w:sz w:val="24"/>
          <w:szCs w:val="24"/>
        </w:rPr>
        <w:t>s mentioned in this letter is requested to disclose such information to the Secretariat as soon as possible. The Common Patent Policy for ITU</w:t>
      </w:r>
      <w:r w:rsidRPr="00904ECB">
        <w:rPr>
          <w:sz w:val="24"/>
          <w:szCs w:val="24"/>
        </w:rPr>
        <w:noBreakHyphen/>
        <w:t>T/ITU</w:t>
      </w:r>
      <w:r w:rsidRPr="00904ECB">
        <w:rPr>
          <w:sz w:val="24"/>
          <w:szCs w:val="24"/>
        </w:rPr>
        <w:noBreakHyphen/>
        <w:t>R/ISO/IEC is available at</w:t>
      </w:r>
      <w:r w:rsidR="00B57F3C">
        <w:rPr>
          <w:rStyle w:val="Hyperlink"/>
          <w:sz w:val="24"/>
          <w:szCs w:val="24"/>
        </w:rPr>
        <w:t xml:space="preserve"> </w:t>
      </w:r>
      <w:hyperlink r:id="rId10" w:history="1">
        <w:r w:rsidR="00B57F3C" w:rsidRPr="00257189">
          <w:rPr>
            <w:rStyle w:val="Hyperlink"/>
            <w:sz w:val="24"/>
            <w:szCs w:val="24"/>
          </w:rPr>
          <w:t>http://www.itu.int/en/ITU-T/ipr/Pages/policy.aspx</w:t>
        </w:r>
      </w:hyperlink>
      <w:r w:rsidRPr="00904ECB">
        <w:rPr>
          <w:sz w:val="24"/>
          <w:szCs w:val="24"/>
        </w:rPr>
        <w:t>.</w:t>
      </w:r>
    </w:p>
    <w:p w:rsidR="004A7970" w:rsidRPr="00955A28" w:rsidRDefault="004A7970" w:rsidP="00904ECB">
      <w:pPr>
        <w:spacing w:before="1418" w:line="240" w:lineRule="auto"/>
        <w:jc w:val="left"/>
        <w:rPr>
          <w:rFonts w:asciiTheme="minorHAnsi" w:hAnsiTheme="minorHAnsi" w:cstheme="minorHAnsi"/>
          <w:sz w:val="24"/>
          <w:szCs w:val="24"/>
        </w:rPr>
      </w:pPr>
      <w:r w:rsidRPr="00955A28">
        <w:rPr>
          <w:rFonts w:asciiTheme="minorHAnsi" w:hAnsiTheme="minorHAnsi" w:cstheme="minorHAnsi"/>
          <w:sz w:val="24"/>
          <w:szCs w:val="24"/>
        </w:rPr>
        <w:t>François Rancy</w:t>
      </w:r>
    </w:p>
    <w:p w:rsidR="004A7970" w:rsidRPr="00955A28" w:rsidRDefault="004A7970" w:rsidP="004A7970">
      <w:pPr>
        <w:spacing w:before="0" w:line="240" w:lineRule="auto"/>
        <w:jc w:val="left"/>
        <w:rPr>
          <w:rFonts w:asciiTheme="minorHAnsi" w:hAnsiTheme="minorHAnsi" w:cstheme="minorHAnsi"/>
          <w:sz w:val="24"/>
          <w:szCs w:val="24"/>
        </w:rPr>
      </w:pPr>
      <w:r w:rsidRPr="00955A28">
        <w:rPr>
          <w:rFonts w:asciiTheme="minorHAnsi" w:hAnsiTheme="minorHAnsi" w:cstheme="minorHAnsi"/>
          <w:sz w:val="24"/>
          <w:szCs w:val="24"/>
        </w:rPr>
        <w:t>Director</w:t>
      </w:r>
    </w:p>
    <w:p w:rsidR="004A7970" w:rsidRPr="00C810A3" w:rsidRDefault="004A7970" w:rsidP="004A7970">
      <w:pPr>
        <w:ind w:left="1191" w:hanging="1191"/>
        <w:rPr>
          <w:u w:val="single"/>
        </w:rPr>
      </w:pPr>
    </w:p>
    <w:p w:rsidR="004A7970" w:rsidRPr="00C810A3" w:rsidRDefault="004A7970" w:rsidP="004A7970">
      <w:pPr>
        <w:ind w:left="1191" w:hanging="1191"/>
        <w:rPr>
          <w:u w:val="single"/>
        </w:rPr>
      </w:pPr>
    </w:p>
    <w:p w:rsidR="004A7970" w:rsidRPr="000E4F07" w:rsidRDefault="004A7970">
      <w:pPr>
        <w:ind w:left="1191" w:hanging="1191"/>
        <w:rPr>
          <w:sz w:val="24"/>
          <w:szCs w:val="24"/>
        </w:rPr>
      </w:pPr>
      <w:r w:rsidRPr="000E4F07">
        <w:rPr>
          <w:b/>
          <w:bCs/>
          <w:sz w:val="24"/>
          <w:szCs w:val="24"/>
        </w:rPr>
        <w:t>Annex :</w:t>
      </w:r>
      <w:r w:rsidRPr="000E4F07">
        <w:rPr>
          <w:sz w:val="24"/>
          <w:szCs w:val="24"/>
        </w:rPr>
        <w:t xml:space="preserve"> </w:t>
      </w:r>
      <w:r w:rsidRPr="000E4F07">
        <w:rPr>
          <w:sz w:val="24"/>
          <w:szCs w:val="24"/>
        </w:rPr>
        <w:tab/>
        <w:t>Title</w:t>
      </w:r>
      <w:r w:rsidRPr="003271D2">
        <w:rPr>
          <w:sz w:val="24"/>
          <w:szCs w:val="24"/>
        </w:rPr>
        <w:t>s</w:t>
      </w:r>
      <w:r w:rsidRPr="000E4F07">
        <w:rPr>
          <w:sz w:val="24"/>
          <w:szCs w:val="24"/>
        </w:rPr>
        <w:t xml:space="preserve"> and summar</w:t>
      </w:r>
      <w:r w:rsidRPr="003271D2">
        <w:rPr>
          <w:sz w:val="24"/>
          <w:szCs w:val="24"/>
        </w:rPr>
        <w:t>ies</w:t>
      </w:r>
      <w:r w:rsidRPr="000E4F07">
        <w:rPr>
          <w:sz w:val="24"/>
          <w:szCs w:val="24"/>
        </w:rPr>
        <w:t xml:space="preserve"> of the draft Recommendation</w:t>
      </w:r>
      <w:r w:rsidRPr="003271D2">
        <w:rPr>
          <w:sz w:val="24"/>
          <w:szCs w:val="24"/>
        </w:rPr>
        <w:t>s</w:t>
      </w:r>
    </w:p>
    <w:p w:rsidR="004A7970" w:rsidRPr="000E4F07" w:rsidRDefault="004A7970" w:rsidP="004A7970">
      <w:pPr>
        <w:ind w:left="1191" w:hanging="1191"/>
        <w:rPr>
          <w:b/>
          <w:bCs/>
        </w:rPr>
      </w:pPr>
    </w:p>
    <w:p w:rsidR="004A7970" w:rsidRPr="002D6E85" w:rsidRDefault="007A7860" w:rsidP="007A7860">
      <w:pPr>
        <w:tabs>
          <w:tab w:val="clear" w:pos="1588"/>
          <w:tab w:val="left" w:pos="2552"/>
        </w:tabs>
        <w:ind w:left="1985" w:hanging="1985"/>
        <w:jc w:val="left"/>
        <w:rPr>
          <w:sz w:val="24"/>
          <w:szCs w:val="24"/>
          <w:lang w:val="fr-CH"/>
        </w:rPr>
      </w:pPr>
      <w:r w:rsidRPr="002D6E85">
        <w:rPr>
          <w:b/>
          <w:bCs/>
          <w:sz w:val="24"/>
          <w:szCs w:val="24"/>
          <w:lang w:val="fr-CH"/>
        </w:rPr>
        <w:t>Document</w:t>
      </w:r>
      <w:r w:rsidR="004A7970" w:rsidRPr="002D6E85">
        <w:rPr>
          <w:b/>
          <w:bCs/>
          <w:sz w:val="24"/>
          <w:szCs w:val="24"/>
          <w:lang w:val="fr-CH"/>
        </w:rPr>
        <w:t>s:</w:t>
      </w:r>
      <w:r w:rsidR="004A7970" w:rsidRPr="002D6E85">
        <w:rPr>
          <w:sz w:val="24"/>
          <w:szCs w:val="24"/>
          <w:lang w:val="fr-CH"/>
        </w:rPr>
        <w:tab/>
        <w:t xml:space="preserve">Document </w:t>
      </w:r>
      <w:hyperlink r:id="rId11" w:history="1">
        <w:r w:rsidR="000E4F07" w:rsidRPr="002D6E85">
          <w:rPr>
            <w:rStyle w:val="Hyperlink"/>
            <w:sz w:val="24"/>
            <w:szCs w:val="24"/>
            <w:lang w:val="fr-CH"/>
          </w:rPr>
          <w:t>1/96</w:t>
        </w:r>
      </w:hyperlink>
      <w:r w:rsidR="004A7970" w:rsidRPr="002D6E85">
        <w:rPr>
          <w:sz w:val="24"/>
          <w:szCs w:val="24"/>
          <w:lang w:val="fr-CH"/>
        </w:rPr>
        <w:t>(Rev.1)</w:t>
      </w:r>
      <w:r w:rsidR="000E4F07" w:rsidRPr="002D6E85">
        <w:rPr>
          <w:sz w:val="24"/>
          <w:szCs w:val="24"/>
          <w:lang w:val="fr-CH"/>
        </w:rPr>
        <w:t xml:space="preserve">, </w:t>
      </w:r>
      <w:hyperlink r:id="rId12" w:history="1">
        <w:r w:rsidR="000E4F07" w:rsidRPr="002D6E85">
          <w:rPr>
            <w:rStyle w:val="Hyperlink"/>
            <w:sz w:val="24"/>
            <w:szCs w:val="24"/>
            <w:lang w:val="fr-CH"/>
          </w:rPr>
          <w:t>1/97</w:t>
        </w:r>
      </w:hyperlink>
      <w:r w:rsidR="000E4F07" w:rsidRPr="002D6E85">
        <w:rPr>
          <w:sz w:val="24"/>
          <w:szCs w:val="24"/>
          <w:lang w:val="fr-CH"/>
        </w:rPr>
        <w:t xml:space="preserve">(Rev.1), </w:t>
      </w:r>
      <w:hyperlink r:id="rId13" w:history="1">
        <w:r w:rsidR="000E4F07" w:rsidRPr="002D6E85">
          <w:rPr>
            <w:rStyle w:val="Hyperlink"/>
            <w:sz w:val="24"/>
            <w:szCs w:val="24"/>
            <w:lang w:val="fr-CH"/>
          </w:rPr>
          <w:t>1/98</w:t>
        </w:r>
      </w:hyperlink>
      <w:r w:rsidR="000E4F07" w:rsidRPr="002D6E85">
        <w:rPr>
          <w:sz w:val="24"/>
          <w:szCs w:val="24"/>
          <w:lang w:val="fr-CH"/>
        </w:rPr>
        <w:t xml:space="preserve">(Rev.1), </w:t>
      </w:r>
      <w:hyperlink r:id="rId14" w:history="1">
        <w:r w:rsidR="000E4F07" w:rsidRPr="002D6E85">
          <w:rPr>
            <w:rStyle w:val="Hyperlink"/>
            <w:sz w:val="24"/>
            <w:szCs w:val="24"/>
            <w:lang w:val="fr-CH"/>
          </w:rPr>
          <w:t>1/102</w:t>
        </w:r>
      </w:hyperlink>
      <w:r w:rsidR="000E4F07" w:rsidRPr="002D6E85">
        <w:rPr>
          <w:sz w:val="24"/>
          <w:szCs w:val="24"/>
          <w:lang w:val="fr-CH"/>
        </w:rPr>
        <w:t xml:space="preserve">(Rev.1), </w:t>
      </w:r>
      <w:hyperlink r:id="rId15" w:history="1">
        <w:r w:rsidR="000E4F07" w:rsidRPr="002D6E85">
          <w:rPr>
            <w:rStyle w:val="Hyperlink"/>
            <w:sz w:val="24"/>
            <w:szCs w:val="24"/>
            <w:lang w:val="fr-CH"/>
          </w:rPr>
          <w:t>1/103</w:t>
        </w:r>
      </w:hyperlink>
      <w:r w:rsidR="000E4F07" w:rsidRPr="002D6E85">
        <w:rPr>
          <w:sz w:val="24"/>
          <w:szCs w:val="24"/>
          <w:lang w:val="fr-CH"/>
        </w:rPr>
        <w:t>(Rev.1)</w:t>
      </w:r>
      <w:r w:rsidR="004A7970" w:rsidRPr="002D6E85">
        <w:rPr>
          <w:sz w:val="24"/>
          <w:szCs w:val="24"/>
          <w:lang w:val="fr-CH"/>
        </w:rPr>
        <w:t xml:space="preserve"> </w:t>
      </w:r>
    </w:p>
    <w:p w:rsidR="004A7970" w:rsidRPr="000E4F07" w:rsidRDefault="004A7970" w:rsidP="000E4F07">
      <w:pPr>
        <w:tabs>
          <w:tab w:val="clear" w:pos="1588"/>
          <w:tab w:val="left" w:pos="2552"/>
        </w:tabs>
        <w:rPr>
          <w:sz w:val="24"/>
          <w:szCs w:val="24"/>
        </w:rPr>
      </w:pPr>
      <w:r w:rsidRPr="000E4F07">
        <w:rPr>
          <w:sz w:val="24"/>
          <w:szCs w:val="24"/>
        </w:rPr>
        <w:t xml:space="preserve">These documents are available in electronic format at: </w:t>
      </w:r>
      <w:hyperlink r:id="rId16" w:history="1">
        <w:r w:rsidR="000E4F07" w:rsidRPr="000E4F07">
          <w:rPr>
            <w:rStyle w:val="Hyperlink"/>
            <w:sz w:val="24"/>
            <w:szCs w:val="24"/>
          </w:rPr>
          <w:t>http://www.itu.int/md/R12-SG01-C/en</w:t>
        </w:r>
      </w:hyperlink>
    </w:p>
    <w:p w:rsidR="004A7970" w:rsidRPr="000E4F07" w:rsidRDefault="004A7970" w:rsidP="004A7970">
      <w:pPr>
        <w:tabs>
          <w:tab w:val="clear" w:pos="1588"/>
          <w:tab w:val="left" w:pos="2552"/>
        </w:tabs>
        <w:rPr>
          <w:sz w:val="24"/>
          <w:szCs w:val="24"/>
        </w:rPr>
      </w:pPr>
    </w:p>
    <w:p w:rsidR="000E4F07" w:rsidRPr="000E4F07" w:rsidRDefault="000E4F07" w:rsidP="000E4F07">
      <w:pPr>
        <w:tabs>
          <w:tab w:val="left" w:pos="284"/>
          <w:tab w:val="left" w:pos="568"/>
        </w:tabs>
        <w:spacing w:before="3000" w:after="60"/>
        <w:rPr>
          <w:sz w:val="24"/>
          <w:szCs w:val="24"/>
          <w:u w:val="single"/>
        </w:rPr>
      </w:pPr>
    </w:p>
    <w:p w:rsidR="004A7970" w:rsidRPr="000E4F07" w:rsidRDefault="004A7970" w:rsidP="004A7970">
      <w:pPr>
        <w:tabs>
          <w:tab w:val="left" w:pos="284"/>
          <w:tab w:val="left" w:pos="568"/>
        </w:tabs>
        <w:spacing w:before="0" w:after="60"/>
        <w:rPr>
          <w:b/>
          <w:bCs/>
          <w:sz w:val="18"/>
          <w:szCs w:val="18"/>
        </w:rPr>
      </w:pPr>
      <w:r w:rsidRPr="000E4F07">
        <w:rPr>
          <w:b/>
          <w:bCs/>
          <w:sz w:val="18"/>
          <w:szCs w:val="18"/>
        </w:rPr>
        <w:t>Distribution:</w:t>
      </w:r>
    </w:p>
    <w:p w:rsidR="004A7970" w:rsidRPr="000E4F07" w:rsidRDefault="004A7970" w:rsidP="002D6E85">
      <w:pPr>
        <w:tabs>
          <w:tab w:val="left" w:pos="567"/>
          <w:tab w:val="left" w:pos="6237"/>
        </w:tabs>
        <w:spacing w:before="0" w:line="240" w:lineRule="auto"/>
        <w:ind w:left="567" w:hanging="567"/>
        <w:rPr>
          <w:rFonts w:asciiTheme="minorHAnsi" w:hAnsiTheme="minorHAnsi" w:cstheme="minorHAnsi"/>
          <w:sz w:val="18"/>
          <w:szCs w:val="18"/>
        </w:rPr>
      </w:pPr>
      <w:r w:rsidRPr="000E4F07">
        <w:rPr>
          <w:rFonts w:asciiTheme="minorHAnsi" w:hAnsiTheme="minorHAnsi" w:cstheme="minorHAnsi"/>
          <w:sz w:val="18"/>
          <w:szCs w:val="18"/>
        </w:rPr>
        <w:t>–</w:t>
      </w:r>
      <w:r w:rsidRPr="000E4F07">
        <w:rPr>
          <w:rFonts w:asciiTheme="minorHAnsi" w:hAnsiTheme="minorHAnsi" w:cstheme="minorHAnsi"/>
          <w:sz w:val="18"/>
          <w:szCs w:val="18"/>
        </w:rPr>
        <w:tab/>
        <w:t>Administrations of Member States of the ITU and Radiocommunication Sector Members</w:t>
      </w:r>
      <w:r w:rsidR="002D6E85">
        <w:rPr>
          <w:rFonts w:asciiTheme="minorHAnsi" w:hAnsiTheme="minorHAnsi" w:cstheme="minorHAnsi"/>
          <w:sz w:val="18"/>
          <w:szCs w:val="18"/>
        </w:rPr>
        <w:t xml:space="preserve"> </w:t>
      </w:r>
      <w:r w:rsidRPr="000E4F07">
        <w:rPr>
          <w:rFonts w:asciiTheme="minorHAnsi" w:hAnsiTheme="minorHAnsi" w:cstheme="minorHAnsi"/>
          <w:sz w:val="18"/>
          <w:szCs w:val="18"/>
        </w:rPr>
        <w:t>participating</w:t>
      </w:r>
      <w:r w:rsidR="0077406E" w:rsidRPr="000E4F07">
        <w:rPr>
          <w:rFonts w:asciiTheme="minorHAnsi" w:hAnsiTheme="minorHAnsi" w:cstheme="minorHAnsi"/>
          <w:sz w:val="18"/>
          <w:szCs w:val="18"/>
        </w:rPr>
        <w:t xml:space="preserve"> </w:t>
      </w:r>
      <w:r w:rsidRPr="000E4F07">
        <w:rPr>
          <w:rFonts w:asciiTheme="minorHAnsi" w:hAnsiTheme="minorHAnsi" w:cstheme="minorHAnsi"/>
          <w:sz w:val="18"/>
          <w:szCs w:val="18"/>
        </w:rPr>
        <w:t>in the work of</w:t>
      </w:r>
      <w:r w:rsidR="0077406E" w:rsidRPr="000E4F07">
        <w:rPr>
          <w:rFonts w:asciiTheme="minorHAnsi" w:hAnsiTheme="minorHAnsi" w:cstheme="minorHAnsi"/>
          <w:sz w:val="18"/>
          <w:szCs w:val="18"/>
        </w:rPr>
        <w:t xml:space="preserve"> </w:t>
      </w:r>
      <w:r w:rsidRPr="000E4F07">
        <w:rPr>
          <w:rFonts w:asciiTheme="minorHAnsi" w:hAnsiTheme="minorHAnsi" w:cstheme="minorHAnsi"/>
          <w:sz w:val="18"/>
          <w:szCs w:val="18"/>
        </w:rPr>
        <w:t xml:space="preserve">Radiocommunication Study Group </w:t>
      </w:r>
      <w:r w:rsidR="000E4F07" w:rsidRPr="000E4F07">
        <w:rPr>
          <w:rFonts w:asciiTheme="minorHAnsi" w:hAnsiTheme="minorHAnsi" w:cstheme="minorHAnsi"/>
          <w:sz w:val="18"/>
          <w:szCs w:val="18"/>
        </w:rPr>
        <w:t>1</w:t>
      </w:r>
    </w:p>
    <w:p w:rsidR="004A7970" w:rsidRPr="000E4F07" w:rsidRDefault="004A7970">
      <w:pPr>
        <w:tabs>
          <w:tab w:val="left" w:pos="567"/>
          <w:tab w:val="left" w:pos="6237"/>
        </w:tabs>
        <w:spacing w:before="0" w:line="240" w:lineRule="auto"/>
        <w:rPr>
          <w:rFonts w:asciiTheme="minorHAnsi" w:hAnsiTheme="minorHAnsi" w:cstheme="minorHAnsi"/>
          <w:sz w:val="18"/>
          <w:szCs w:val="18"/>
        </w:rPr>
      </w:pPr>
      <w:r w:rsidRPr="000E4F07">
        <w:rPr>
          <w:rFonts w:asciiTheme="minorHAnsi" w:hAnsiTheme="minorHAnsi" w:cstheme="minorHAnsi"/>
          <w:sz w:val="18"/>
          <w:szCs w:val="18"/>
        </w:rPr>
        <w:t>–</w:t>
      </w:r>
      <w:r w:rsidRPr="000E4F07">
        <w:rPr>
          <w:rFonts w:asciiTheme="minorHAnsi" w:hAnsiTheme="minorHAnsi" w:cstheme="minorHAnsi"/>
          <w:sz w:val="18"/>
          <w:szCs w:val="18"/>
        </w:rPr>
        <w:tab/>
        <w:t xml:space="preserve">ITU-R Associates participating in the work of Radiocommunication Study Group </w:t>
      </w:r>
      <w:r w:rsidR="000E4F07" w:rsidRPr="000E4F07">
        <w:rPr>
          <w:rFonts w:asciiTheme="minorHAnsi" w:hAnsiTheme="minorHAnsi" w:cstheme="minorHAnsi"/>
          <w:sz w:val="18"/>
          <w:szCs w:val="18"/>
        </w:rPr>
        <w:t>1</w:t>
      </w:r>
    </w:p>
    <w:p w:rsidR="004A7970" w:rsidRPr="000E4F07" w:rsidRDefault="004A7970" w:rsidP="002D6E85">
      <w:pPr>
        <w:tabs>
          <w:tab w:val="left" w:pos="567"/>
          <w:tab w:val="left" w:pos="6237"/>
        </w:tabs>
        <w:spacing w:before="0" w:line="240" w:lineRule="auto"/>
        <w:ind w:left="567" w:hanging="567"/>
        <w:rPr>
          <w:rFonts w:asciiTheme="minorHAnsi" w:hAnsiTheme="minorHAnsi" w:cstheme="minorHAnsi"/>
          <w:sz w:val="18"/>
          <w:szCs w:val="18"/>
        </w:rPr>
      </w:pPr>
      <w:r w:rsidRPr="000E4F07">
        <w:rPr>
          <w:rFonts w:asciiTheme="minorHAnsi" w:hAnsiTheme="minorHAnsi" w:cstheme="minorHAnsi"/>
          <w:sz w:val="18"/>
          <w:szCs w:val="18"/>
        </w:rPr>
        <w:t>–</w:t>
      </w:r>
      <w:r w:rsidRPr="000E4F07">
        <w:rPr>
          <w:rFonts w:asciiTheme="minorHAnsi" w:hAnsiTheme="minorHAnsi" w:cstheme="minorHAnsi"/>
          <w:sz w:val="18"/>
          <w:szCs w:val="18"/>
        </w:rPr>
        <w:tab/>
        <w:t>Chairmen and Vice-Chairmen of Radiocommunication Study Groups and the Special Committee</w:t>
      </w:r>
      <w:r w:rsidR="002D6E85">
        <w:rPr>
          <w:rFonts w:asciiTheme="minorHAnsi" w:hAnsiTheme="minorHAnsi" w:cstheme="minorHAnsi"/>
          <w:sz w:val="18"/>
          <w:szCs w:val="18"/>
        </w:rPr>
        <w:t xml:space="preserve"> </w:t>
      </w:r>
      <w:r w:rsidRPr="000E4F07">
        <w:rPr>
          <w:rFonts w:asciiTheme="minorHAnsi" w:hAnsiTheme="minorHAnsi" w:cstheme="minorHAnsi"/>
          <w:sz w:val="18"/>
          <w:szCs w:val="18"/>
        </w:rPr>
        <w:t>on Regulatory/Procedural Matters</w:t>
      </w:r>
    </w:p>
    <w:p w:rsidR="004A7970" w:rsidRPr="000E4F07" w:rsidRDefault="004A7970" w:rsidP="00B500FB">
      <w:pPr>
        <w:tabs>
          <w:tab w:val="left" w:pos="567"/>
          <w:tab w:val="left" w:pos="6237"/>
        </w:tabs>
        <w:spacing w:before="0" w:line="240" w:lineRule="auto"/>
        <w:rPr>
          <w:rFonts w:asciiTheme="minorHAnsi" w:hAnsiTheme="minorHAnsi" w:cstheme="minorHAnsi"/>
          <w:sz w:val="18"/>
          <w:szCs w:val="18"/>
        </w:rPr>
      </w:pPr>
      <w:r w:rsidRPr="000E4F07">
        <w:rPr>
          <w:rFonts w:asciiTheme="minorHAnsi" w:hAnsiTheme="minorHAnsi" w:cstheme="minorHAnsi"/>
          <w:sz w:val="18"/>
          <w:szCs w:val="18"/>
        </w:rPr>
        <w:t>–</w:t>
      </w:r>
      <w:r w:rsidRPr="000E4F07">
        <w:rPr>
          <w:rFonts w:asciiTheme="minorHAnsi" w:hAnsiTheme="minorHAnsi" w:cstheme="minorHAnsi"/>
          <w:sz w:val="18"/>
          <w:szCs w:val="18"/>
        </w:rPr>
        <w:tab/>
        <w:t>Chairman and Vice-Chairmen of the Conference Preparatory Meeting</w:t>
      </w:r>
    </w:p>
    <w:p w:rsidR="004A7970" w:rsidRPr="000E4F07" w:rsidRDefault="004A7970" w:rsidP="00B500FB">
      <w:pPr>
        <w:tabs>
          <w:tab w:val="left" w:pos="567"/>
          <w:tab w:val="left" w:pos="6237"/>
        </w:tabs>
        <w:spacing w:before="0" w:line="240" w:lineRule="auto"/>
        <w:rPr>
          <w:rFonts w:asciiTheme="minorHAnsi" w:hAnsiTheme="minorHAnsi" w:cstheme="minorHAnsi"/>
          <w:sz w:val="18"/>
          <w:szCs w:val="18"/>
        </w:rPr>
      </w:pPr>
      <w:r w:rsidRPr="000E4F07">
        <w:rPr>
          <w:rFonts w:asciiTheme="minorHAnsi" w:hAnsiTheme="minorHAnsi" w:cstheme="minorHAnsi"/>
          <w:sz w:val="18"/>
          <w:szCs w:val="18"/>
        </w:rPr>
        <w:t>–</w:t>
      </w:r>
      <w:r w:rsidRPr="000E4F07">
        <w:rPr>
          <w:rFonts w:asciiTheme="minorHAnsi" w:hAnsiTheme="minorHAnsi" w:cstheme="minorHAnsi"/>
          <w:sz w:val="18"/>
          <w:szCs w:val="18"/>
        </w:rPr>
        <w:tab/>
        <w:t>Members of the Radio Regulations Board</w:t>
      </w:r>
    </w:p>
    <w:p w:rsidR="004A7970" w:rsidRPr="00A45D9A" w:rsidRDefault="004A7970" w:rsidP="003B691F">
      <w:pPr>
        <w:pStyle w:val="BodyTextIndent"/>
        <w:rPr>
          <w:rFonts w:asciiTheme="minorHAnsi" w:hAnsiTheme="minorHAnsi" w:cstheme="minorHAnsi"/>
          <w:sz w:val="18"/>
          <w:szCs w:val="18"/>
        </w:rPr>
      </w:pPr>
      <w:r w:rsidRPr="000E4F07">
        <w:rPr>
          <w:rFonts w:asciiTheme="minorHAnsi" w:hAnsiTheme="minorHAnsi" w:cstheme="minorHAnsi"/>
          <w:sz w:val="18"/>
          <w:szCs w:val="18"/>
        </w:rPr>
        <w:t>–</w:t>
      </w:r>
      <w:r w:rsidRPr="000E4F07">
        <w:rPr>
          <w:rFonts w:asciiTheme="minorHAnsi" w:hAnsiTheme="minorHAnsi" w:cstheme="minorHAnsi"/>
          <w:sz w:val="18"/>
          <w:szCs w:val="18"/>
        </w:rPr>
        <w:tab/>
        <w:t>Secretary-General of the ITU, Director of the Telecommunication Standardization Bureau,</w:t>
      </w:r>
      <w:r w:rsidRPr="00A45D9A">
        <w:rPr>
          <w:rFonts w:asciiTheme="minorHAnsi" w:hAnsiTheme="minorHAnsi" w:cstheme="minorHAnsi"/>
          <w:sz w:val="18"/>
          <w:szCs w:val="18"/>
        </w:rPr>
        <w:t xml:space="preserve"> Director of the Telecommunication</w:t>
      </w:r>
      <w:r w:rsidR="00BF5F50">
        <w:rPr>
          <w:rFonts w:asciiTheme="minorHAnsi" w:hAnsiTheme="minorHAnsi" w:cstheme="minorHAnsi"/>
          <w:sz w:val="18"/>
          <w:szCs w:val="18"/>
        </w:rPr>
        <w:t xml:space="preserve"> </w:t>
      </w:r>
      <w:r w:rsidRPr="00A45D9A">
        <w:rPr>
          <w:rFonts w:asciiTheme="minorHAnsi" w:hAnsiTheme="minorHAnsi" w:cstheme="minorHAnsi"/>
          <w:sz w:val="18"/>
          <w:szCs w:val="18"/>
        </w:rPr>
        <w:t>Development Bureau</w:t>
      </w:r>
    </w:p>
    <w:p w:rsidR="00A45D9A" w:rsidRPr="00BF5F50" w:rsidRDefault="004A7970" w:rsidP="002D6E85">
      <w:pPr>
        <w:pStyle w:val="AnnexNotitle0"/>
        <w:spacing w:before="120"/>
        <w:rPr>
          <w:rFonts w:asciiTheme="minorHAnsi" w:hAnsiTheme="minorHAnsi" w:cstheme="minorHAnsi"/>
          <w:szCs w:val="28"/>
        </w:rPr>
      </w:pPr>
      <w:r>
        <w:br w:type="page"/>
      </w:r>
      <w:r w:rsidRPr="00BF5F50">
        <w:rPr>
          <w:rFonts w:asciiTheme="minorHAnsi" w:hAnsiTheme="minorHAnsi" w:cstheme="minorHAnsi"/>
          <w:szCs w:val="28"/>
        </w:rPr>
        <w:lastRenderedPageBreak/>
        <w:t xml:space="preserve">Annex </w:t>
      </w:r>
    </w:p>
    <w:p w:rsidR="004A7970" w:rsidRPr="00F31BFC" w:rsidRDefault="004A7970">
      <w:pPr>
        <w:pStyle w:val="AnnexNotitle0"/>
        <w:rPr>
          <w:rFonts w:asciiTheme="minorHAnsi" w:hAnsiTheme="minorHAnsi" w:cstheme="minorHAnsi"/>
          <w:szCs w:val="28"/>
        </w:rPr>
      </w:pPr>
      <w:r w:rsidRPr="00F31BFC">
        <w:rPr>
          <w:rFonts w:asciiTheme="minorHAnsi" w:hAnsiTheme="minorHAnsi" w:cstheme="minorHAnsi"/>
          <w:szCs w:val="28"/>
        </w:rPr>
        <w:t>Titles and summaries of the draft Recommendations</w:t>
      </w:r>
    </w:p>
    <w:p w:rsidR="004A7970" w:rsidRPr="00F31BFC" w:rsidRDefault="004A7970" w:rsidP="004A7970">
      <w:pPr>
        <w:rPr>
          <w:rFonts w:asciiTheme="minorHAnsi" w:hAnsiTheme="minorHAnsi" w:cstheme="minorHAnsi"/>
          <w:sz w:val="24"/>
          <w:szCs w:val="24"/>
        </w:rPr>
      </w:pPr>
    </w:p>
    <w:p w:rsidR="004A7970" w:rsidRPr="00F31BFC" w:rsidRDefault="004A7970" w:rsidP="00F31BFC">
      <w:pPr>
        <w:tabs>
          <w:tab w:val="right" w:pos="9639"/>
        </w:tabs>
        <w:rPr>
          <w:rFonts w:asciiTheme="minorHAnsi" w:hAnsiTheme="minorHAnsi" w:cstheme="minorHAnsi"/>
          <w:sz w:val="24"/>
          <w:szCs w:val="24"/>
        </w:rPr>
      </w:pPr>
      <w:r w:rsidRPr="00F31BFC">
        <w:rPr>
          <w:rFonts w:asciiTheme="minorHAnsi" w:hAnsiTheme="minorHAnsi" w:cstheme="minorHAnsi"/>
          <w:sz w:val="24"/>
          <w:szCs w:val="24"/>
          <w:u w:val="single"/>
        </w:rPr>
        <w:t>Draft revision of</w:t>
      </w:r>
      <w:r w:rsidR="00F31BFC" w:rsidRPr="00F31BFC">
        <w:rPr>
          <w:rFonts w:asciiTheme="minorHAnsi" w:hAnsiTheme="minorHAnsi" w:cstheme="minorHAnsi"/>
          <w:sz w:val="24"/>
          <w:szCs w:val="24"/>
          <w:u w:val="single"/>
        </w:rPr>
        <w:t xml:space="preserve"> </w:t>
      </w:r>
      <w:r w:rsidRPr="00F31BFC">
        <w:rPr>
          <w:rFonts w:asciiTheme="minorHAnsi" w:hAnsiTheme="minorHAnsi" w:cstheme="minorHAnsi"/>
          <w:sz w:val="24"/>
          <w:szCs w:val="24"/>
          <w:u w:val="single"/>
        </w:rPr>
        <w:t>Recommendation ITU-R</w:t>
      </w:r>
      <w:r w:rsidR="00F31BFC" w:rsidRPr="00F31BFC">
        <w:rPr>
          <w:rFonts w:asciiTheme="minorHAnsi" w:hAnsiTheme="minorHAnsi" w:cstheme="minorHAnsi"/>
          <w:sz w:val="24"/>
          <w:szCs w:val="24"/>
          <w:u w:val="single"/>
        </w:rPr>
        <w:t xml:space="preserve"> SM.</w:t>
      </w:r>
      <w:r w:rsidR="00F31BFC">
        <w:rPr>
          <w:rFonts w:asciiTheme="minorHAnsi" w:hAnsiTheme="minorHAnsi" w:cstheme="minorHAnsi"/>
          <w:sz w:val="24"/>
          <w:szCs w:val="24"/>
          <w:u w:val="single"/>
        </w:rPr>
        <w:t>1051-2</w:t>
      </w:r>
      <w:r w:rsidRPr="00F31BFC">
        <w:rPr>
          <w:rFonts w:asciiTheme="minorHAnsi" w:hAnsiTheme="minorHAnsi" w:cstheme="minorHAnsi"/>
          <w:sz w:val="24"/>
          <w:szCs w:val="24"/>
        </w:rPr>
        <w:tab/>
        <w:t xml:space="preserve">Doc. </w:t>
      </w:r>
      <w:r w:rsidR="00F31BFC" w:rsidRPr="00F31BFC">
        <w:rPr>
          <w:rFonts w:asciiTheme="minorHAnsi" w:hAnsiTheme="minorHAnsi" w:cstheme="minorHAnsi"/>
          <w:sz w:val="24"/>
          <w:szCs w:val="24"/>
        </w:rPr>
        <w:t>1/96</w:t>
      </w:r>
      <w:r w:rsidRPr="00F31BFC">
        <w:rPr>
          <w:rFonts w:asciiTheme="minorHAnsi" w:hAnsiTheme="minorHAnsi" w:cstheme="minorHAnsi"/>
          <w:sz w:val="24"/>
          <w:szCs w:val="24"/>
        </w:rPr>
        <w:t>(Rev.1)</w:t>
      </w:r>
    </w:p>
    <w:p w:rsidR="004A7970" w:rsidRPr="00C103E4" w:rsidRDefault="00F31BFC" w:rsidP="00C103E4">
      <w:pPr>
        <w:pStyle w:val="Rectitle"/>
        <w:rPr>
          <w:rFonts w:asciiTheme="minorHAnsi" w:eastAsia="MS Mincho" w:hAnsiTheme="minorHAnsi" w:cstheme="minorHAnsi"/>
        </w:rPr>
      </w:pPr>
      <w:r w:rsidRPr="00F31BFC">
        <w:t>Priority of identifying and eliminating harmful</w:t>
      </w:r>
      <w:r w:rsidRPr="00F31BFC">
        <w:br/>
        <w:t>interference in the band 406-406.1 MHz</w:t>
      </w:r>
    </w:p>
    <w:p w:rsidR="00F31BFC" w:rsidRPr="00F31BFC" w:rsidRDefault="00F31BFC" w:rsidP="008A75E3">
      <w:pPr>
        <w:jc w:val="left"/>
        <w:rPr>
          <w:sz w:val="24"/>
          <w:szCs w:val="24"/>
        </w:rPr>
      </w:pPr>
      <w:r w:rsidRPr="00F31BFC">
        <w:rPr>
          <w:sz w:val="24"/>
          <w:szCs w:val="24"/>
        </w:rPr>
        <w:t xml:space="preserve">The purpose of this revision is to update the existing Recommendation to reflect the changes that have taken place with the Cospas-Sarsat system, and provide additional references to the ITU monitoring programme for 406 MHz, as well as references to the Report ITU-R </w:t>
      </w:r>
      <w:hyperlink r:id="rId17" w:history="1">
        <w:r w:rsidRPr="00F31BFC">
          <w:rPr>
            <w:rStyle w:val="Hyperlink"/>
            <w:sz w:val="24"/>
            <w:szCs w:val="24"/>
          </w:rPr>
          <w:t>SM.2258</w:t>
        </w:r>
      </w:hyperlink>
      <w:r w:rsidRPr="00F31BFC">
        <w:rPr>
          <w:sz w:val="24"/>
          <w:szCs w:val="24"/>
        </w:rPr>
        <w:t>. It corrects some inconsistencies with the current ‘in-force’ Recommendation.</w:t>
      </w:r>
    </w:p>
    <w:p w:rsidR="00F31BFC" w:rsidRDefault="00F31BFC" w:rsidP="00F31BFC">
      <w:pPr>
        <w:tabs>
          <w:tab w:val="right" w:pos="9639"/>
        </w:tabs>
        <w:spacing w:before="240"/>
        <w:rPr>
          <w:rFonts w:asciiTheme="minorHAnsi" w:hAnsiTheme="minorHAnsi" w:cstheme="minorHAnsi"/>
          <w:sz w:val="24"/>
          <w:szCs w:val="24"/>
        </w:rPr>
      </w:pPr>
      <w:r w:rsidRPr="00F31BFC">
        <w:rPr>
          <w:rFonts w:asciiTheme="minorHAnsi" w:hAnsiTheme="minorHAnsi" w:cstheme="minorHAnsi"/>
          <w:sz w:val="24"/>
          <w:szCs w:val="24"/>
          <w:u w:val="single"/>
        </w:rPr>
        <w:t>Draft revision of Recommendation ITU-R SM.</w:t>
      </w:r>
      <w:r>
        <w:rPr>
          <w:rFonts w:asciiTheme="minorHAnsi" w:hAnsiTheme="minorHAnsi" w:cstheme="minorHAnsi"/>
          <w:sz w:val="24"/>
          <w:szCs w:val="24"/>
          <w:u w:val="single"/>
        </w:rPr>
        <w:t>1268-2</w:t>
      </w:r>
      <w:r w:rsidRPr="00F31BFC">
        <w:rPr>
          <w:rFonts w:asciiTheme="minorHAnsi" w:hAnsiTheme="minorHAnsi" w:cstheme="minorHAnsi"/>
          <w:sz w:val="24"/>
          <w:szCs w:val="24"/>
        </w:rPr>
        <w:tab/>
        <w:t>Doc. 1/97(Rev.1)</w:t>
      </w:r>
    </w:p>
    <w:p w:rsidR="00F31BFC" w:rsidRDefault="00F31BFC" w:rsidP="00C103E4">
      <w:pPr>
        <w:pStyle w:val="Rectitle"/>
      </w:pPr>
      <w:r w:rsidRPr="00F31BFC">
        <w:t xml:space="preserve">Method of measuring the maximum frequency deviation </w:t>
      </w:r>
      <w:r w:rsidRPr="00F31BFC">
        <w:br/>
        <w:t>of FM broadcast emissions at monitoring stations</w:t>
      </w:r>
    </w:p>
    <w:p w:rsidR="00F31BFC" w:rsidRPr="00F31BFC" w:rsidRDefault="003631EA" w:rsidP="008A75E3">
      <w:pPr>
        <w:jc w:val="left"/>
        <w:rPr>
          <w:sz w:val="24"/>
          <w:szCs w:val="24"/>
        </w:rPr>
      </w:pPr>
      <w:r>
        <w:rPr>
          <w:sz w:val="24"/>
          <w:szCs w:val="24"/>
        </w:rPr>
        <w:t xml:space="preserve">A </w:t>
      </w:r>
      <w:r w:rsidR="00F31BFC" w:rsidRPr="00F31BFC">
        <w:rPr>
          <w:sz w:val="24"/>
          <w:szCs w:val="24"/>
        </w:rPr>
        <w:t>revision of the current Recommendation ITU-R SM.1268-2 is proposed</w:t>
      </w:r>
      <w:r>
        <w:rPr>
          <w:sz w:val="24"/>
          <w:szCs w:val="24"/>
        </w:rPr>
        <w:t xml:space="preserve"> due to statistical considerations</w:t>
      </w:r>
      <w:r w:rsidR="00F31BFC" w:rsidRPr="00F31BFC">
        <w:rPr>
          <w:sz w:val="24"/>
          <w:szCs w:val="24"/>
        </w:rPr>
        <w:t>. A review of the Recommendation, in particular its Annex 2, revealed an ambiguity causing misinterpretation. The terms “samples” and “peak hold values” have been used inconsistent</w:t>
      </w:r>
      <w:r w:rsidR="00F31BFC">
        <w:rPr>
          <w:sz w:val="24"/>
          <w:szCs w:val="24"/>
        </w:rPr>
        <w:t>ly</w:t>
      </w:r>
      <w:r w:rsidR="00F31BFC" w:rsidRPr="00F31BFC">
        <w:rPr>
          <w:sz w:val="24"/>
          <w:szCs w:val="24"/>
        </w:rPr>
        <w:t xml:space="preserve"> in the current version. Careful analysis of the situation resulted in the draft revision of Recommendation ITU-R SM.1268. Besides the substantive correction some editorial amendments were added to improve the understandability.</w:t>
      </w:r>
    </w:p>
    <w:p w:rsidR="00F31BFC" w:rsidRDefault="00F31BFC" w:rsidP="00F31BFC">
      <w:pPr>
        <w:tabs>
          <w:tab w:val="right" w:pos="9639"/>
        </w:tabs>
        <w:spacing w:before="240"/>
        <w:rPr>
          <w:rFonts w:asciiTheme="minorHAnsi" w:hAnsiTheme="minorHAnsi" w:cstheme="minorHAnsi"/>
          <w:sz w:val="24"/>
          <w:szCs w:val="24"/>
        </w:rPr>
      </w:pPr>
      <w:r w:rsidRPr="00F31BFC">
        <w:rPr>
          <w:rFonts w:asciiTheme="minorHAnsi" w:hAnsiTheme="minorHAnsi" w:cstheme="minorHAnsi"/>
          <w:sz w:val="24"/>
          <w:szCs w:val="24"/>
          <w:u w:val="single"/>
        </w:rPr>
        <w:t>Draft revision of Recommendation ITU-R SM.</w:t>
      </w:r>
      <w:r>
        <w:rPr>
          <w:rFonts w:asciiTheme="minorHAnsi" w:hAnsiTheme="minorHAnsi" w:cstheme="minorHAnsi"/>
          <w:sz w:val="24"/>
          <w:szCs w:val="24"/>
          <w:u w:val="single"/>
        </w:rPr>
        <w:t>1875-1</w:t>
      </w:r>
      <w:r w:rsidRPr="00F31BFC">
        <w:rPr>
          <w:rFonts w:asciiTheme="minorHAnsi" w:hAnsiTheme="minorHAnsi" w:cstheme="minorHAnsi"/>
          <w:sz w:val="24"/>
          <w:szCs w:val="24"/>
        </w:rPr>
        <w:tab/>
        <w:t>Doc. 1/98(Rev.1)</w:t>
      </w:r>
    </w:p>
    <w:p w:rsidR="00F31BFC" w:rsidRDefault="00F31BFC" w:rsidP="00C103E4">
      <w:pPr>
        <w:pStyle w:val="Rectitle"/>
      </w:pPr>
      <w:r w:rsidRPr="00F31BFC">
        <w:t>DVB-T coverage measurements and verification of planning criteria</w:t>
      </w:r>
    </w:p>
    <w:p w:rsidR="00F31BFC" w:rsidRPr="00F31BFC" w:rsidRDefault="00F31BFC" w:rsidP="008A75E3">
      <w:pPr>
        <w:jc w:val="left"/>
        <w:rPr>
          <w:sz w:val="24"/>
          <w:szCs w:val="24"/>
        </w:rPr>
      </w:pPr>
      <w:r w:rsidRPr="00F31BFC">
        <w:rPr>
          <w:sz w:val="24"/>
          <w:szCs w:val="24"/>
        </w:rPr>
        <w:t>This draft revision of Recommendation ITU-R SM.1875-1 “DVB-T coverage measurements and verification of planning criteria” has two purposes:</w:t>
      </w:r>
    </w:p>
    <w:p w:rsidR="00F31BFC" w:rsidRPr="00F31BFC" w:rsidRDefault="00F31BFC" w:rsidP="008A75E3">
      <w:pPr>
        <w:tabs>
          <w:tab w:val="clear" w:pos="794"/>
          <w:tab w:val="clear" w:pos="1191"/>
        </w:tabs>
        <w:ind w:left="709" w:hanging="709"/>
        <w:jc w:val="left"/>
        <w:rPr>
          <w:sz w:val="24"/>
          <w:szCs w:val="24"/>
        </w:rPr>
      </w:pPr>
      <w:r w:rsidRPr="00F31BFC">
        <w:rPr>
          <w:sz w:val="24"/>
          <w:szCs w:val="24"/>
        </w:rPr>
        <w:t xml:space="preserve">– </w:t>
      </w:r>
      <w:r w:rsidRPr="00F31BFC">
        <w:rPr>
          <w:sz w:val="24"/>
          <w:szCs w:val="24"/>
        </w:rPr>
        <w:tab/>
        <w:t>the first is related to the definition of standard deviation of the spectral amplitudes σ in frequency band of DVB-T signal calculated in accordance with</w:t>
      </w:r>
      <w:r>
        <w:rPr>
          <w:sz w:val="24"/>
          <w:szCs w:val="24"/>
        </w:rPr>
        <w:t xml:space="preserve"> </w:t>
      </w:r>
      <w:r w:rsidRPr="00F31BFC">
        <w:rPr>
          <w:sz w:val="24"/>
          <w:szCs w:val="24"/>
        </w:rPr>
        <w:t>§ 2.27 “Standard deviation”;</w:t>
      </w:r>
    </w:p>
    <w:p w:rsidR="00F31BFC" w:rsidRPr="00F31BFC" w:rsidRDefault="00F31BFC" w:rsidP="008A75E3">
      <w:pPr>
        <w:tabs>
          <w:tab w:val="clear" w:pos="794"/>
        </w:tabs>
        <w:ind w:left="709" w:hanging="709"/>
        <w:jc w:val="left"/>
        <w:rPr>
          <w:sz w:val="24"/>
          <w:szCs w:val="24"/>
        </w:rPr>
      </w:pPr>
      <w:r w:rsidRPr="00F31BFC">
        <w:rPr>
          <w:sz w:val="24"/>
          <w:szCs w:val="24"/>
        </w:rPr>
        <w:t xml:space="preserve">– </w:t>
      </w:r>
      <w:r w:rsidRPr="00F31BFC">
        <w:rPr>
          <w:sz w:val="24"/>
          <w:szCs w:val="24"/>
        </w:rPr>
        <w:tab/>
        <w:t>the second is to provide rationale for the doubt regarding the mandatory implementation of the requirements from § 3.1.4.1 “Verifying homogeneous field strength distribution”.</w:t>
      </w:r>
    </w:p>
    <w:p w:rsidR="00F31BFC" w:rsidRDefault="00F31BFC" w:rsidP="00F31BFC">
      <w:pPr>
        <w:tabs>
          <w:tab w:val="right" w:pos="9639"/>
        </w:tabs>
        <w:spacing w:before="240"/>
        <w:rPr>
          <w:rFonts w:asciiTheme="minorHAnsi" w:hAnsiTheme="minorHAnsi" w:cstheme="minorHAnsi"/>
          <w:sz w:val="24"/>
          <w:szCs w:val="24"/>
        </w:rPr>
      </w:pPr>
      <w:r w:rsidRPr="00F31BFC">
        <w:rPr>
          <w:rFonts w:asciiTheme="minorHAnsi" w:hAnsiTheme="minorHAnsi" w:cstheme="minorHAnsi"/>
          <w:sz w:val="24"/>
          <w:szCs w:val="24"/>
          <w:u w:val="single"/>
        </w:rPr>
        <w:t>Draft revision of Recommendation ITU-R SM.</w:t>
      </w:r>
      <w:r w:rsidR="00F265BC">
        <w:rPr>
          <w:rFonts w:asciiTheme="minorHAnsi" w:hAnsiTheme="minorHAnsi" w:cstheme="minorHAnsi"/>
          <w:sz w:val="24"/>
          <w:szCs w:val="24"/>
          <w:u w:val="single"/>
        </w:rPr>
        <w:t>1413-2</w:t>
      </w:r>
      <w:r w:rsidRPr="00F31BFC">
        <w:rPr>
          <w:rFonts w:asciiTheme="minorHAnsi" w:hAnsiTheme="minorHAnsi" w:cstheme="minorHAnsi"/>
          <w:sz w:val="24"/>
          <w:szCs w:val="24"/>
        </w:rPr>
        <w:tab/>
        <w:t>Doc. 1/102(Rev.1)</w:t>
      </w:r>
    </w:p>
    <w:p w:rsidR="00F31BFC" w:rsidRDefault="00F31BFC" w:rsidP="00C103E4">
      <w:pPr>
        <w:pStyle w:val="Rectitle"/>
      </w:pPr>
      <w:r>
        <w:t>Radiocommunication Data Dictionary (RDD)</w:t>
      </w:r>
    </w:p>
    <w:p w:rsidR="00F31BFC" w:rsidRPr="00F31BFC" w:rsidRDefault="00F31BFC" w:rsidP="008A75E3">
      <w:pPr>
        <w:jc w:val="left"/>
        <w:rPr>
          <w:sz w:val="24"/>
          <w:szCs w:val="24"/>
        </w:rPr>
      </w:pPr>
      <w:r w:rsidRPr="00F31BFC">
        <w:rPr>
          <w:sz w:val="24"/>
          <w:szCs w:val="24"/>
        </w:rPr>
        <w:t>The changes to Appendix 4 of the Radio Regulations at WRC-07 and WRC-12 affected both the terrestrial and space notification data.</w:t>
      </w:r>
    </w:p>
    <w:p w:rsidR="00C103E4" w:rsidRDefault="00C103E4">
      <w:pPr>
        <w:tabs>
          <w:tab w:val="clear" w:pos="794"/>
          <w:tab w:val="clear" w:pos="1191"/>
          <w:tab w:val="clear" w:pos="1588"/>
          <w:tab w:val="clear" w:pos="1985"/>
        </w:tabs>
        <w:overflowPunct/>
        <w:autoSpaceDE/>
        <w:autoSpaceDN/>
        <w:adjustRightInd/>
        <w:spacing w:before="0" w:line="240" w:lineRule="auto"/>
        <w:jc w:val="left"/>
        <w:textAlignment w:val="auto"/>
        <w:rPr>
          <w:sz w:val="24"/>
          <w:szCs w:val="24"/>
        </w:rPr>
      </w:pPr>
      <w:r>
        <w:rPr>
          <w:sz w:val="24"/>
          <w:szCs w:val="24"/>
        </w:rPr>
        <w:br w:type="page"/>
      </w:r>
    </w:p>
    <w:p w:rsidR="00F31BFC" w:rsidRPr="00F31BFC" w:rsidRDefault="00F31BFC" w:rsidP="008A75E3">
      <w:pPr>
        <w:jc w:val="left"/>
        <w:rPr>
          <w:sz w:val="24"/>
          <w:szCs w:val="24"/>
        </w:rPr>
      </w:pPr>
      <w:r w:rsidRPr="00F31BFC">
        <w:rPr>
          <w:sz w:val="24"/>
          <w:szCs w:val="24"/>
        </w:rPr>
        <w:lastRenderedPageBreak/>
        <w:t xml:space="preserve">Further </w:t>
      </w:r>
      <w:r>
        <w:rPr>
          <w:sz w:val="24"/>
          <w:szCs w:val="24"/>
          <w:lang w:val="en-GB"/>
        </w:rPr>
        <w:t>Resolution 906 (WRC-07)</w:t>
      </w:r>
      <w:r w:rsidRPr="00F31BFC">
        <w:rPr>
          <w:sz w:val="24"/>
          <w:szCs w:val="24"/>
          <w:lang w:val="en-GB"/>
        </w:rPr>
        <w:t xml:space="preserve">, which resolves </w:t>
      </w:r>
      <w:r w:rsidRPr="00F31BFC">
        <w:rPr>
          <w:i/>
          <w:sz w:val="24"/>
          <w:szCs w:val="24"/>
          <w:lang w:val="en-GB"/>
        </w:rPr>
        <w:t xml:space="preserve">that, from 1 January 2009, the submission of notices for terrestrial services to the Radiocommunication Bureau shall be in electronic format only, </w:t>
      </w:r>
      <w:r w:rsidRPr="00F31BFC">
        <w:rPr>
          <w:sz w:val="24"/>
          <w:szCs w:val="24"/>
          <w:lang w:val="en-GB"/>
        </w:rPr>
        <w:t xml:space="preserve">requires a review of the terrestrial sections of the RDD to ensure the information it contains takes account of the cessation in use of paper notices. </w:t>
      </w:r>
    </w:p>
    <w:p w:rsidR="00F31BFC" w:rsidRPr="00F31BFC" w:rsidRDefault="00F31BFC" w:rsidP="008A75E3">
      <w:pPr>
        <w:jc w:val="left"/>
        <w:rPr>
          <w:sz w:val="24"/>
          <w:szCs w:val="24"/>
        </w:rPr>
      </w:pPr>
      <w:r w:rsidRPr="00F31BFC">
        <w:rPr>
          <w:sz w:val="24"/>
          <w:szCs w:val="24"/>
        </w:rPr>
        <w:t xml:space="preserve">The changes arising from modification of Appendix 4 to the Radio Regulations and Resolution 906 </w:t>
      </w:r>
      <w:r w:rsidRPr="00F31BFC">
        <w:rPr>
          <w:sz w:val="24"/>
          <w:szCs w:val="24"/>
        </w:rPr>
        <w:br/>
      </w:r>
      <w:r w:rsidRPr="00F31BFC">
        <w:rPr>
          <w:sz w:val="24"/>
          <w:szCs w:val="24"/>
          <w:lang w:val="en-GB"/>
        </w:rPr>
        <w:t xml:space="preserve">(WRC-07) </w:t>
      </w:r>
      <w:r w:rsidRPr="00F31BFC">
        <w:rPr>
          <w:sz w:val="24"/>
          <w:szCs w:val="24"/>
        </w:rPr>
        <w:t>affected several sections of the RDD, specifically:</w:t>
      </w:r>
    </w:p>
    <w:p w:rsidR="00F31BFC" w:rsidRPr="00F31BFC" w:rsidRDefault="00F31BFC" w:rsidP="00F31BFC">
      <w:pPr>
        <w:spacing w:before="80"/>
        <w:ind w:left="720"/>
        <w:rPr>
          <w:sz w:val="24"/>
          <w:szCs w:val="24"/>
          <w:lang w:val="en-GB"/>
        </w:rPr>
      </w:pPr>
      <w:r w:rsidRPr="00F31BFC">
        <w:rPr>
          <w:sz w:val="24"/>
          <w:szCs w:val="24"/>
          <w:lang w:val="en-GB"/>
        </w:rPr>
        <w:t>Section 2:</w:t>
      </w:r>
      <w:r w:rsidRPr="00F31BFC">
        <w:rPr>
          <w:sz w:val="24"/>
          <w:szCs w:val="24"/>
          <w:lang w:val="en-GB"/>
        </w:rPr>
        <w:tab/>
      </w:r>
      <w:r w:rsidRPr="00F31BFC">
        <w:rPr>
          <w:noProof/>
          <w:sz w:val="24"/>
          <w:szCs w:val="24"/>
          <w:lang w:val="en-GB"/>
        </w:rPr>
        <w:t>Terrestrial Notification Data;</w:t>
      </w:r>
    </w:p>
    <w:p w:rsidR="00F31BFC" w:rsidRPr="00F31BFC" w:rsidRDefault="00F31BFC" w:rsidP="00F31BFC">
      <w:pPr>
        <w:spacing w:before="80"/>
        <w:ind w:left="720"/>
        <w:rPr>
          <w:sz w:val="24"/>
          <w:szCs w:val="24"/>
          <w:lang w:val="en-GB"/>
        </w:rPr>
      </w:pPr>
      <w:r w:rsidRPr="00F31BFC">
        <w:rPr>
          <w:sz w:val="24"/>
          <w:szCs w:val="24"/>
          <w:lang w:val="en-GB"/>
        </w:rPr>
        <w:t>Section 3:</w:t>
      </w:r>
      <w:r w:rsidRPr="00F31BFC">
        <w:rPr>
          <w:sz w:val="24"/>
          <w:szCs w:val="24"/>
          <w:lang w:val="en-GB"/>
        </w:rPr>
        <w:tab/>
      </w:r>
      <w:r w:rsidRPr="00F31BFC">
        <w:rPr>
          <w:noProof/>
          <w:sz w:val="24"/>
          <w:szCs w:val="24"/>
          <w:lang w:val="en-GB"/>
        </w:rPr>
        <w:t>Description of Data Items for Terrestrial Systems and Services;</w:t>
      </w:r>
    </w:p>
    <w:p w:rsidR="00F31BFC" w:rsidRPr="00F31BFC" w:rsidRDefault="00F31BFC" w:rsidP="00F31BFC">
      <w:pPr>
        <w:spacing w:before="80"/>
        <w:ind w:left="720"/>
        <w:rPr>
          <w:sz w:val="24"/>
          <w:szCs w:val="24"/>
          <w:lang w:val="en-GB"/>
        </w:rPr>
      </w:pPr>
      <w:r w:rsidRPr="00F31BFC">
        <w:rPr>
          <w:sz w:val="24"/>
          <w:szCs w:val="24"/>
          <w:lang w:val="en-GB"/>
        </w:rPr>
        <w:t>Section 4:</w:t>
      </w:r>
      <w:r w:rsidRPr="00F31BFC">
        <w:rPr>
          <w:sz w:val="24"/>
          <w:szCs w:val="24"/>
          <w:lang w:val="en-GB"/>
        </w:rPr>
        <w:tab/>
      </w:r>
      <w:r w:rsidRPr="00F31BFC">
        <w:rPr>
          <w:noProof/>
          <w:sz w:val="24"/>
          <w:szCs w:val="24"/>
          <w:lang w:val="en-GB"/>
        </w:rPr>
        <w:t>Space Advance Publication, Notification and Coordination Data; and,</w:t>
      </w:r>
    </w:p>
    <w:p w:rsidR="00F31BFC" w:rsidRPr="00F31BFC" w:rsidRDefault="00F31BFC" w:rsidP="00F31BFC">
      <w:pPr>
        <w:spacing w:before="80"/>
        <w:ind w:left="720"/>
        <w:rPr>
          <w:noProof/>
          <w:sz w:val="24"/>
          <w:szCs w:val="24"/>
          <w:lang w:val="en-GB"/>
        </w:rPr>
      </w:pPr>
      <w:r w:rsidRPr="00F31BFC">
        <w:rPr>
          <w:sz w:val="24"/>
          <w:szCs w:val="24"/>
          <w:lang w:val="en-GB"/>
        </w:rPr>
        <w:t>Section 5:</w:t>
      </w:r>
      <w:r w:rsidRPr="00F31BFC">
        <w:rPr>
          <w:sz w:val="24"/>
          <w:szCs w:val="24"/>
          <w:lang w:val="en-GB"/>
        </w:rPr>
        <w:tab/>
      </w:r>
      <w:r w:rsidRPr="00F31BFC">
        <w:rPr>
          <w:noProof/>
          <w:sz w:val="24"/>
          <w:szCs w:val="24"/>
          <w:lang w:val="en-GB"/>
        </w:rPr>
        <w:t>Description of Space Data Items.</w:t>
      </w:r>
    </w:p>
    <w:p w:rsidR="00F31BFC" w:rsidRPr="00F31BFC" w:rsidRDefault="00F31BFC" w:rsidP="00F31BFC">
      <w:pPr>
        <w:rPr>
          <w:noProof/>
          <w:sz w:val="24"/>
          <w:szCs w:val="24"/>
          <w:lang w:val="en-GB"/>
        </w:rPr>
      </w:pPr>
      <w:r w:rsidRPr="00F31BFC">
        <w:rPr>
          <w:noProof/>
          <w:sz w:val="24"/>
          <w:szCs w:val="24"/>
          <w:lang w:val="en-GB"/>
        </w:rPr>
        <w:t>As a result of changes in these sections there was a requirement for consequential changes to:</w:t>
      </w:r>
    </w:p>
    <w:p w:rsidR="00F31BFC" w:rsidRPr="00F31BFC" w:rsidRDefault="00F31BFC" w:rsidP="00F31BFC">
      <w:pPr>
        <w:spacing w:before="80"/>
        <w:ind w:left="720"/>
        <w:rPr>
          <w:sz w:val="24"/>
          <w:szCs w:val="24"/>
          <w:lang w:val="en-GB"/>
        </w:rPr>
      </w:pPr>
      <w:r w:rsidRPr="00F31BFC">
        <w:rPr>
          <w:sz w:val="24"/>
          <w:szCs w:val="24"/>
          <w:lang w:val="en-GB"/>
        </w:rPr>
        <w:t>Section 7:</w:t>
      </w:r>
      <w:r w:rsidRPr="00F31BFC">
        <w:rPr>
          <w:sz w:val="24"/>
          <w:szCs w:val="24"/>
          <w:lang w:val="en-GB"/>
        </w:rPr>
        <w:tab/>
      </w:r>
      <w:r w:rsidRPr="00F31BFC">
        <w:rPr>
          <w:noProof/>
          <w:sz w:val="24"/>
          <w:szCs w:val="24"/>
          <w:lang w:val="en-GB"/>
        </w:rPr>
        <w:t>Diagrams;</w:t>
      </w:r>
    </w:p>
    <w:p w:rsidR="00F31BFC" w:rsidRPr="00F31BFC" w:rsidRDefault="00F31BFC" w:rsidP="00F31BFC">
      <w:pPr>
        <w:spacing w:before="80"/>
        <w:ind w:left="720"/>
        <w:rPr>
          <w:noProof/>
          <w:sz w:val="24"/>
          <w:szCs w:val="24"/>
          <w:lang w:val="en-GB"/>
        </w:rPr>
      </w:pPr>
      <w:r w:rsidRPr="00F31BFC">
        <w:rPr>
          <w:sz w:val="24"/>
          <w:szCs w:val="24"/>
          <w:lang w:val="en-GB"/>
        </w:rPr>
        <w:t>Section 8:</w:t>
      </w:r>
      <w:r w:rsidRPr="00F31BFC">
        <w:rPr>
          <w:sz w:val="24"/>
          <w:szCs w:val="24"/>
          <w:lang w:val="en-GB"/>
        </w:rPr>
        <w:tab/>
      </w:r>
      <w:r w:rsidRPr="00F31BFC">
        <w:rPr>
          <w:noProof/>
          <w:sz w:val="24"/>
          <w:szCs w:val="24"/>
          <w:lang w:val="en-GB"/>
        </w:rPr>
        <w:t>Cross-Reference Tables between RR Appendix 4 and the RDD; and,</w:t>
      </w:r>
    </w:p>
    <w:p w:rsidR="00F31BFC" w:rsidRPr="00F31BFC" w:rsidRDefault="00F31BFC" w:rsidP="00F31BFC">
      <w:pPr>
        <w:spacing w:before="80"/>
        <w:ind w:left="720"/>
        <w:rPr>
          <w:sz w:val="24"/>
          <w:szCs w:val="24"/>
          <w:lang w:val="en-GB"/>
        </w:rPr>
      </w:pPr>
      <w:r w:rsidRPr="00F31BFC">
        <w:rPr>
          <w:sz w:val="24"/>
          <w:szCs w:val="24"/>
          <w:lang w:val="en-GB"/>
        </w:rPr>
        <w:t>Section 10:</w:t>
      </w:r>
      <w:r w:rsidRPr="00F31BFC">
        <w:rPr>
          <w:sz w:val="24"/>
          <w:szCs w:val="24"/>
          <w:lang w:val="en-GB"/>
        </w:rPr>
        <w:tab/>
        <w:t>Data Item Reference Index.</w:t>
      </w:r>
    </w:p>
    <w:p w:rsidR="00F31BFC" w:rsidRPr="00F31BFC" w:rsidRDefault="00F31BFC" w:rsidP="008A75E3">
      <w:pPr>
        <w:jc w:val="left"/>
        <w:rPr>
          <w:sz w:val="24"/>
          <w:szCs w:val="24"/>
          <w:lang w:val="en-GB"/>
        </w:rPr>
      </w:pPr>
      <w:r w:rsidRPr="00F31BFC">
        <w:rPr>
          <w:sz w:val="24"/>
          <w:szCs w:val="24"/>
          <w:lang w:val="en-GB"/>
        </w:rPr>
        <w:t>In the case of Section 10, it should be noted that this section cannot be updated until the revision marking is removed from the document and it is in the standardised format.</w:t>
      </w:r>
    </w:p>
    <w:p w:rsidR="00F31BFC" w:rsidRPr="00F31BFC" w:rsidRDefault="00F31BFC" w:rsidP="008A75E3">
      <w:pPr>
        <w:jc w:val="left"/>
        <w:rPr>
          <w:sz w:val="24"/>
          <w:szCs w:val="24"/>
          <w:lang w:val="en-GB"/>
        </w:rPr>
      </w:pPr>
      <w:r w:rsidRPr="00F31BFC">
        <w:rPr>
          <w:sz w:val="24"/>
          <w:szCs w:val="24"/>
          <w:lang w:val="en-GB"/>
        </w:rPr>
        <w:t>Section 9 which contains data provided by the Radiocommunication Bureau is also normally only made available after the adoption of revisions to the recommendation.</w:t>
      </w:r>
    </w:p>
    <w:p w:rsidR="00F31BFC" w:rsidRPr="00DA383E" w:rsidRDefault="00F31BFC" w:rsidP="00F265BC">
      <w:pPr>
        <w:tabs>
          <w:tab w:val="right" w:pos="9639"/>
        </w:tabs>
        <w:spacing w:before="240"/>
        <w:rPr>
          <w:rFonts w:asciiTheme="minorHAnsi" w:hAnsiTheme="minorHAnsi" w:cstheme="minorHAnsi"/>
          <w:sz w:val="24"/>
          <w:szCs w:val="24"/>
        </w:rPr>
      </w:pPr>
      <w:r w:rsidRPr="00F31BFC">
        <w:rPr>
          <w:rFonts w:asciiTheme="minorHAnsi" w:hAnsiTheme="minorHAnsi" w:cstheme="minorHAnsi"/>
          <w:sz w:val="24"/>
          <w:szCs w:val="24"/>
          <w:u w:val="single"/>
        </w:rPr>
        <w:t xml:space="preserve">Draft </w:t>
      </w:r>
      <w:r w:rsidR="00F265BC">
        <w:rPr>
          <w:rFonts w:asciiTheme="minorHAnsi" w:hAnsiTheme="minorHAnsi" w:cstheme="minorHAnsi"/>
          <w:sz w:val="24"/>
          <w:szCs w:val="24"/>
          <w:u w:val="single"/>
        </w:rPr>
        <w:t>modification</w:t>
      </w:r>
      <w:r w:rsidRPr="00F31BFC">
        <w:rPr>
          <w:rFonts w:asciiTheme="minorHAnsi" w:hAnsiTheme="minorHAnsi" w:cstheme="minorHAnsi"/>
          <w:sz w:val="24"/>
          <w:szCs w:val="24"/>
          <w:u w:val="single"/>
        </w:rPr>
        <w:t xml:space="preserve"> of Recommendation ITU-R SM.</w:t>
      </w:r>
      <w:r w:rsidR="00F265BC">
        <w:rPr>
          <w:rFonts w:asciiTheme="minorHAnsi" w:hAnsiTheme="minorHAnsi" w:cstheme="minorHAnsi"/>
          <w:sz w:val="24"/>
          <w:szCs w:val="24"/>
          <w:u w:val="single"/>
        </w:rPr>
        <w:t>1603-1</w:t>
      </w:r>
      <w:r w:rsidRPr="00F31BFC">
        <w:rPr>
          <w:rFonts w:asciiTheme="minorHAnsi" w:hAnsiTheme="minorHAnsi" w:cstheme="minorHAnsi"/>
          <w:sz w:val="24"/>
          <w:szCs w:val="24"/>
        </w:rPr>
        <w:tab/>
        <w:t>Doc. 1/103(Rev.1)</w:t>
      </w:r>
    </w:p>
    <w:p w:rsidR="004A7970" w:rsidRPr="00F265BC" w:rsidRDefault="00F265BC" w:rsidP="00C103E4">
      <w:pPr>
        <w:pStyle w:val="Rectitle"/>
      </w:pPr>
      <w:r>
        <w:t xml:space="preserve">Spectrum redeployment as a method of national </w:t>
      </w:r>
      <w:r w:rsidR="00C103E4">
        <w:br/>
      </w:r>
      <w:r>
        <w:t>spectrum management</w:t>
      </w:r>
    </w:p>
    <w:p w:rsidR="00F265BC" w:rsidRPr="00F265BC" w:rsidRDefault="00F265BC" w:rsidP="00F265BC">
      <w:pPr>
        <w:rPr>
          <w:rFonts w:eastAsia="SimSun"/>
          <w:sz w:val="24"/>
          <w:szCs w:val="24"/>
          <w:lang w:eastAsia="zh-CN"/>
        </w:rPr>
      </w:pPr>
      <w:r w:rsidRPr="00F265BC">
        <w:rPr>
          <w:rFonts w:eastAsia="SimSun"/>
          <w:sz w:val="24"/>
          <w:szCs w:val="24"/>
          <w:lang w:eastAsia="zh-CN"/>
        </w:rPr>
        <w:t>The purpose of the modification is as follows:</w:t>
      </w:r>
    </w:p>
    <w:p w:rsidR="00F265BC" w:rsidRPr="00F265BC" w:rsidRDefault="00F265BC" w:rsidP="008A75E3">
      <w:pPr>
        <w:pStyle w:val="enumlev1"/>
        <w:tabs>
          <w:tab w:val="clear" w:pos="794"/>
        </w:tabs>
        <w:jc w:val="left"/>
        <w:rPr>
          <w:sz w:val="24"/>
          <w:szCs w:val="24"/>
          <w:lang w:eastAsia="zh-CN"/>
        </w:rPr>
      </w:pPr>
      <w:r w:rsidRPr="00F265BC">
        <w:rPr>
          <w:sz w:val="24"/>
          <w:szCs w:val="24"/>
          <w:lang w:eastAsia="zh-CN"/>
        </w:rPr>
        <w:t>1)</w:t>
      </w:r>
      <w:r w:rsidRPr="00F265BC">
        <w:rPr>
          <w:sz w:val="24"/>
          <w:szCs w:val="24"/>
          <w:lang w:eastAsia="zh-CN"/>
        </w:rPr>
        <w:tab/>
        <w:t>in § 3.2.2.2 of Annex 1, to consider “Spectrum redeployment at the end of the equipment’s lifetime” as a case of a spectrum redeployment before</w:t>
      </w:r>
      <w:r>
        <w:rPr>
          <w:sz w:val="24"/>
          <w:szCs w:val="24"/>
          <w:lang w:eastAsia="zh-CN"/>
        </w:rPr>
        <w:t xml:space="preserve"> the expiration of the licence.</w:t>
      </w:r>
    </w:p>
    <w:p w:rsidR="00F265BC" w:rsidRPr="00F265BC" w:rsidRDefault="00F265BC" w:rsidP="008A75E3">
      <w:pPr>
        <w:pStyle w:val="enumlev1"/>
        <w:tabs>
          <w:tab w:val="clear" w:pos="794"/>
        </w:tabs>
        <w:jc w:val="left"/>
        <w:rPr>
          <w:sz w:val="24"/>
          <w:szCs w:val="24"/>
          <w:lang w:eastAsia="zh-CN"/>
        </w:rPr>
      </w:pPr>
      <w:r w:rsidRPr="00F265BC">
        <w:rPr>
          <w:sz w:val="24"/>
          <w:szCs w:val="24"/>
          <w:lang w:eastAsia="zh-CN"/>
        </w:rPr>
        <w:t>2)</w:t>
      </w:r>
      <w:r w:rsidRPr="00F265BC">
        <w:rPr>
          <w:sz w:val="24"/>
          <w:szCs w:val="24"/>
          <w:lang w:eastAsia="zh-CN"/>
        </w:rPr>
        <w:tab/>
        <w:t>to add a new Attachment 4 to Annex 1 as an example of a spectrum redeployment process based on the Benin experience.</w:t>
      </w:r>
    </w:p>
    <w:p w:rsidR="00F265BC" w:rsidRPr="00F265BC" w:rsidRDefault="00F265BC" w:rsidP="008A75E3">
      <w:pPr>
        <w:pStyle w:val="enumlev1"/>
        <w:tabs>
          <w:tab w:val="clear" w:pos="794"/>
        </w:tabs>
        <w:jc w:val="left"/>
        <w:rPr>
          <w:sz w:val="24"/>
          <w:szCs w:val="24"/>
          <w:lang w:eastAsia="zh-CN"/>
        </w:rPr>
      </w:pPr>
      <w:r w:rsidRPr="00F265BC">
        <w:rPr>
          <w:sz w:val="24"/>
          <w:szCs w:val="24"/>
          <w:lang w:eastAsia="zh-CN"/>
        </w:rPr>
        <w:t>3)</w:t>
      </w:r>
      <w:r w:rsidRPr="00F265BC">
        <w:rPr>
          <w:sz w:val="24"/>
          <w:szCs w:val="24"/>
          <w:lang w:eastAsia="zh-CN"/>
        </w:rPr>
        <w:tab/>
        <w:t xml:space="preserve">to add a new Attachment 5 to Annex 1 as an example of a spectrum redeployment process based on the </w:t>
      </w:r>
      <w:r w:rsidRPr="00F265BC">
        <w:rPr>
          <w:sz w:val="24"/>
          <w:szCs w:val="24"/>
          <w:lang w:val="en-CA" w:eastAsia="zh-CN"/>
        </w:rPr>
        <w:t>Ukrainian</w:t>
      </w:r>
      <w:r w:rsidRPr="00F265BC">
        <w:rPr>
          <w:sz w:val="24"/>
          <w:szCs w:val="24"/>
          <w:lang w:eastAsia="zh-CN"/>
        </w:rPr>
        <w:t xml:space="preserve"> experience.</w:t>
      </w:r>
    </w:p>
    <w:p w:rsidR="00F265BC" w:rsidRPr="00F265BC" w:rsidRDefault="00F265BC" w:rsidP="008A75E3">
      <w:pPr>
        <w:tabs>
          <w:tab w:val="clear" w:pos="794"/>
        </w:tabs>
        <w:ind w:left="794" w:hanging="794"/>
        <w:jc w:val="left"/>
        <w:rPr>
          <w:rFonts w:eastAsia="Batang"/>
          <w:sz w:val="24"/>
          <w:szCs w:val="24"/>
          <w:lang w:eastAsia="zh-CN"/>
        </w:rPr>
      </w:pPr>
      <w:r w:rsidRPr="00F265BC">
        <w:rPr>
          <w:sz w:val="24"/>
          <w:szCs w:val="24"/>
          <w:lang w:eastAsia="zh-CN"/>
        </w:rPr>
        <w:t>4)</w:t>
      </w:r>
      <w:r w:rsidRPr="00F265BC">
        <w:rPr>
          <w:sz w:val="24"/>
          <w:szCs w:val="24"/>
          <w:lang w:eastAsia="zh-CN"/>
        </w:rPr>
        <w:tab/>
      </w:r>
      <w:r w:rsidRPr="00F265BC">
        <w:rPr>
          <w:rFonts w:hint="eastAsia"/>
          <w:sz w:val="24"/>
          <w:szCs w:val="24"/>
          <w:lang w:eastAsia="ko-KR"/>
        </w:rPr>
        <w:t>to add details to</w:t>
      </w:r>
      <w:r w:rsidRPr="00F265BC">
        <w:rPr>
          <w:sz w:val="24"/>
          <w:szCs w:val="24"/>
          <w:lang w:eastAsia="zh-CN"/>
        </w:rPr>
        <w:t xml:space="preserve"> § 3.2.2.</w:t>
      </w:r>
      <w:r w:rsidRPr="00F265BC">
        <w:rPr>
          <w:rFonts w:hint="eastAsia"/>
          <w:sz w:val="24"/>
          <w:szCs w:val="24"/>
          <w:lang w:eastAsia="ko-KR"/>
        </w:rPr>
        <w:t>3</w:t>
      </w:r>
      <w:r w:rsidRPr="00F265BC">
        <w:rPr>
          <w:sz w:val="24"/>
          <w:szCs w:val="24"/>
          <w:lang w:eastAsia="zh-CN"/>
        </w:rPr>
        <w:t xml:space="preserve"> of Annex 1</w:t>
      </w:r>
      <w:r w:rsidRPr="00F265BC">
        <w:rPr>
          <w:rFonts w:hint="eastAsia"/>
          <w:sz w:val="24"/>
          <w:szCs w:val="24"/>
          <w:lang w:eastAsia="ko-KR"/>
        </w:rPr>
        <w:t xml:space="preserve"> for</w:t>
      </w:r>
      <w:r w:rsidRPr="00F265BC">
        <w:rPr>
          <w:sz w:val="24"/>
          <w:szCs w:val="24"/>
          <w:lang w:eastAsia="zh-CN"/>
        </w:rPr>
        <w:t xml:space="preserve"> “</w:t>
      </w:r>
      <w:r w:rsidRPr="00F265BC">
        <w:rPr>
          <w:rFonts w:hint="eastAsia"/>
          <w:sz w:val="24"/>
          <w:szCs w:val="24"/>
          <w:lang w:eastAsia="ko-KR"/>
        </w:rPr>
        <w:t>Redeployment of spectrum in licen</w:t>
      </w:r>
      <w:r w:rsidRPr="00F265BC">
        <w:rPr>
          <w:sz w:val="24"/>
          <w:szCs w:val="24"/>
          <w:lang w:eastAsia="ko-KR"/>
        </w:rPr>
        <w:t>c</w:t>
      </w:r>
      <w:r w:rsidRPr="00F265BC">
        <w:rPr>
          <w:rFonts w:hint="eastAsia"/>
          <w:sz w:val="24"/>
          <w:szCs w:val="24"/>
          <w:lang w:eastAsia="ko-KR"/>
        </w:rPr>
        <w:t>e-exempt bands</w:t>
      </w:r>
      <w:r w:rsidRPr="00F265BC">
        <w:rPr>
          <w:sz w:val="24"/>
          <w:szCs w:val="24"/>
          <w:lang w:eastAsia="zh-CN"/>
        </w:rPr>
        <w:t>”</w:t>
      </w:r>
      <w:r>
        <w:rPr>
          <w:sz w:val="24"/>
          <w:szCs w:val="24"/>
          <w:lang w:eastAsia="zh-CN"/>
        </w:rPr>
        <w:t>.</w:t>
      </w:r>
    </w:p>
    <w:p w:rsidR="00F265BC" w:rsidRPr="00F265BC" w:rsidRDefault="00F265BC" w:rsidP="008A75E3">
      <w:pPr>
        <w:tabs>
          <w:tab w:val="clear" w:pos="794"/>
        </w:tabs>
        <w:ind w:left="794" w:hanging="794"/>
        <w:jc w:val="left"/>
        <w:rPr>
          <w:sz w:val="24"/>
          <w:szCs w:val="24"/>
          <w:lang w:eastAsia="ko-KR"/>
        </w:rPr>
      </w:pPr>
      <w:r w:rsidRPr="00F265BC">
        <w:rPr>
          <w:sz w:val="24"/>
          <w:szCs w:val="24"/>
          <w:lang w:eastAsia="zh-CN"/>
        </w:rPr>
        <w:t>5)</w:t>
      </w:r>
      <w:r w:rsidRPr="00F265BC">
        <w:rPr>
          <w:sz w:val="24"/>
          <w:szCs w:val="24"/>
          <w:lang w:eastAsia="zh-CN"/>
        </w:rPr>
        <w:tab/>
        <w:t xml:space="preserve">to add a </w:t>
      </w:r>
      <w:r w:rsidRPr="00F265BC">
        <w:rPr>
          <w:rFonts w:hint="eastAsia"/>
          <w:sz w:val="24"/>
          <w:szCs w:val="24"/>
          <w:lang w:eastAsia="ko-KR"/>
        </w:rPr>
        <w:t xml:space="preserve">new paragraph of </w:t>
      </w:r>
      <w:r w:rsidRPr="00F265BC">
        <w:rPr>
          <w:sz w:val="24"/>
          <w:szCs w:val="24"/>
          <w:lang w:eastAsia="zh-CN"/>
        </w:rPr>
        <w:t xml:space="preserve">§ </w:t>
      </w:r>
      <w:r w:rsidRPr="00F265BC">
        <w:rPr>
          <w:rFonts w:hint="eastAsia"/>
          <w:sz w:val="24"/>
          <w:szCs w:val="24"/>
          <w:lang w:eastAsia="ko-KR"/>
        </w:rPr>
        <w:t>4</w:t>
      </w:r>
      <w:r w:rsidRPr="00F265BC">
        <w:rPr>
          <w:sz w:val="24"/>
          <w:szCs w:val="24"/>
          <w:lang w:eastAsia="zh-CN"/>
        </w:rPr>
        <w:t>.2.</w:t>
      </w:r>
      <w:r w:rsidRPr="00F265BC">
        <w:rPr>
          <w:rFonts w:hint="eastAsia"/>
          <w:sz w:val="24"/>
          <w:szCs w:val="24"/>
          <w:lang w:eastAsia="ko-KR"/>
        </w:rPr>
        <w:t>3</w:t>
      </w:r>
      <w:r w:rsidRPr="00F265BC">
        <w:rPr>
          <w:sz w:val="24"/>
          <w:szCs w:val="24"/>
          <w:lang w:eastAsia="zh-CN"/>
        </w:rPr>
        <w:t xml:space="preserve"> to Annex 1</w:t>
      </w:r>
      <w:r w:rsidRPr="00F265BC">
        <w:rPr>
          <w:rFonts w:hint="eastAsia"/>
          <w:sz w:val="24"/>
          <w:szCs w:val="24"/>
          <w:lang w:eastAsia="ko-KR"/>
        </w:rPr>
        <w:t xml:space="preserve"> with </w:t>
      </w:r>
      <w:r w:rsidRPr="00F265BC">
        <w:rPr>
          <w:sz w:val="24"/>
          <w:szCs w:val="24"/>
          <w:lang w:eastAsia="zh-CN"/>
        </w:rPr>
        <w:t>“</w:t>
      </w:r>
      <w:r w:rsidRPr="00F265BC">
        <w:rPr>
          <w:rFonts w:hint="eastAsia"/>
          <w:sz w:val="24"/>
          <w:szCs w:val="24"/>
          <w:lang w:eastAsia="ko-KR"/>
        </w:rPr>
        <w:t>Compensation for loss by redeployment of licen</w:t>
      </w:r>
      <w:r w:rsidRPr="00F265BC">
        <w:rPr>
          <w:sz w:val="24"/>
          <w:szCs w:val="24"/>
          <w:lang w:eastAsia="ko-KR"/>
        </w:rPr>
        <w:t>c</w:t>
      </w:r>
      <w:r w:rsidRPr="00F265BC">
        <w:rPr>
          <w:rFonts w:hint="eastAsia"/>
          <w:sz w:val="24"/>
          <w:szCs w:val="24"/>
          <w:lang w:eastAsia="ko-KR"/>
        </w:rPr>
        <w:t>e-exempt bands</w:t>
      </w:r>
      <w:r w:rsidRPr="00F265BC">
        <w:rPr>
          <w:sz w:val="24"/>
          <w:szCs w:val="24"/>
          <w:lang w:eastAsia="zh-CN"/>
        </w:rPr>
        <w:t>”.</w:t>
      </w:r>
    </w:p>
    <w:p w:rsidR="00F265BC" w:rsidRPr="00F265BC" w:rsidRDefault="00F265BC" w:rsidP="008A75E3">
      <w:pPr>
        <w:tabs>
          <w:tab w:val="clear" w:pos="794"/>
        </w:tabs>
        <w:ind w:left="794" w:hanging="794"/>
        <w:jc w:val="left"/>
        <w:rPr>
          <w:sz w:val="24"/>
          <w:szCs w:val="24"/>
          <w:lang w:eastAsia="ko-KR"/>
        </w:rPr>
      </w:pPr>
      <w:r w:rsidRPr="00F265BC">
        <w:rPr>
          <w:sz w:val="24"/>
          <w:szCs w:val="24"/>
          <w:lang w:eastAsia="zh-CN"/>
        </w:rPr>
        <w:t>6)</w:t>
      </w:r>
      <w:r w:rsidRPr="00F265BC">
        <w:rPr>
          <w:sz w:val="24"/>
          <w:szCs w:val="24"/>
          <w:lang w:eastAsia="zh-CN"/>
        </w:rPr>
        <w:tab/>
        <w:t xml:space="preserve">to add a new Attachment 6 to Annex 1 as an example of a spectrum redeployment process based on the </w:t>
      </w:r>
      <w:r w:rsidRPr="00F265BC">
        <w:rPr>
          <w:sz w:val="24"/>
          <w:szCs w:val="24"/>
          <w:lang w:val="en-CA" w:eastAsia="zh-CN"/>
        </w:rPr>
        <w:t>USA</w:t>
      </w:r>
      <w:r w:rsidRPr="00F265BC">
        <w:rPr>
          <w:sz w:val="24"/>
          <w:szCs w:val="24"/>
          <w:lang w:eastAsia="zh-CN"/>
        </w:rPr>
        <w:t xml:space="preserve"> experience.</w:t>
      </w:r>
    </w:p>
    <w:p w:rsidR="004A7970" w:rsidRPr="00F265BC" w:rsidRDefault="004A7970" w:rsidP="004A7970">
      <w:pPr>
        <w:rPr>
          <w:sz w:val="24"/>
          <w:szCs w:val="24"/>
        </w:rPr>
      </w:pPr>
    </w:p>
    <w:p w:rsidR="004A7970" w:rsidRDefault="004A7970" w:rsidP="008A75E3">
      <w:pPr>
        <w:pStyle w:val="Headingb"/>
        <w:spacing w:before="360" w:after="120"/>
        <w:jc w:val="center"/>
      </w:pPr>
      <w:r w:rsidRPr="008A75E3">
        <w:rPr>
          <w:rFonts w:asciiTheme="majorBidi" w:hAnsiTheme="majorBidi" w:cstheme="majorBidi"/>
          <w:b w:val="0"/>
          <w:bCs/>
        </w:rPr>
        <w:t>________________</w:t>
      </w:r>
    </w:p>
    <w:sectPr w:rsidR="004A7970" w:rsidSect="00031E64">
      <w:headerReference w:type="even" r:id="rId18"/>
      <w:headerReference w:type="default" r:id="rId19"/>
      <w:headerReference w:type="first" r:id="rId20"/>
      <w:footerReference w:type="first" r:id="rId2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970" w:rsidRDefault="004A7970">
      <w:r>
        <w:separator/>
      </w:r>
    </w:p>
  </w:endnote>
  <w:endnote w:type="continuationSeparator" w:id="0">
    <w:p w:rsidR="004A7970" w:rsidRDefault="004A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970" w:rsidRDefault="004A7970">
      <w:r>
        <w:t>____________________</w:t>
      </w:r>
    </w:p>
  </w:footnote>
  <w:footnote w:type="continuationSeparator" w:id="0">
    <w:p w:rsidR="004A7970" w:rsidRDefault="004A7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84433D">
      <w:rPr>
        <w:rStyle w:val="PageNumber"/>
        <w:noProof/>
        <w:sz w:val="18"/>
        <w:szCs w:val="18"/>
      </w:rPr>
      <w:t>4</w:t>
    </w:r>
    <w:r w:rsidRPr="00BF5F50">
      <w:rPr>
        <w:rStyle w:val="PageNumber"/>
        <w:sz w:val="18"/>
        <w:szCs w:val="18"/>
      </w:rPr>
      <w:fldChar w:fldCharType="end"/>
    </w:r>
    <w:r w:rsidRPr="00BF5F5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F50" w:rsidRPr="00BF5F50" w:rsidRDefault="00BF5F50" w:rsidP="00BF5F50">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84433D">
      <w:rPr>
        <w:rStyle w:val="PageNumber"/>
        <w:noProof/>
        <w:sz w:val="18"/>
        <w:szCs w:val="18"/>
      </w:rPr>
      <w:t>3</w:t>
    </w:r>
    <w:r w:rsidRPr="00BF5F50">
      <w:rPr>
        <w:rStyle w:val="PageNumber"/>
        <w:sz w:val="18"/>
        <w:szCs w:val="18"/>
      </w:rPr>
      <w:fldChar w:fldCharType="end"/>
    </w:r>
    <w:r w:rsidRPr="00BF5F5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342FA8F7" wp14:editId="2371DA68">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4A7970"/>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90022"/>
    <w:rsid w:val="000A096A"/>
    <w:rsid w:val="000A375E"/>
    <w:rsid w:val="000A7051"/>
    <w:rsid w:val="000B0AF6"/>
    <w:rsid w:val="000B0E9B"/>
    <w:rsid w:val="000B2CAE"/>
    <w:rsid w:val="000C03C7"/>
    <w:rsid w:val="000C2AD0"/>
    <w:rsid w:val="000E3DEE"/>
    <w:rsid w:val="000E4F07"/>
    <w:rsid w:val="00100B72"/>
    <w:rsid w:val="00101F7D"/>
    <w:rsid w:val="00103C76"/>
    <w:rsid w:val="0011265F"/>
    <w:rsid w:val="00117282"/>
    <w:rsid w:val="00117389"/>
    <w:rsid w:val="00121C2D"/>
    <w:rsid w:val="00134404"/>
    <w:rsid w:val="00144DFB"/>
    <w:rsid w:val="00187CA3"/>
    <w:rsid w:val="00196710"/>
    <w:rsid w:val="00196C65"/>
    <w:rsid w:val="00197324"/>
    <w:rsid w:val="001B096A"/>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189"/>
    <w:rsid w:val="00266E74"/>
    <w:rsid w:val="00283C3B"/>
    <w:rsid w:val="002861E6"/>
    <w:rsid w:val="00287D18"/>
    <w:rsid w:val="002A2618"/>
    <w:rsid w:val="002A5DD7"/>
    <w:rsid w:val="002B0CAC"/>
    <w:rsid w:val="002D5A15"/>
    <w:rsid w:val="002D5BDD"/>
    <w:rsid w:val="002D6E85"/>
    <w:rsid w:val="002E3D27"/>
    <w:rsid w:val="002F0890"/>
    <w:rsid w:val="002F2531"/>
    <w:rsid w:val="002F4967"/>
    <w:rsid w:val="00316935"/>
    <w:rsid w:val="003266ED"/>
    <w:rsid w:val="003271D2"/>
    <w:rsid w:val="003370B8"/>
    <w:rsid w:val="00345D38"/>
    <w:rsid w:val="00352097"/>
    <w:rsid w:val="003631EA"/>
    <w:rsid w:val="003666FF"/>
    <w:rsid w:val="0037309C"/>
    <w:rsid w:val="00380A6E"/>
    <w:rsid w:val="003836D4"/>
    <w:rsid w:val="003A1F49"/>
    <w:rsid w:val="003A5D52"/>
    <w:rsid w:val="003B2BDA"/>
    <w:rsid w:val="003B55EC"/>
    <w:rsid w:val="003B691F"/>
    <w:rsid w:val="003C2EA7"/>
    <w:rsid w:val="003C4471"/>
    <w:rsid w:val="003C7D41"/>
    <w:rsid w:val="003D4A69"/>
    <w:rsid w:val="003E504F"/>
    <w:rsid w:val="003E78D6"/>
    <w:rsid w:val="00400573"/>
    <w:rsid w:val="004007A3"/>
    <w:rsid w:val="00406D71"/>
    <w:rsid w:val="004326DB"/>
    <w:rsid w:val="0043682E"/>
    <w:rsid w:val="00447ECB"/>
    <w:rsid w:val="004623F7"/>
    <w:rsid w:val="0046720A"/>
    <w:rsid w:val="00480F51"/>
    <w:rsid w:val="00481124"/>
    <w:rsid w:val="004815EB"/>
    <w:rsid w:val="00487569"/>
    <w:rsid w:val="00496864"/>
    <w:rsid w:val="00496920"/>
    <w:rsid w:val="004A4496"/>
    <w:rsid w:val="004A7970"/>
    <w:rsid w:val="004B11AB"/>
    <w:rsid w:val="004B120D"/>
    <w:rsid w:val="004B7971"/>
    <w:rsid w:val="004B7C9A"/>
    <w:rsid w:val="004C6779"/>
    <w:rsid w:val="004D2432"/>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A7C57"/>
    <w:rsid w:val="005B214C"/>
    <w:rsid w:val="005C776B"/>
    <w:rsid w:val="005D3669"/>
    <w:rsid w:val="005E5EB3"/>
    <w:rsid w:val="005F3CB6"/>
    <w:rsid w:val="005F657C"/>
    <w:rsid w:val="00602D53"/>
    <w:rsid w:val="006047E5"/>
    <w:rsid w:val="0064371D"/>
    <w:rsid w:val="00650B2A"/>
    <w:rsid w:val="00651777"/>
    <w:rsid w:val="006550F8"/>
    <w:rsid w:val="00656226"/>
    <w:rsid w:val="006829F3"/>
    <w:rsid w:val="006A518B"/>
    <w:rsid w:val="006B0590"/>
    <w:rsid w:val="006B49DA"/>
    <w:rsid w:val="006C53F8"/>
    <w:rsid w:val="006C7CDE"/>
    <w:rsid w:val="006E0129"/>
    <w:rsid w:val="007234B1"/>
    <w:rsid w:val="00723D08"/>
    <w:rsid w:val="00725FDA"/>
    <w:rsid w:val="00727816"/>
    <w:rsid w:val="00730B9A"/>
    <w:rsid w:val="00750CFA"/>
    <w:rsid w:val="007553DA"/>
    <w:rsid w:val="0077406E"/>
    <w:rsid w:val="00782354"/>
    <w:rsid w:val="007921A7"/>
    <w:rsid w:val="007A7860"/>
    <w:rsid w:val="007B3DB1"/>
    <w:rsid w:val="007D183E"/>
    <w:rsid w:val="007D43D0"/>
    <w:rsid w:val="007E1833"/>
    <w:rsid w:val="007E3F13"/>
    <w:rsid w:val="007F751A"/>
    <w:rsid w:val="00800012"/>
    <w:rsid w:val="0080261F"/>
    <w:rsid w:val="00806160"/>
    <w:rsid w:val="008143A4"/>
    <w:rsid w:val="0081513E"/>
    <w:rsid w:val="0084433D"/>
    <w:rsid w:val="00854131"/>
    <w:rsid w:val="0085652D"/>
    <w:rsid w:val="0087694B"/>
    <w:rsid w:val="00880F4D"/>
    <w:rsid w:val="008A75E3"/>
    <w:rsid w:val="008B35A3"/>
    <w:rsid w:val="008B37E1"/>
    <w:rsid w:val="008B45F8"/>
    <w:rsid w:val="008C2E74"/>
    <w:rsid w:val="008D5409"/>
    <w:rsid w:val="008E006D"/>
    <w:rsid w:val="008E38B4"/>
    <w:rsid w:val="008F4F21"/>
    <w:rsid w:val="00904D4A"/>
    <w:rsid w:val="00904ECB"/>
    <w:rsid w:val="009151BA"/>
    <w:rsid w:val="00925023"/>
    <w:rsid w:val="009277BC"/>
    <w:rsid w:val="00927D57"/>
    <w:rsid w:val="00931A51"/>
    <w:rsid w:val="00944805"/>
    <w:rsid w:val="00947185"/>
    <w:rsid w:val="009518B3"/>
    <w:rsid w:val="00955A28"/>
    <w:rsid w:val="00963D9D"/>
    <w:rsid w:val="00966191"/>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45D9A"/>
    <w:rsid w:val="00A52F5B"/>
    <w:rsid w:val="00A63355"/>
    <w:rsid w:val="00A7596D"/>
    <w:rsid w:val="00A963DF"/>
    <w:rsid w:val="00AC0C22"/>
    <w:rsid w:val="00AC3896"/>
    <w:rsid w:val="00AD2CF2"/>
    <w:rsid w:val="00AE2D88"/>
    <w:rsid w:val="00AE6F6F"/>
    <w:rsid w:val="00AF3325"/>
    <w:rsid w:val="00AF34D9"/>
    <w:rsid w:val="00AF70DA"/>
    <w:rsid w:val="00B019D3"/>
    <w:rsid w:val="00B34CF9"/>
    <w:rsid w:val="00B37559"/>
    <w:rsid w:val="00B4054B"/>
    <w:rsid w:val="00B500FB"/>
    <w:rsid w:val="00B579B0"/>
    <w:rsid w:val="00B57D11"/>
    <w:rsid w:val="00B57F3C"/>
    <w:rsid w:val="00B649D7"/>
    <w:rsid w:val="00B81C2F"/>
    <w:rsid w:val="00B90743"/>
    <w:rsid w:val="00B90C45"/>
    <w:rsid w:val="00B933BE"/>
    <w:rsid w:val="00BD6738"/>
    <w:rsid w:val="00BD7E5E"/>
    <w:rsid w:val="00BE63DB"/>
    <w:rsid w:val="00BE6574"/>
    <w:rsid w:val="00BF5F50"/>
    <w:rsid w:val="00C07319"/>
    <w:rsid w:val="00C103E4"/>
    <w:rsid w:val="00C16FD2"/>
    <w:rsid w:val="00C37F98"/>
    <w:rsid w:val="00C4395E"/>
    <w:rsid w:val="00C47FFD"/>
    <w:rsid w:val="00C51E92"/>
    <w:rsid w:val="00C57E2C"/>
    <w:rsid w:val="00C608B7"/>
    <w:rsid w:val="00C66F24"/>
    <w:rsid w:val="00C76D7F"/>
    <w:rsid w:val="00C813AA"/>
    <w:rsid w:val="00C818D7"/>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16A9"/>
    <w:rsid w:val="00DA383E"/>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46C70"/>
    <w:rsid w:val="00E520E2"/>
    <w:rsid w:val="00E530C4"/>
    <w:rsid w:val="00E55996"/>
    <w:rsid w:val="00E64254"/>
    <w:rsid w:val="00E67928"/>
    <w:rsid w:val="00E70FB5"/>
    <w:rsid w:val="00E915AF"/>
    <w:rsid w:val="00E96415"/>
    <w:rsid w:val="00EA15B3"/>
    <w:rsid w:val="00EB2358"/>
    <w:rsid w:val="00EB3EB8"/>
    <w:rsid w:val="00EC02FE"/>
    <w:rsid w:val="00EC4A96"/>
    <w:rsid w:val="00F265BC"/>
    <w:rsid w:val="00F31BFC"/>
    <w:rsid w:val="00F424BF"/>
    <w:rsid w:val="00F44FC3"/>
    <w:rsid w:val="00F46107"/>
    <w:rsid w:val="00F468C5"/>
    <w:rsid w:val="00F52F39"/>
    <w:rsid w:val="00F6184F"/>
    <w:rsid w:val="00F63323"/>
    <w:rsid w:val="00F802CD"/>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character" w:styleId="FollowedHyperlink">
    <w:name w:val="FollowedHyperlink"/>
    <w:basedOn w:val="DefaultParagraphFont"/>
    <w:rsid w:val="000E4F07"/>
    <w:rPr>
      <w:color w:val="800080" w:themeColor="followedHyperlink"/>
      <w:u w:val="single"/>
    </w:rPr>
  </w:style>
  <w:style w:type="character" w:customStyle="1" w:styleId="enumlev1Char">
    <w:name w:val="enumlev1 Char"/>
    <w:link w:val="enumlev1"/>
    <w:locked/>
    <w:rsid w:val="00F265BC"/>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4A7970"/>
    <w:pPr>
      <w:spacing w:before="120" w:line="240" w:lineRule="auto"/>
      <w:ind w:left="720"/>
      <w:contextualSpacing/>
      <w:jc w:val="left"/>
    </w:pPr>
    <w:rPr>
      <w:rFonts w:ascii="Times New Roman" w:hAnsi="Times New Roman" w:cs="Times New Roman"/>
      <w:sz w:val="24"/>
      <w:szCs w:val="20"/>
      <w:lang w:val="en-GB"/>
    </w:rPr>
  </w:style>
  <w:style w:type="paragraph" w:customStyle="1" w:styleId="AnnexNotitle0">
    <w:name w:val="Annex_No &amp; title"/>
    <w:basedOn w:val="Normal"/>
    <w:next w:val="Normalaftertitle"/>
    <w:uiPriority w:val="99"/>
    <w:rsid w:val="004A797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4A797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4A7970"/>
    <w:rPr>
      <w:rFonts w:ascii="Times New Roman" w:hAnsi="Times New Roman" w:cs="Times New Roman"/>
      <w:sz w:val="16"/>
      <w:lang w:val="en-GB" w:eastAsia="en-US"/>
    </w:rPr>
  </w:style>
  <w:style w:type="character" w:customStyle="1" w:styleId="RectitleChar">
    <w:name w:val="Rec_title Char"/>
    <w:link w:val="Rectitle"/>
    <w:uiPriority w:val="99"/>
    <w:rsid w:val="004A7970"/>
    <w:rPr>
      <w:b/>
      <w:sz w:val="28"/>
      <w:szCs w:val="22"/>
      <w:lang w:val="en-US" w:eastAsia="en-US"/>
    </w:rPr>
  </w:style>
  <w:style w:type="character" w:customStyle="1" w:styleId="FooterChar">
    <w:name w:val="Footer Char"/>
    <w:basedOn w:val="DefaultParagraphFont"/>
    <w:link w:val="Footer"/>
    <w:uiPriority w:val="99"/>
    <w:rsid w:val="004B7971"/>
    <w:rPr>
      <w:sz w:val="22"/>
      <w:szCs w:val="22"/>
      <w:lang w:val="en-US" w:eastAsia="en-US"/>
    </w:rPr>
  </w:style>
  <w:style w:type="character" w:styleId="FollowedHyperlink">
    <w:name w:val="FollowedHyperlink"/>
    <w:basedOn w:val="DefaultParagraphFont"/>
    <w:rsid w:val="000E4F07"/>
    <w:rPr>
      <w:color w:val="800080" w:themeColor="followedHyperlink"/>
      <w:u w:val="single"/>
    </w:rPr>
  </w:style>
  <w:style w:type="character" w:customStyle="1" w:styleId="enumlev1Char">
    <w:name w:val="enumlev1 Char"/>
    <w:link w:val="enumlev1"/>
    <w:locked/>
    <w:rsid w:val="00F265BC"/>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SG01-C-0098/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tu.int/md/R12-SG01-C-0097/en" TargetMode="External"/><Relationship Id="rId17" Type="http://schemas.openxmlformats.org/officeDocument/2006/relationships/hyperlink" Target="http://www.itu.int/pub/R-REP-SM.2258" TargetMode="External"/><Relationship Id="rId2" Type="http://schemas.openxmlformats.org/officeDocument/2006/relationships/numbering" Target="numbering.xml"/><Relationship Id="rId16" Type="http://schemas.openxmlformats.org/officeDocument/2006/relationships/hyperlink" Target="http://www.itu.int/md/R12-SG01-C/e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SG01-C-0096/en" TargetMode="External"/><Relationship Id="rId5" Type="http://schemas.openxmlformats.org/officeDocument/2006/relationships/settings" Target="settings.xml"/><Relationship Id="rId15" Type="http://schemas.openxmlformats.org/officeDocument/2006/relationships/hyperlink" Target="http://www.itu.int/md/R12-SG01-C-0103/en" TargetMode="External"/><Relationship Id="rId23" Type="http://schemas.openxmlformats.org/officeDocument/2006/relationships/theme" Target="theme/theme1.xml"/><Relationship Id="rId10" Type="http://schemas.openxmlformats.org/officeDocument/2006/relationships/hyperlink" Target="http://www.itu.int/en/ITU-T/ipr/Pages/policy.aspx"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itu.int/pub/R-REC" TargetMode="External"/><Relationship Id="rId14" Type="http://schemas.openxmlformats.org/officeDocument/2006/relationships/hyperlink" Target="http://www.itu.int/md/R12-SG01-C-0102/e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AD900-47EA-4D2C-B292-007D5025D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49</TotalTime>
  <Pages>4</Pages>
  <Words>1179</Words>
  <Characters>6725</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7889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ITU</cp:lastModifiedBy>
  <cp:revision>12</cp:revision>
  <cp:lastPrinted>2014-06-18T12:29:00Z</cp:lastPrinted>
  <dcterms:created xsi:type="dcterms:W3CDTF">2014-06-18T08:35:00Z</dcterms:created>
  <dcterms:modified xsi:type="dcterms:W3CDTF">2014-06-27T09:01:00Z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