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8C1486" w:rsidRPr="007B3DB1" w:rsidTr="007F5329">
        <w:tc>
          <w:tcPr>
            <w:tcW w:w="9889" w:type="dxa"/>
            <w:gridSpan w:val="3"/>
            <w:shd w:val="clear" w:color="auto" w:fill="auto"/>
          </w:tcPr>
          <w:p w:rsidR="008C1486" w:rsidRPr="009C6A12" w:rsidRDefault="008C1486" w:rsidP="000D32D5">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C1486" w:rsidRDefault="008C1486" w:rsidP="000D32D5">
            <w:pPr>
              <w:spacing w:before="0" w:line="240" w:lineRule="auto"/>
              <w:jc w:val="left"/>
              <w:rPr>
                <w:rFonts w:cstheme="minorHAnsi"/>
                <w:b/>
                <w:bCs/>
                <w:color w:val="808080"/>
                <w:sz w:val="28"/>
                <w:szCs w:val="28"/>
                <w:lang w:val="en-GB"/>
              </w:rPr>
            </w:pPr>
          </w:p>
          <w:p w:rsidR="008C1486" w:rsidRPr="00AF70DA" w:rsidRDefault="008C1486" w:rsidP="000D32D5">
            <w:pPr>
              <w:spacing w:before="0" w:line="240" w:lineRule="auto"/>
              <w:jc w:val="left"/>
              <w:rPr>
                <w:rFonts w:cs="Times New Roman Bold"/>
                <w:b/>
                <w:bCs/>
                <w:color w:val="808080"/>
                <w:sz w:val="28"/>
                <w:szCs w:val="28"/>
                <w:lang w:val="en-GB"/>
              </w:rPr>
            </w:pPr>
          </w:p>
        </w:tc>
      </w:tr>
      <w:tr w:rsidR="008C1486" w:rsidRPr="00334544" w:rsidTr="007F5329">
        <w:tc>
          <w:tcPr>
            <w:tcW w:w="7054" w:type="dxa"/>
            <w:gridSpan w:val="2"/>
            <w:shd w:val="clear" w:color="auto" w:fill="auto"/>
          </w:tcPr>
          <w:p w:rsidR="008C1486" w:rsidRPr="00334544" w:rsidRDefault="008C1486" w:rsidP="000D32D5">
            <w:pPr>
              <w:spacing w:before="0" w:line="240" w:lineRule="auto"/>
              <w:jc w:val="left"/>
              <w:rPr>
                <w:szCs w:val="24"/>
                <w:lang w:val="fr-CH"/>
              </w:rPr>
            </w:pPr>
            <w:r w:rsidRPr="00334544">
              <w:rPr>
                <w:rFonts w:ascii="SimSun" w:hAnsi="SimSun" w:hint="eastAsia"/>
                <w:szCs w:val="24"/>
                <w:lang w:eastAsia="zh-CN"/>
              </w:rPr>
              <w:t>行政通函</w:t>
            </w:r>
          </w:p>
          <w:p w:rsidR="008C1486" w:rsidRPr="00334544" w:rsidRDefault="008C1486" w:rsidP="008E5B77">
            <w:pPr>
              <w:spacing w:before="0" w:line="240" w:lineRule="auto"/>
              <w:jc w:val="left"/>
              <w:rPr>
                <w:b/>
                <w:bCs/>
                <w:szCs w:val="24"/>
                <w:lang w:val="fr-CH" w:eastAsia="zh-CN"/>
              </w:rPr>
            </w:pPr>
            <w:r w:rsidRPr="00334544">
              <w:rPr>
                <w:b/>
                <w:bCs/>
                <w:szCs w:val="24"/>
                <w:lang w:val="fr-CH"/>
              </w:rPr>
              <w:t>CA/</w:t>
            </w:r>
            <w:r>
              <w:rPr>
                <w:rFonts w:hint="eastAsia"/>
                <w:b/>
                <w:bCs/>
                <w:szCs w:val="24"/>
                <w:lang w:val="fr-CH" w:eastAsia="zh-CN"/>
              </w:rPr>
              <w:t>6</w:t>
            </w:r>
            <w:r w:rsidR="008E5B77">
              <w:rPr>
                <w:b/>
                <w:bCs/>
                <w:szCs w:val="24"/>
                <w:lang w:val="fr-CH" w:eastAsia="zh-CN"/>
              </w:rPr>
              <w:t>75</w:t>
            </w:r>
          </w:p>
        </w:tc>
        <w:tc>
          <w:tcPr>
            <w:tcW w:w="2835" w:type="dxa"/>
            <w:shd w:val="clear" w:color="auto" w:fill="auto"/>
          </w:tcPr>
          <w:p w:rsidR="008C1486" w:rsidRPr="00334544" w:rsidRDefault="008C1486" w:rsidP="008E5B77">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8E5B77">
              <w:rPr>
                <w:szCs w:val="24"/>
                <w:lang w:eastAsia="zh-CN"/>
              </w:rPr>
              <w:t>4</w:t>
            </w:r>
            <w:r w:rsidRPr="00334544">
              <w:rPr>
                <w:rFonts w:ascii="SimSun" w:hAnsi="SimSun" w:hint="eastAsia"/>
                <w:szCs w:val="24"/>
                <w:lang w:eastAsia="zh-CN"/>
              </w:rPr>
              <w:t>年</w:t>
            </w:r>
            <w:r w:rsidR="007A2BE1">
              <w:rPr>
                <w:rFonts w:hint="eastAsia"/>
                <w:szCs w:val="24"/>
                <w:lang w:eastAsia="zh-CN"/>
              </w:rPr>
              <w:t>6</w:t>
            </w:r>
            <w:r w:rsidRPr="00334544">
              <w:rPr>
                <w:rFonts w:ascii="SimSun" w:hAnsi="SimSun" w:hint="eastAsia"/>
                <w:szCs w:val="24"/>
                <w:lang w:eastAsia="zh-CN"/>
              </w:rPr>
              <w:t>月</w:t>
            </w:r>
            <w:r w:rsidR="007A2BE1">
              <w:rPr>
                <w:rFonts w:hint="eastAsia"/>
                <w:szCs w:val="24"/>
                <w:lang w:eastAsia="zh-CN"/>
              </w:rPr>
              <w:t>2</w:t>
            </w:r>
            <w:r w:rsidR="008E5B77">
              <w:rPr>
                <w:szCs w:val="24"/>
                <w:lang w:eastAsia="zh-CN"/>
              </w:rPr>
              <w:t>7</w:t>
            </w:r>
            <w:r w:rsidRPr="00334544">
              <w:rPr>
                <w:rFonts w:ascii="SimSun" w:eastAsia="SimSun" w:hAnsi="SimSun" w:cs="SimSun" w:hint="eastAsia"/>
                <w:szCs w:val="24"/>
                <w:lang w:eastAsia="zh-CN"/>
              </w:rPr>
              <w:t>日</w:t>
            </w: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rFonts w:cs="Arial"/>
                <w:szCs w:val="24"/>
                <w:lang w:val="en-GB"/>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szCs w:val="24"/>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b/>
                <w:bCs/>
                <w:szCs w:val="24"/>
                <w:lang w:eastAsia="zh-CN"/>
              </w:rPr>
            </w:pPr>
            <w:r w:rsidRPr="001B22EA">
              <w:rPr>
                <w:rFonts w:eastAsia="SimSun" w:hint="eastAsia"/>
                <w:b/>
                <w:bCs/>
                <w:szCs w:val="24"/>
                <w:lang w:eastAsia="zh-CN"/>
              </w:rPr>
              <w:t>致国际电联成员国主管部门、无线电通信部门成员</w:t>
            </w:r>
            <w:r>
              <w:rPr>
                <w:rFonts w:eastAsia="SimSun"/>
                <w:b/>
                <w:bCs/>
                <w:szCs w:val="24"/>
                <w:lang w:eastAsia="zh-CN"/>
              </w:rPr>
              <w:br/>
            </w:r>
            <w:r w:rsidRPr="001B22EA">
              <w:rPr>
                <w:rFonts w:eastAsia="SimSun" w:hint="eastAsia"/>
                <w:b/>
                <w:bCs/>
                <w:szCs w:val="24"/>
                <w:lang w:eastAsia="zh-CN"/>
              </w:rPr>
              <w:t>和参加无线电通信</w:t>
            </w:r>
            <w:r w:rsidRPr="001B22EA">
              <w:rPr>
                <w:rFonts w:eastAsia="SimSun" w:hint="eastAsia"/>
                <w:b/>
                <w:bCs/>
                <w:szCs w:val="24"/>
                <w:lang w:val="fr-CH" w:eastAsia="zh-CN"/>
              </w:rPr>
              <w:t>第</w:t>
            </w:r>
            <w:r w:rsidR="007A2BE1">
              <w:rPr>
                <w:rFonts w:eastAsia="SimSun" w:hint="eastAsia"/>
                <w:b/>
                <w:bCs/>
                <w:szCs w:val="24"/>
                <w:lang w:val="fr-CH" w:eastAsia="zh-CN"/>
              </w:rPr>
              <w:t>1</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rFonts w:eastAsia="SimSun"/>
                <w:szCs w:val="24"/>
              </w:rPr>
            </w:pPr>
            <w:r w:rsidRPr="001B22EA">
              <w:rPr>
                <w:rFonts w:eastAsia="SimSun" w:hint="eastAsia"/>
                <w:szCs w:val="24"/>
                <w:lang w:val="en-CA"/>
              </w:rPr>
              <w:t>事由：</w:t>
            </w:r>
          </w:p>
        </w:tc>
        <w:tc>
          <w:tcPr>
            <w:tcW w:w="8363" w:type="dxa"/>
            <w:gridSpan w:val="2"/>
            <w:vMerge w:val="restart"/>
            <w:shd w:val="clear" w:color="auto" w:fill="auto"/>
          </w:tcPr>
          <w:p w:rsidR="008C1486" w:rsidRPr="001B22EA" w:rsidRDefault="008C1486" w:rsidP="000D32D5">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7A2BE1">
              <w:rPr>
                <w:rFonts w:eastAsia="SimSun" w:hint="eastAsia"/>
                <w:b/>
                <w:bCs/>
                <w:szCs w:val="24"/>
                <w:lang w:eastAsia="zh-CN"/>
              </w:rPr>
              <w:t>1</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7A2BE1">
              <w:rPr>
                <w:rFonts w:ascii="SimSun" w:eastAsia="SimSun" w:hAnsi="SimSun" w:cs="SimSun" w:hint="eastAsia"/>
                <w:b/>
                <w:bCs/>
                <w:szCs w:val="24"/>
                <w:lang w:eastAsia="zh-CN"/>
              </w:rPr>
              <w:t>频谱管理</w:t>
            </w:r>
            <w:r w:rsidRPr="00DE7784">
              <w:rPr>
                <w:rFonts w:ascii="SimSun" w:eastAsia="SimSun" w:hAnsi="SimSun" w:cs="SimSun" w:hint="eastAsia"/>
                <w:b/>
                <w:bCs/>
                <w:szCs w:val="24"/>
                <w:lang w:eastAsia="zh-CN"/>
              </w:rPr>
              <w:t>）</w:t>
            </w:r>
          </w:p>
          <w:p w:rsidR="008C1486" w:rsidRPr="001B22EA" w:rsidRDefault="00DC75FB" w:rsidP="008E5B77">
            <w:pPr>
              <w:tabs>
                <w:tab w:val="clear" w:pos="794"/>
                <w:tab w:val="clear" w:pos="1191"/>
                <w:tab w:val="clear" w:pos="1588"/>
                <w:tab w:val="clear" w:pos="1985"/>
                <w:tab w:val="left" w:pos="1843"/>
              </w:tabs>
              <w:spacing w:line="240" w:lineRule="auto"/>
              <w:ind w:left="317" w:hanging="317"/>
              <w:rPr>
                <w:rFonts w:eastAsia="SimSun"/>
                <w:b/>
                <w:bCs/>
                <w:szCs w:val="24"/>
                <w:lang w:eastAsia="zh-CN"/>
              </w:rPr>
            </w:pPr>
            <w:r w:rsidRPr="00722C6B">
              <w:rPr>
                <w:b/>
                <w:bCs/>
                <w:lang w:eastAsia="zh-CN"/>
              </w:rPr>
              <w:t>–</w:t>
            </w:r>
            <w:r w:rsidRPr="00722C6B">
              <w:rPr>
                <w:b/>
                <w:bCs/>
                <w:lang w:eastAsia="zh-CN"/>
              </w:rPr>
              <w:tab/>
            </w:r>
            <w:r w:rsidRPr="007A4BDF">
              <w:rPr>
                <w:rFonts w:cs="SimSun" w:hint="eastAsia"/>
                <w:b/>
                <w:bCs/>
                <w:lang w:eastAsia="zh-CN"/>
              </w:rPr>
              <w:t>建议按照</w:t>
            </w:r>
            <w:r w:rsidRPr="007A4BDF">
              <w:rPr>
                <w:rFonts w:cs="SimSun"/>
                <w:b/>
                <w:bCs/>
                <w:lang w:eastAsia="zh-CN"/>
              </w:rPr>
              <w:t>ITU-R</w:t>
            </w:r>
            <w:r w:rsidRPr="007A4BDF">
              <w:rPr>
                <w:rFonts w:cs="SimSun" w:hint="eastAsia"/>
                <w:b/>
                <w:bCs/>
                <w:lang w:eastAsia="zh-CN"/>
              </w:rPr>
              <w:t>第</w:t>
            </w:r>
            <w:r>
              <w:rPr>
                <w:rFonts w:cs="SimSun"/>
                <w:b/>
                <w:bCs/>
                <w:lang w:eastAsia="zh-CN"/>
              </w:rPr>
              <w:t>1-</w:t>
            </w:r>
            <w:r>
              <w:rPr>
                <w:rFonts w:cs="SimSun" w:hint="eastAsia"/>
                <w:b/>
                <w:bCs/>
                <w:lang w:eastAsia="zh-CN"/>
              </w:rPr>
              <w:t>6</w:t>
            </w:r>
            <w:r w:rsidRPr="007A4BDF">
              <w:rPr>
                <w:rFonts w:cs="SimSun" w:hint="eastAsia"/>
                <w:b/>
                <w:bCs/>
                <w:lang w:eastAsia="zh-CN"/>
              </w:rPr>
              <w:t>号决议第</w:t>
            </w:r>
            <w:r w:rsidRPr="007A4BDF">
              <w:rPr>
                <w:rFonts w:cs="SimSun"/>
                <w:b/>
                <w:bCs/>
                <w:lang w:eastAsia="zh-CN"/>
              </w:rPr>
              <w:t>10.3</w:t>
            </w:r>
            <w:r w:rsidRPr="007A4BDF">
              <w:rPr>
                <w:rFonts w:cs="SimSun" w:hint="eastAsia"/>
                <w:b/>
                <w:bCs/>
                <w:lang w:eastAsia="zh-CN"/>
              </w:rPr>
              <w:t>段的规定（以信函方式同时通过和批准</w:t>
            </w:r>
            <w:r w:rsidRPr="007A4BDF">
              <w:rPr>
                <w:rFonts w:cs="SimSun"/>
                <w:b/>
                <w:bCs/>
                <w:lang w:eastAsia="zh-CN"/>
              </w:rPr>
              <w:br/>
            </w:r>
            <w:r w:rsidRPr="007A4BDF">
              <w:rPr>
                <w:rFonts w:cs="SimSun" w:hint="eastAsia"/>
                <w:b/>
                <w:bCs/>
                <w:lang w:eastAsia="zh-CN"/>
              </w:rPr>
              <w:t>的程序）</w:t>
            </w:r>
            <w:r>
              <w:rPr>
                <w:rFonts w:cs="SimSun" w:hint="eastAsia"/>
                <w:b/>
                <w:bCs/>
                <w:lang w:eastAsia="zh-CN"/>
              </w:rPr>
              <w:t>，</w:t>
            </w:r>
            <w:r w:rsidRPr="007A4BDF">
              <w:rPr>
                <w:rFonts w:cs="SimSun" w:hint="eastAsia"/>
                <w:b/>
                <w:bCs/>
                <w:lang w:eastAsia="zh-CN"/>
              </w:rPr>
              <w:t>以信函方式通过并同时批准</w:t>
            </w:r>
            <w:r w:rsidR="008E5B77">
              <w:rPr>
                <w:b/>
                <w:bCs/>
                <w:lang w:val="fr-FR" w:eastAsia="zh-CN"/>
              </w:rPr>
              <w:t>5</w:t>
            </w:r>
            <w:r>
              <w:rPr>
                <w:rFonts w:cs="SimSun" w:hint="eastAsia"/>
                <w:b/>
                <w:bCs/>
                <w:lang w:eastAsia="zh-CN"/>
              </w:rPr>
              <w:t>份</w:t>
            </w:r>
            <w:r>
              <w:rPr>
                <w:b/>
                <w:bCs/>
                <w:lang w:eastAsia="zh-CN"/>
              </w:rPr>
              <w:t>ITU-R</w:t>
            </w:r>
            <w:r w:rsidRPr="007A4BDF">
              <w:rPr>
                <w:rFonts w:cs="SimSun" w:hint="eastAsia"/>
                <w:b/>
                <w:bCs/>
                <w:lang w:eastAsia="zh-CN"/>
              </w:rPr>
              <w:t>经修订的建议书草案</w:t>
            </w:r>
          </w:p>
          <w:p w:rsidR="008C1486" w:rsidRPr="001B22EA" w:rsidRDefault="008C1486" w:rsidP="000D32D5">
            <w:pPr>
              <w:tabs>
                <w:tab w:val="clear" w:pos="1588"/>
                <w:tab w:val="left" w:pos="1560"/>
              </w:tabs>
              <w:spacing w:before="0" w:line="240" w:lineRule="auto"/>
              <w:rPr>
                <w:rFonts w:eastAsia="SimSun"/>
                <w:b/>
                <w:bCs/>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1526" w:type="dxa"/>
            <w:shd w:val="clear" w:color="auto" w:fill="auto"/>
          </w:tcPr>
          <w:p w:rsidR="008C1486" w:rsidRPr="00334544" w:rsidRDefault="008C1486" w:rsidP="000D32D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9889" w:type="dxa"/>
            <w:gridSpan w:val="3"/>
            <w:shd w:val="clear" w:color="auto" w:fill="auto"/>
          </w:tcPr>
          <w:p w:rsidR="008C1486" w:rsidRPr="00334544" w:rsidRDefault="008C1486" w:rsidP="000D32D5">
            <w:pPr>
              <w:tabs>
                <w:tab w:val="clear" w:pos="1588"/>
                <w:tab w:val="left" w:pos="1560"/>
              </w:tabs>
              <w:spacing w:before="0" w:line="240" w:lineRule="auto"/>
              <w:jc w:val="left"/>
              <w:rPr>
                <w:szCs w:val="24"/>
                <w:lang w:eastAsia="zh-CN"/>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b/>
                <w:bCs/>
                <w:szCs w:val="24"/>
                <w:lang w:eastAsia="zh-CN"/>
              </w:rPr>
            </w:pPr>
          </w:p>
        </w:tc>
      </w:tr>
    </w:tbl>
    <w:p w:rsidR="00DC75FB" w:rsidRPr="001D7223" w:rsidRDefault="00DC75FB" w:rsidP="008E5B77">
      <w:pPr>
        <w:spacing w:before="240"/>
        <w:ind w:firstLineChars="200" w:firstLine="480"/>
        <w:rPr>
          <w:rFonts w:asciiTheme="minorHAnsi" w:hAnsiTheme="minorHAnsi" w:cstheme="minorHAnsi"/>
          <w:lang w:eastAsia="zh-CN"/>
        </w:rPr>
      </w:pPr>
      <w:r w:rsidRPr="001D7223">
        <w:rPr>
          <w:rFonts w:asciiTheme="minorHAnsi" w:hAnsiTheme="minorHAnsi" w:cstheme="minorHAnsi"/>
          <w:lang w:eastAsia="zh-CN"/>
        </w:rPr>
        <w:t>在</w:t>
      </w:r>
      <w:r w:rsidRPr="001D7223">
        <w:rPr>
          <w:rFonts w:asciiTheme="minorHAnsi" w:hAnsiTheme="minorHAnsi" w:cstheme="minorHAnsi"/>
          <w:lang w:eastAsia="zh-CN"/>
        </w:rPr>
        <w:t>201</w:t>
      </w:r>
      <w:r w:rsidR="008E5B77">
        <w:rPr>
          <w:rFonts w:asciiTheme="minorHAnsi" w:hAnsiTheme="minorHAnsi" w:cstheme="minorHAnsi"/>
          <w:lang w:eastAsia="zh-CN"/>
        </w:rPr>
        <w:t>4</w:t>
      </w:r>
      <w:r w:rsidRPr="001D7223">
        <w:rPr>
          <w:rFonts w:asciiTheme="minorHAnsi" w:hAnsiTheme="minorHAnsi" w:cstheme="minorHAnsi"/>
          <w:lang w:eastAsia="zh-CN"/>
        </w:rPr>
        <w:t>年</w:t>
      </w:r>
      <w:r w:rsidRPr="001D7223">
        <w:rPr>
          <w:rFonts w:asciiTheme="minorHAnsi" w:hAnsiTheme="minorHAnsi" w:cstheme="minorHAnsi"/>
          <w:lang w:eastAsia="zh-CN"/>
        </w:rPr>
        <w:t>6</w:t>
      </w:r>
      <w:r w:rsidRPr="001D7223">
        <w:rPr>
          <w:rFonts w:asciiTheme="minorHAnsi" w:hAnsiTheme="minorHAnsi" w:cstheme="minorHAnsi"/>
          <w:lang w:eastAsia="zh-CN"/>
        </w:rPr>
        <w:t>月</w:t>
      </w:r>
      <w:r w:rsidRPr="001D7223">
        <w:rPr>
          <w:rFonts w:asciiTheme="minorHAnsi" w:hAnsiTheme="minorHAnsi" w:cstheme="minorHAnsi"/>
          <w:lang w:eastAsia="zh-CN"/>
        </w:rPr>
        <w:t>12</w:t>
      </w:r>
      <w:r w:rsidRPr="001D7223">
        <w:rPr>
          <w:rFonts w:asciiTheme="minorHAnsi" w:hAnsiTheme="minorHAnsi" w:cstheme="minorHAnsi"/>
          <w:lang w:eastAsia="zh-CN"/>
        </w:rPr>
        <w:t>日召开的无线电通信第</w:t>
      </w:r>
      <w:r w:rsidRPr="001D7223">
        <w:rPr>
          <w:rFonts w:asciiTheme="minorHAnsi" w:hAnsiTheme="minorHAnsi" w:cstheme="minorHAnsi"/>
          <w:lang w:eastAsia="zh-CN"/>
        </w:rPr>
        <w:t>1</w:t>
      </w:r>
      <w:r w:rsidRPr="001D7223">
        <w:rPr>
          <w:rFonts w:asciiTheme="minorHAnsi" w:hAnsiTheme="minorHAnsi" w:cstheme="minorHAnsi"/>
          <w:lang w:eastAsia="zh-CN"/>
        </w:rPr>
        <w:t>研究组会议上，研究组做出决定，寻求以信函方式通过</w:t>
      </w:r>
      <w:r w:rsidR="008E5B77">
        <w:rPr>
          <w:rFonts w:asciiTheme="minorHAnsi" w:hAnsiTheme="minorHAnsi" w:cstheme="minorHAnsi"/>
          <w:lang w:eastAsia="zh-CN"/>
        </w:rPr>
        <w:t>5</w:t>
      </w:r>
      <w:r w:rsidRPr="001D7223">
        <w:rPr>
          <w:rFonts w:asciiTheme="minorHAnsi" w:hAnsiTheme="minorHAnsi" w:cstheme="minorHAnsi"/>
          <w:lang w:eastAsia="zh-CN"/>
        </w:rPr>
        <w:t>份</w:t>
      </w:r>
      <w:r w:rsidRPr="001D7223">
        <w:rPr>
          <w:rFonts w:asciiTheme="minorHAnsi" w:hAnsiTheme="minorHAnsi" w:cstheme="minorHAnsi"/>
          <w:lang w:eastAsia="zh-CN"/>
        </w:rPr>
        <w:t>ITU-R</w:t>
      </w:r>
      <w:r w:rsidRPr="001D7223">
        <w:rPr>
          <w:rFonts w:asciiTheme="minorHAnsi" w:hAnsiTheme="minorHAnsi" w:cstheme="minorHAnsi"/>
          <w:lang w:eastAsia="zh-CN"/>
        </w:rPr>
        <w:t>经修订的建议书草案（</w:t>
      </w:r>
      <w:r w:rsidRPr="001D7223">
        <w:rPr>
          <w:rFonts w:asciiTheme="minorHAnsi" w:hAnsiTheme="minorHAnsi" w:cstheme="minorHAnsi"/>
          <w:lang w:eastAsia="zh-CN"/>
        </w:rPr>
        <w:t>ITU-R</w:t>
      </w:r>
      <w:r w:rsidRPr="001D7223">
        <w:rPr>
          <w:rFonts w:asciiTheme="minorHAnsi" w:hAnsiTheme="minorHAnsi" w:cstheme="minorHAnsi"/>
          <w:lang w:eastAsia="zh-CN"/>
        </w:rPr>
        <w:t>第</w:t>
      </w:r>
      <w:r w:rsidRPr="001D7223">
        <w:rPr>
          <w:rFonts w:asciiTheme="minorHAnsi" w:hAnsiTheme="minorHAnsi" w:cstheme="minorHAnsi"/>
          <w:lang w:eastAsia="zh-CN"/>
        </w:rPr>
        <w:t>1-6</w:t>
      </w:r>
      <w:r w:rsidRPr="001D7223">
        <w:rPr>
          <w:rFonts w:asciiTheme="minorHAnsi" w:hAnsiTheme="minorHAnsi" w:cstheme="minorHAnsi"/>
          <w:lang w:eastAsia="zh-CN"/>
        </w:rPr>
        <w:t>号决议第</w:t>
      </w:r>
      <w:r w:rsidRPr="001D7223">
        <w:rPr>
          <w:rFonts w:asciiTheme="minorHAnsi" w:hAnsiTheme="minorHAnsi" w:cstheme="minorHAnsi"/>
          <w:lang w:eastAsia="zh-CN"/>
        </w:rPr>
        <w:t>10.2.3</w:t>
      </w:r>
      <w:r w:rsidRPr="001D7223">
        <w:rPr>
          <w:rFonts w:asciiTheme="minorHAnsi" w:hAnsiTheme="minorHAnsi" w:cstheme="minorHAnsi"/>
          <w:lang w:eastAsia="zh-CN"/>
        </w:rPr>
        <w:t>段），并进一步做出决定，采用同时通过和批准的（</w:t>
      </w:r>
      <w:r w:rsidRPr="001D7223">
        <w:rPr>
          <w:rFonts w:asciiTheme="minorHAnsi" w:hAnsiTheme="minorHAnsi" w:cstheme="minorHAnsi"/>
          <w:lang w:eastAsia="zh-CN"/>
        </w:rPr>
        <w:t>PSAA</w:t>
      </w:r>
      <w:r w:rsidRPr="001D7223">
        <w:rPr>
          <w:rFonts w:asciiTheme="minorHAnsi" w:hAnsiTheme="minorHAnsi" w:cstheme="minorHAnsi"/>
          <w:lang w:eastAsia="zh-CN"/>
        </w:rPr>
        <w:t>）程序（</w:t>
      </w:r>
      <w:r w:rsidRPr="001D7223">
        <w:rPr>
          <w:rFonts w:asciiTheme="minorHAnsi" w:hAnsiTheme="minorHAnsi" w:cstheme="minorHAnsi"/>
          <w:lang w:eastAsia="zh-CN"/>
        </w:rPr>
        <w:t>ITU-R</w:t>
      </w:r>
      <w:r w:rsidRPr="001D7223">
        <w:rPr>
          <w:rFonts w:asciiTheme="minorHAnsi" w:hAnsiTheme="minorHAnsi" w:cstheme="minorHAnsi"/>
          <w:lang w:eastAsia="zh-CN"/>
        </w:rPr>
        <w:t>第</w:t>
      </w:r>
      <w:r w:rsidRPr="001D7223">
        <w:rPr>
          <w:rFonts w:asciiTheme="minorHAnsi" w:hAnsiTheme="minorHAnsi" w:cstheme="minorHAnsi"/>
          <w:lang w:eastAsia="zh-CN"/>
        </w:rPr>
        <w:t>1-6</w:t>
      </w:r>
      <w:r w:rsidRPr="001D7223">
        <w:rPr>
          <w:rFonts w:asciiTheme="minorHAnsi" w:hAnsiTheme="minorHAnsi" w:cstheme="minorHAnsi"/>
          <w:lang w:eastAsia="zh-CN"/>
        </w:rPr>
        <w:t>号决议第</w:t>
      </w:r>
      <w:r w:rsidRPr="001D7223">
        <w:rPr>
          <w:rFonts w:asciiTheme="minorHAnsi" w:hAnsiTheme="minorHAnsi" w:cstheme="minorHAnsi"/>
          <w:lang w:eastAsia="zh-CN"/>
        </w:rPr>
        <w:t>10.3</w:t>
      </w:r>
      <w:r w:rsidRPr="001D7223">
        <w:rPr>
          <w:rFonts w:asciiTheme="minorHAnsi" w:hAnsiTheme="minorHAnsi" w:cstheme="minorHAnsi"/>
          <w:lang w:eastAsia="zh-CN"/>
        </w:rPr>
        <w:t>段）。建议书草案的标题和摘要见本通函附件。</w:t>
      </w:r>
    </w:p>
    <w:p w:rsidR="00DC75FB" w:rsidRPr="001D7223" w:rsidRDefault="00DC75FB" w:rsidP="008E5B77">
      <w:pPr>
        <w:ind w:firstLineChars="200" w:firstLine="480"/>
        <w:rPr>
          <w:rFonts w:asciiTheme="minorHAnsi" w:hAnsiTheme="minorHAnsi" w:cstheme="minorHAnsi"/>
          <w:lang w:eastAsia="zh-CN"/>
        </w:rPr>
      </w:pPr>
      <w:r w:rsidRPr="001D7223">
        <w:rPr>
          <w:rFonts w:asciiTheme="minorHAnsi" w:hAnsiTheme="minorHAnsi" w:cstheme="minorHAnsi"/>
          <w:lang w:eastAsia="zh-CN"/>
        </w:rPr>
        <w:t>审议期将持续</w:t>
      </w:r>
      <w:r w:rsidRPr="001D7223">
        <w:rPr>
          <w:rFonts w:asciiTheme="minorHAnsi" w:hAnsiTheme="minorHAnsi" w:cstheme="minorHAnsi"/>
          <w:lang w:eastAsia="zh-CN"/>
        </w:rPr>
        <w:t>2</w:t>
      </w:r>
      <w:r w:rsidRPr="001D7223">
        <w:rPr>
          <w:rFonts w:asciiTheme="minorHAnsi" w:hAnsiTheme="minorHAnsi" w:cstheme="minorHAnsi"/>
          <w:lang w:eastAsia="zh-CN"/>
        </w:rPr>
        <w:t>个月，于</w:t>
      </w:r>
      <w:r w:rsidRPr="001D7223">
        <w:rPr>
          <w:rFonts w:asciiTheme="minorHAnsi" w:hAnsiTheme="minorHAnsi" w:cstheme="minorHAnsi"/>
          <w:u w:val="single"/>
          <w:lang w:eastAsia="zh-CN"/>
        </w:rPr>
        <w:t>201</w:t>
      </w:r>
      <w:r w:rsidR="008E5B77">
        <w:rPr>
          <w:rFonts w:asciiTheme="minorHAnsi" w:hAnsiTheme="minorHAnsi" w:cstheme="minorHAnsi"/>
          <w:u w:val="single"/>
          <w:lang w:eastAsia="zh-CN"/>
        </w:rPr>
        <w:t>4</w:t>
      </w:r>
      <w:r w:rsidRPr="001D7223">
        <w:rPr>
          <w:rFonts w:asciiTheme="minorHAnsi" w:hAnsiTheme="minorHAnsi" w:cstheme="minorHAnsi"/>
          <w:u w:val="single"/>
          <w:lang w:eastAsia="zh-CN"/>
        </w:rPr>
        <w:t>年</w:t>
      </w:r>
      <w:r w:rsidRPr="001D7223">
        <w:rPr>
          <w:rFonts w:asciiTheme="minorHAnsi" w:hAnsiTheme="minorHAnsi" w:cstheme="minorHAnsi"/>
          <w:u w:val="single"/>
          <w:lang w:eastAsia="zh-CN"/>
        </w:rPr>
        <w:t>8</w:t>
      </w:r>
      <w:r w:rsidRPr="001D7223">
        <w:rPr>
          <w:rFonts w:asciiTheme="minorHAnsi" w:hAnsiTheme="minorHAnsi" w:cstheme="minorHAnsi"/>
          <w:u w:val="single"/>
          <w:lang w:eastAsia="zh-CN"/>
        </w:rPr>
        <w:t>月</w:t>
      </w:r>
      <w:r w:rsidRPr="001D7223">
        <w:rPr>
          <w:rFonts w:asciiTheme="minorHAnsi" w:hAnsiTheme="minorHAnsi" w:cstheme="minorHAnsi"/>
          <w:u w:val="single"/>
          <w:lang w:eastAsia="zh-CN"/>
        </w:rPr>
        <w:t>2</w:t>
      </w:r>
      <w:r w:rsidR="008E5B77">
        <w:rPr>
          <w:rFonts w:asciiTheme="minorHAnsi" w:hAnsiTheme="minorHAnsi" w:cstheme="minorHAnsi"/>
          <w:u w:val="single"/>
          <w:lang w:eastAsia="zh-CN"/>
        </w:rPr>
        <w:t>7</w:t>
      </w:r>
      <w:r w:rsidRPr="001D7223">
        <w:rPr>
          <w:rFonts w:asciiTheme="minorHAnsi" w:hAnsiTheme="minorHAnsi" w:cstheme="minorHAnsi"/>
          <w:u w:val="single"/>
          <w:lang w:eastAsia="zh-CN"/>
        </w:rPr>
        <w:t>日</w:t>
      </w:r>
      <w:r w:rsidRPr="001D7223">
        <w:rPr>
          <w:rFonts w:asciiTheme="minorHAnsi" w:hAnsiTheme="minorHAnsi" w:cstheme="minorHAnsi"/>
          <w:lang w:eastAsia="zh-CN"/>
        </w:rPr>
        <w:t>结束。如在此期间未收到成员国的反对意见，则须认为第</w:t>
      </w:r>
      <w:r w:rsidRPr="001D7223">
        <w:rPr>
          <w:rFonts w:asciiTheme="minorHAnsi" w:hAnsiTheme="minorHAnsi" w:cstheme="minorHAnsi"/>
          <w:lang w:eastAsia="zh-CN"/>
        </w:rPr>
        <w:t>1</w:t>
      </w:r>
      <w:r w:rsidRPr="001D7223">
        <w:rPr>
          <w:rFonts w:asciiTheme="minorHAnsi" w:hAnsiTheme="minorHAnsi" w:cstheme="minorHAnsi"/>
          <w:lang w:eastAsia="zh-CN"/>
        </w:rPr>
        <w:t>研究组已通过建议书草案。此外，由于采用了</w:t>
      </w:r>
      <w:r w:rsidRPr="001D7223">
        <w:rPr>
          <w:rFonts w:asciiTheme="minorHAnsi" w:hAnsiTheme="minorHAnsi" w:cstheme="minorHAnsi"/>
          <w:lang w:eastAsia="zh-CN"/>
        </w:rPr>
        <w:t>PSAA</w:t>
      </w:r>
      <w:r w:rsidRPr="001D7223">
        <w:rPr>
          <w:rFonts w:asciiTheme="minorHAnsi" w:hAnsiTheme="minorHAnsi" w:cstheme="minorHAnsi"/>
          <w:lang w:eastAsia="zh-CN"/>
        </w:rPr>
        <w:t>程序，亦将认为上述建议书草案已获得批准。</w:t>
      </w:r>
    </w:p>
    <w:p w:rsidR="00DC75FB" w:rsidRPr="001D7223" w:rsidRDefault="00DC75FB" w:rsidP="00DC75FB">
      <w:pPr>
        <w:ind w:firstLineChars="200" w:firstLine="480"/>
        <w:rPr>
          <w:rFonts w:asciiTheme="minorHAnsi" w:hAnsiTheme="minorHAnsi" w:cstheme="minorHAnsi"/>
          <w:lang w:eastAsia="zh-CN"/>
        </w:rPr>
      </w:pPr>
      <w:r w:rsidRPr="001D7223">
        <w:rPr>
          <w:rFonts w:asciiTheme="minorHAnsi" w:hAnsiTheme="minorHAnsi" w:cstheme="minorHAnsi"/>
          <w:lang w:eastAsia="zh-CN"/>
        </w:rPr>
        <w:t>请反对批准一建议书草案的成员国向主任和研究组主席阐明反对原因。</w:t>
      </w:r>
    </w:p>
    <w:p w:rsidR="00DC75FB" w:rsidRPr="001D7223" w:rsidRDefault="00DC75FB" w:rsidP="008E5B77">
      <w:pPr>
        <w:ind w:firstLineChars="200" w:firstLine="480"/>
        <w:rPr>
          <w:rFonts w:asciiTheme="minorHAnsi" w:hAnsiTheme="minorHAnsi" w:cstheme="minorHAnsi"/>
        </w:rPr>
      </w:pPr>
      <w:r w:rsidRPr="001D7223">
        <w:rPr>
          <w:rFonts w:asciiTheme="minorHAnsi" w:hAnsiTheme="minorHAnsi" w:cstheme="minorHAnsi"/>
        </w:rPr>
        <w:t>在上述截止期限之后，将</w:t>
      </w:r>
      <w:r w:rsidRPr="001D7223">
        <w:rPr>
          <w:rFonts w:asciiTheme="minorHAnsi" w:hAnsiTheme="minorHAnsi" w:cstheme="minorHAnsi"/>
          <w:lang w:eastAsia="zh-CN"/>
        </w:rPr>
        <w:t>在一</w:t>
      </w:r>
      <w:r w:rsidRPr="001D7223">
        <w:rPr>
          <w:rFonts w:asciiTheme="minorHAnsi" w:hAnsiTheme="minorHAnsi" w:cstheme="minorHAnsi"/>
        </w:rPr>
        <w:t>行政通函</w:t>
      </w:r>
      <w:r w:rsidRPr="001D7223">
        <w:rPr>
          <w:rFonts w:asciiTheme="minorHAnsi" w:hAnsiTheme="minorHAnsi" w:cstheme="minorHAnsi"/>
          <w:lang w:eastAsia="zh-CN"/>
        </w:rPr>
        <w:t>中宣布</w:t>
      </w:r>
      <w:r w:rsidRPr="001D7223">
        <w:rPr>
          <w:rFonts w:asciiTheme="minorHAnsi" w:hAnsiTheme="minorHAnsi" w:cstheme="minorHAnsi"/>
          <w:lang w:eastAsia="zh-CN"/>
        </w:rPr>
        <w:t>PSAA</w:t>
      </w:r>
      <w:r w:rsidRPr="001D7223">
        <w:rPr>
          <w:rFonts w:asciiTheme="minorHAnsi" w:hAnsiTheme="minorHAnsi" w:cstheme="minorHAnsi"/>
          <w:lang w:eastAsia="zh-CN"/>
        </w:rPr>
        <w:t>程序</w:t>
      </w:r>
      <w:r w:rsidRPr="001D7223">
        <w:rPr>
          <w:rFonts w:asciiTheme="minorHAnsi" w:hAnsiTheme="minorHAnsi" w:cstheme="minorHAnsi"/>
        </w:rPr>
        <w:t>的结果，并尽可能快地出版已经批准的建议书（见</w:t>
      </w:r>
      <w:hyperlink r:id="rId9" w:history="1">
        <w:r w:rsidR="008E5B77" w:rsidRPr="007947D0">
          <w:rPr>
            <w:rStyle w:val="Hyperlink"/>
          </w:rPr>
          <w:t>http://www.itu.int/pub/R-REC</w:t>
        </w:r>
      </w:hyperlink>
      <w:r w:rsidRPr="001D7223">
        <w:rPr>
          <w:rFonts w:asciiTheme="minorHAnsi" w:hAnsiTheme="minorHAnsi" w:cstheme="minorHAnsi"/>
        </w:rPr>
        <w:t>）。</w:t>
      </w:r>
    </w:p>
    <w:p w:rsidR="00DC75FB" w:rsidRPr="001D7223" w:rsidRDefault="00DC75FB" w:rsidP="00DC75F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sidRPr="001D7223">
        <w:rPr>
          <w:rFonts w:asciiTheme="minorHAnsi" w:hAnsiTheme="minorHAnsi" w:cstheme="minorHAnsi"/>
          <w:lang w:eastAsia="zh-CN"/>
        </w:rPr>
        <w:br w:type="page"/>
      </w:r>
    </w:p>
    <w:p w:rsidR="00DC75FB" w:rsidRPr="001D7223" w:rsidRDefault="00DC75FB" w:rsidP="00DC75FB">
      <w:pPr>
        <w:ind w:firstLineChars="200" w:firstLine="480"/>
        <w:rPr>
          <w:rFonts w:asciiTheme="minorHAnsi" w:hAnsiTheme="minorHAnsi" w:cstheme="minorHAnsi"/>
          <w:lang w:eastAsia="zh-CN"/>
        </w:rPr>
      </w:pPr>
      <w:r w:rsidRPr="001D7223">
        <w:rPr>
          <w:rFonts w:asciiTheme="minorHAnsi" w:hAnsiTheme="minorHAnsi" w:cstheme="minorHAnsi"/>
          <w:lang w:eastAsia="zh-CN"/>
        </w:rPr>
        <w:lastRenderedPageBreak/>
        <w:t>如有国际电联成员组织了解自身或其他组织拥有涉及本函所提及的建议书草案的全部或部分内容的专利，请务必尽快向秘书处通报这一信息。</w:t>
      </w:r>
      <w:r w:rsidRPr="001D7223">
        <w:rPr>
          <w:rFonts w:asciiTheme="minorHAnsi" w:hAnsiTheme="minorHAnsi" w:cstheme="minorHAnsi"/>
          <w:lang w:eastAsia="zh-CN"/>
        </w:rPr>
        <w:t>ITU-T/ITU-R/ISO/IEC</w:t>
      </w:r>
      <w:r w:rsidRPr="001D7223">
        <w:rPr>
          <w:rFonts w:asciiTheme="minorHAnsi" w:hAnsiTheme="minorHAnsi" w:cstheme="minorHAnsi"/>
          <w:lang w:eastAsia="zh-CN"/>
        </w:rPr>
        <w:t>通用专利政策见：</w:t>
      </w:r>
      <w:hyperlink r:id="rId10" w:history="1">
        <w:r w:rsidRPr="001D7223">
          <w:rPr>
            <w:rStyle w:val="Hyperlink"/>
            <w:rFonts w:asciiTheme="minorHAnsi" w:hAnsiTheme="minorHAnsi" w:cstheme="minorHAnsi"/>
            <w:szCs w:val="24"/>
            <w:lang w:eastAsia="zh-CN"/>
          </w:rPr>
          <w:t>http://www.itu.int/en/ITU-T/ipr/Pages/policy.aspx</w:t>
        </w:r>
      </w:hyperlink>
      <w:r w:rsidRPr="001D7223">
        <w:rPr>
          <w:rFonts w:asciiTheme="minorHAnsi" w:hAnsiTheme="minorHAnsi" w:cstheme="minorHAnsi"/>
          <w:lang w:eastAsia="zh-CN"/>
        </w:rPr>
        <w:t>。</w:t>
      </w:r>
    </w:p>
    <w:p w:rsidR="00DC75FB" w:rsidRPr="001D7223" w:rsidRDefault="00DC75FB" w:rsidP="00DC75FB">
      <w:pPr>
        <w:rPr>
          <w:rFonts w:asciiTheme="minorHAnsi" w:hAnsiTheme="minorHAnsi" w:cstheme="minorHAnsi"/>
          <w:lang w:eastAsia="zh-CN"/>
        </w:rPr>
      </w:pPr>
    </w:p>
    <w:p w:rsidR="00DC75FB" w:rsidRPr="001D7223" w:rsidRDefault="00DC75FB" w:rsidP="00DC75FB">
      <w:pPr>
        <w:rPr>
          <w:rFonts w:asciiTheme="minorHAnsi" w:hAnsiTheme="minorHAnsi" w:cstheme="minorHAnsi"/>
          <w:lang w:eastAsia="zh-CN"/>
        </w:rPr>
      </w:pPr>
    </w:p>
    <w:p w:rsidR="00DC75FB" w:rsidRPr="001D7223" w:rsidRDefault="00DC75FB" w:rsidP="00DC75FB">
      <w:pPr>
        <w:rPr>
          <w:rFonts w:asciiTheme="minorHAnsi" w:hAnsiTheme="minorHAnsi" w:cstheme="minorHAnsi"/>
          <w:lang w:eastAsia="zh-CN"/>
        </w:rPr>
      </w:pPr>
    </w:p>
    <w:p w:rsidR="00DC75FB" w:rsidRPr="001D7223" w:rsidRDefault="00CB05A1" w:rsidP="00CB05A1">
      <w:pPr>
        <w:tabs>
          <w:tab w:val="clear" w:pos="794"/>
          <w:tab w:val="clear" w:pos="1191"/>
          <w:tab w:val="clear" w:pos="1588"/>
          <w:tab w:val="clear" w:pos="1985"/>
          <w:tab w:val="center" w:pos="7088"/>
        </w:tabs>
        <w:jc w:val="left"/>
        <w:rPr>
          <w:rFonts w:asciiTheme="minorHAnsi" w:hAnsiTheme="minorHAnsi" w:cstheme="minorHAnsi"/>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DC75FB" w:rsidRPr="001D7223" w:rsidRDefault="00DC75FB" w:rsidP="00CB05A1">
      <w:pPr>
        <w:tabs>
          <w:tab w:val="left" w:pos="4820"/>
        </w:tabs>
        <w:spacing w:before="1560"/>
        <w:rPr>
          <w:rFonts w:asciiTheme="minorHAnsi" w:hAnsiTheme="minorHAnsi" w:cstheme="minorHAnsi"/>
          <w:b/>
          <w:lang w:eastAsia="zh-CN"/>
        </w:rPr>
      </w:pPr>
    </w:p>
    <w:p w:rsidR="00DC75FB" w:rsidRPr="001D7223" w:rsidRDefault="00DC75FB" w:rsidP="00CB05A1">
      <w:pPr>
        <w:tabs>
          <w:tab w:val="left" w:pos="4820"/>
        </w:tabs>
        <w:spacing w:before="60"/>
        <w:rPr>
          <w:rFonts w:asciiTheme="minorHAnsi" w:hAnsiTheme="minorHAnsi" w:cstheme="minorHAnsi"/>
          <w:lang w:eastAsia="zh-CN"/>
        </w:rPr>
      </w:pPr>
      <w:r w:rsidRPr="001D7223">
        <w:rPr>
          <w:rFonts w:asciiTheme="minorHAnsi" w:hAnsiTheme="minorHAnsi" w:cstheme="minorHAnsi"/>
          <w:b/>
          <w:lang w:eastAsia="zh-CN"/>
        </w:rPr>
        <w:t>附件：</w:t>
      </w:r>
      <w:r w:rsidRPr="001D7223">
        <w:rPr>
          <w:rFonts w:asciiTheme="minorHAnsi" w:hAnsiTheme="minorHAnsi" w:cstheme="minorHAnsi"/>
          <w:lang w:eastAsia="zh-CN"/>
        </w:rPr>
        <w:t>建议书草案的标题和摘要</w:t>
      </w:r>
    </w:p>
    <w:p w:rsidR="00DC75FB" w:rsidRPr="001D7223" w:rsidRDefault="00DC75FB" w:rsidP="00DC75FB">
      <w:pPr>
        <w:tabs>
          <w:tab w:val="left" w:pos="4820"/>
        </w:tabs>
        <w:spacing w:before="60"/>
        <w:rPr>
          <w:rFonts w:asciiTheme="minorHAnsi" w:hAnsiTheme="minorHAnsi" w:cstheme="minorHAnsi"/>
          <w:lang w:eastAsia="zh-CN"/>
        </w:rPr>
      </w:pPr>
    </w:p>
    <w:p w:rsidR="00DC75FB" w:rsidRPr="001D7223" w:rsidRDefault="00DC75FB" w:rsidP="008E5B77">
      <w:pPr>
        <w:tabs>
          <w:tab w:val="left" w:pos="4820"/>
        </w:tabs>
        <w:spacing w:before="60"/>
        <w:rPr>
          <w:rFonts w:asciiTheme="minorHAnsi" w:hAnsiTheme="minorHAnsi" w:cstheme="minorHAnsi"/>
          <w:szCs w:val="24"/>
          <w:lang w:eastAsia="zh-CN"/>
        </w:rPr>
      </w:pPr>
      <w:r w:rsidRPr="001D7223">
        <w:rPr>
          <w:rFonts w:asciiTheme="minorHAnsi" w:hAnsiTheme="minorHAnsi" w:cstheme="minorHAnsi"/>
          <w:b/>
          <w:bCs/>
          <w:lang w:eastAsia="zh-CN"/>
        </w:rPr>
        <w:t>文件：</w:t>
      </w:r>
      <w:hyperlink r:id="rId11" w:history="1">
        <w:r w:rsidR="008E5B77" w:rsidRPr="00C37F98">
          <w:rPr>
            <w:rStyle w:val="Hyperlink"/>
            <w:szCs w:val="24"/>
          </w:rPr>
          <w:t>1/96</w:t>
        </w:r>
      </w:hyperlink>
      <w:r w:rsidR="008E5B77" w:rsidRPr="00C37F98">
        <w:rPr>
          <w:szCs w:val="24"/>
        </w:rPr>
        <w:t xml:space="preserve">(Rev.1), </w:t>
      </w:r>
      <w:hyperlink r:id="rId12" w:history="1">
        <w:r w:rsidR="008E5B77" w:rsidRPr="00C37F98">
          <w:rPr>
            <w:rStyle w:val="Hyperlink"/>
            <w:szCs w:val="24"/>
          </w:rPr>
          <w:t>1/97</w:t>
        </w:r>
      </w:hyperlink>
      <w:r w:rsidR="008E5B77" w:rsidRPr="00C37F98">
        <w:rPr>
          <w:szCs w:val="24"/>
        </w:rPr>
        <w:t xml:space="preserve">(Rev.1), </w:t>
      </w:r>
      <w:hyperlink r:id="rId13" w:history="1">
        <w:r w:rsidR="008E5B77" w:rsidRPr="00C37F98">
          <w:rPr>
            <w:rStyle w:val="Hyperlink"/>
            <w:szCs w:val="24"/>
          </w:rPr>
          <w:t>1/98</w:t>
        </w:r>
      </w:hyperlink>
      <w:r w:rsidR="008E5B77" w:rsidRPr="00C37F98">
        <w:rPr>
          <w:szCs w:val="24"/>
        </w:rPr>
        <w:t xml:space="preserve">(Rev.1), </w:t>
      </w:r>
      <w:hyperlink r:id="rId14" w:history="1">
        <w:r w:rsidR="008E5B77" w:rsidRPr="00C37F98">
          <w:rPr>
            <w:rStyle w:val="Hyperlink"/>
            <w:szCs w:val="24"/>
          </w:rPr>
          <w:t>1/102</w:t>
        </w:r>
      </w:hyperlink>
      <w:r w:rsidR="008E5B77" w:rsidRPr="00C37F98">
        <w:rPr>
          <w:szCs w:val="24"/>
        </w:rPr>
        <w:t xml:space="preserve">(Rev.1), </w:t>
      </w:r>
      <w:hyperlink r:id="rId15" w:history="1">
        <w:r w:rsidR="008E5B77" w:rsidRPr="00C37F98">
          <w:rPr>
            <w:rStyle w:val="Hyperlink"/>
            <w:szCs w:val="24"/>
          </w:rPr>
          <w:t>1/103</w:t>
        </w:r>
      </w:hyperlink>
      <w:r w:rsidR="008E5B77" w:rsidRPr="00C37F98">
        <w:rPr>
          <w:szCs w:val="24"/>
        </w:rPr>
        <w:t>(Rev.1)</w:t>
      </w:r>
      <w:r w:rsidRPr="001D7223">
        <w:rPr>
          <w:rFonts w:asciiTheme="minorHAnsi" w:hAnsiTheme="minorHAnsi" w:cstheme="minorHAnsi"/>
          <w:szCs w:val="24"/>
          <w:lang w:eastAsia="zh-CN"/>
        </w:rPr>
        <w:t>号文件</w:t>
      </w:r>
    </w:p>
    <w:p w:rsidR="00DC75FB" w:rsidRPr="001D7223" w:rsidRDefault="00DC75FB" w:rsidP="00CB05A1">
      <w:pPr>
        <w:tabs>
          <w:tab w:val="left" w:pos="4820"/>
        </w:tabs>
        <w:spacing w:before="480"/>
        <w:rPr>
          <w:rFonts w:asciiTheme="minorHAnsi" w:hAnsiTheme="minorHAnsi" w:cstheme="minorHAnsi"/>
          <w:szCs w:val="24"/>
          <w:lang w:eastAsia="zh-CN"/>
        </w:rPr>
      </w:pPr>
    </w:p>
    <w:p w:rsidR="00DC75FB" w:rsidRPr="001D7223" w:rsidRDefault="00DC75FB" w:rsidP="00DC75FB">
      <w:pPr>
        <w:tabs>
          <w:tab w:val="left" w:pos="4820"/>
        </w:tabs>
        <w:spacing w:before="60"/>
        <w:rPr>
          <w:rFonts w:asciiTheme="minorHAnsi" w:hAnsiTheme="minorHAnsi" w:cstheme="minorHAnsi"/>
          <w:lang w:eastAsia="zh-CN"/>
        </w:rPr>
      </w:pPr>
      <w:r w:rsidRPr="008027C6">
        <w:rPr>
          <w:rFonts w:asciiTheme="minorHAnsi" w:hAnsiTheme="minorHAnsi" w:cstheme="minorHAnsi"/>
          <w:szCs w:val="24"/>
          <w:lang w:eastAsia="zh-CN"/>
        </w:rPr>
        <w:t>这些文件的电子版见：</w:t>
      </w:r>
      <w:hyperlink r:id="rId16" w:history="1">
        <w:r w:rsidRPr="001D7223">
          <w:rPr>
            <w:rStyle w:val="Hyperlink"/>
            <w:rFonts w:asciiTheme="minorHAnsi" w:hAnsiTheme="minorHAnsi" w:cstheme="minorHAnsi"/>
            <w:szCs w:val="24"/>
          </w:rPr>
          <w:t>http://www.itu.int/md/R12-SG01-C/en</w:t>
        </w:r>
      </w:hyperlink>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b/>
          <w:bCs/>
          <w:sz w:val="18"/>
          <w:szCs w:val="18"/>
          <w:lang w:eastAsia="zh-CN"/>
        </w:rPr>
      </w:pPr>
      <w:r w:rsidRPr="001D7223">
        <w:rPr>
          <w:rFonts w:asciiTheme="minorHAnsi" w:hAnsiTheme="minorHAnsi" w:cstheme="minorHAnsi"/>
          <w:b/>
          <w:bCs/>
          <w:sz w:val="18"/>
          <w:szCs w:val="18"/>
          <w:u w:val="single"/>
          <w:lang w:eastAsia="zh-CN"/>
        </w:rPr>
        <w:t>分发</w:t>
      </w:r>
      <w:r w:rsidRPr="001D7223">
        <w:rPr>
          <w:rFonts w:asciiTheme="minorHAnsi" w:hAnsiTheme="minorHAnsi" w:cstheme="minorHAnsi"/>
          <w:b/>
          <w:bCs/>
          <w:sz w:val="18"/>
          <w:szCs w:val="18"/>
          <w:lang w:eastAsia="zh-CN"/>
        </w:rPr>
        <w:t>：</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国际电联成员国各主管部门和参与无线电通信第</w:t>
      </w:r>
      <w:r w:rsidRPr="001D7223">
        <w:rPr>
          <w:rFonts w:asciiTheme="minorHAnsi" w:hAnsiTheme="minorHAnsi" w:cstheme="minorHAnsi"/>
          <w:sz w:val="18"/>
          <w:szCs w:val="18"/>
          <w:lang w:eastAsia="zh-CN"/>
        </w:rPr>
        <w:t>1</w:t>
      </w:r>
      <w:r w:rsidRPr="001D7223">
        <w:rPr>
          <w:rFonts w:asciiTheme="minorHAnsi" w:hAnsiTheme="minorHAnsi" w:cstheme="minorHAnsi"/>
          <w:sz w:val="18"/>
          <w:szCs w:val="18"/>
          <w:lang w:eastAsia="zh-CN"/>
        </w:rPr>
        <w:t>研究组工作的无线电通信部门成员</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参加无线电通信第</w:t>
      </w:r>
      <w:r w:rsidRPr="001D7223">
        <w:rPr>
          <w:rFonts w:asciiTheme="minorHAnsi" w:hAnsiTheme="minorHAnsi" w:cstheme="minorHAnsi"/>
          <w:sz w:val="18"/>
          <w:szCs w:val="18"/>
          <w:lang w:eastAsia="zh-CN"/>
        </w:rPr>
        <w:t>1</w:t>
      </w:r>
      <w:r w:rsidRPr="001D7223">
        <w:rPr>
          <w:rFonts w:asciiTheme="minorHAnsi" w:hAnsiTheme="minorHAnsi" w:cstheme="minorHAnsi"/>
          <w:sz w:val="18"/>
          <w:szCs w:val="18"/>
          <w:lang w:eastAsia="zh-CN"/>
        </w:rPr>
        <w:t>研究组工作的</w:t>
      </w:r>
      <w:r w:rsidRPr="001D7223">
        <w:rPr>
          <w:rFonts w:asciiTheme="minorHAnsi" w:hAnsiTheme="minorHAnsi" w:cstheme="minorHAnsi"/>
          <w:sz w:val="18"/>
          <w:szCs w:val="18"/>
          <w:lang w:eastAsia="zh-CN"/>
        </w:rPr>
        <w:t>ITU-R</w:t>
      </w:r>
      <w:r w:rsidRPr="001D7223">
        <w:rPr>
          <w:rFonts w:asciiTheme="minorHAnsi" w:hAnsiTheme="minorHAnsi" w:cstheme="minorHAnsi"/>
          <w:sz w:val="18"/>
          <w:szCs w:val="18"/>
          <w:lang w:eastAsia="zh-CN"/>
        </w:rPr>
        <w:t>部门准成员</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无线电通信研究组和规则</w:t>
      </w: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程序问题特别委员会的正副主席</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大会筹备会议的正副主席</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无线电规则委员会委员</w:t>
      </w:r>
    </w:p>
    <w:p w:rsidR="00DC75FB" w:rsidRPr="001D7223" w:rsidRDefault="00DC75FB" w:rsidP="00DC75FB">
      <w:pPr>
        <w:numPr>
          <w:ilvl w:val="0"/>
          <w:numId w:val="3"/>
        </w:numPr>
        <w:tabs>
          <w:tab w:val="left" w:pos="567"/>
          <w:tab w:val="left" w:pos="6237"/>
        </w:tabs>
        <w:spacing w:before="0" w:line="240" w:lineRule="auto"/>
        <w:ind w:hanging="930"/>
        <w:jc w:val="left"/>
        <w:rPr>
          <w:rFonts w:asciiTheme="minorHAnsi" w:hAnsiTheme="minorHAnsi" w:cstheme="minorHAnsi"/>
          <w:sz w:val="18"/>
          <w:szCs w:val="18"/>
          <w:lang w:eastAsia="zh-CN"/>
        </w:rPr>
      </w:pPr>
      <w:r w:rsidRPr="001D7223">
        <w:rPr>
          <w:rFonts w:asciiTheme="minorHAnsi" w:hAnsiTheme="minorHAnsi" w:cstheme="minorHAnsi"/>
          <w:sz w:val="18"/>
          <w:szCs w:val="18"/>
          <w:lang w:eastAsia="zh-CN"/>
        </w:rPr>
        <w:t>国际电联秘书长、电信标准化局主任、电信发展局主任</w:t>
      </w:r>
    </w:p>
    <w:p w:rsidR="00DC75FB" w:rsidRPr="001D7223" w:rsidRDefault="00DC75FB" w:rsidP="00DC75F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18"/>
          <w:szCs w:val="18"/>
          <w:lang w:eastAsia="zh-CN"/>
        </w:rPr>
      </w:pPr>
      <w:r w:rsidRPr="001D7223">
        <w:rPr>
          <w:rFonts w:asciiTheme="minorHAnsi" w:hAnsiTheme="minorHAnsi" w:cstheme="minorHAnsi"/>
          <w:sz w:val="18"/>
          <w:szCs w:val="18"/>
          <w:lang w:eastAsia="zh-CN"/>
        </w:rPr>
        <w:br w:type="page"/>
      </w:r>
    </w:p>
    <w:p w:rsidR="00875328" w:rsidRPr="00BF5F50" w:rsidRDefault="00875328" w:rsidP="007D0AA2">
      <w:pPr>
        <w:pStyle w:val="AnnexNotitle0"/>
        <w:spacing w:before="120"/>
        <w:rPr>
          <w:rFonts w:asciiTheme="minorHAnsi" w:hAnsiTheme="minorHAnsi" w:cstheme="minorHAnsi"/>
          <w:szCs w:val="28"/>
          <w:lang w:eastAsia="zh-CN"/>
        </w:rPr>
      </w:pPr>
      <w:r>
        <w:rPr>
          <w:rFonts w:asciiTheme="minorHAnsi" w:hAnsiTheme="minorHAnsi" w:cstheme="minorHAnsi" w:hint="eastAsia"/>
          <w:szCs w:val="28"/>
          <w:lang w:eastAsia="zh-CN"/>
        </w:rPr>
        <w:lastRenderedPageBreak/>
        <w:t>附件</w:t>
      </w:r>
      <w:bookmarkStart w:id="0" w:name="_GoBack"/>
      <w:bookmarkEnd w:id="0"/>
    </w:p>
    <w:p w:rsidR="00875328" w:rsidRPr="006B1A54" w:rsidRDefault="00875328" w:rsidP="00875328">
      <w:pPr>
        <w:pStyle w:val="AnnexNotitle0"/>
        <w:rPr>
          <w:rFonts w:asciiTheme="minorHAnsi" w:hAnsiTheme="minorHAnsi" w:cstheme="minorHAnsi"/>
          <w:szCs w:val="28"/>
          <w:lang w:eastAsia="zh-CN"/>
        </w:rPr>
      </w:pPr>
      <w:r>
        <w:rPr>
          <w:rFonts w:asciiTheme="minorHAnsi" w:hAnsiTheme="minorHAnsi" w:cstheme="minorHAnsi" w:hint="eastAsia"/>
          <w:szCs w:val="28"/>
          <w:lang w:eastAsia="zh-CN"/>
        </w:rPr>
        <w:t>建议书草案的标题和摘要</w:t>
      </w:r>
    </w:p>
    <w:p w:rsidR="00875328" w:rsidRPr="00F31BFC" w:rsidRDefault="00875328" w:rsidP="00875328">
      <w:pPr>
        <w:spacing w:line="240" w:lineRule="auto"/>
        <w:rPr>
          <w:rFonts w:asciiTheme="minorHAnsi" w:hAnsiTheme="minorHAnsi" w:cstheme="minorHAnsi"/>
          <w:szCs w:val="24"/>
          <w:lang w:eastAsia="zh-CN"/>
        </w:rPr>
      </w:pPr>
    </w:p>
    <w:p w:rsidR="00875328" w:rsidRPr="00F31BFC" w:rsidRDefault="00875328" w:rsidP="00875328">
      <w:pPr>
        <w:tabs>
          <w:tab w:val="right" w:pos="9639"/>
        </w:tabs>
        <w:spacing w:line="240" w:lineRule="auto"/>
        <w:rPr>
          <w:rFonts w:asciiTheme="minorHAnsi" w:hAnsiTheme="minorHAnsi" w:cstheme="minorHAnsi"/>
          <w:szCs w:val="24"/>
          <w:lang w:eastAsia="zh-CN"/>
        </w:rPr>
      </w:pPr>
      <w:r w:rsidRPr="00F31BFC">
        <w:rPr>
          <w:rFonts w:asciiTheme="minorHAnsi" w:hAnsiTheme="minorHAnsi" w:cstheme="minorHAnsi"/>
          <w:szCs w:val="24"/>
          <w:u w:val="single"/>
          <w:lang w:eastAsia="zh-CN"/>
        </w:rPr>
        <w:t>ITU-R SM.</w:t>
      </w:r>
      <w:r>
        <w:rPr>
          <w:rFonts w:asciiTheme="minorHAnsi" w:hAnsiTheme="minorHAnsi" w:cstheme="minorHAnsi"/>
          <w:szCs w:val="24"/>
          <w:u w:val="single"/>
          <w:lang w:eastAsia="zh-CN"/>
        </w:rPr>
        <w:t>1051-2</w:t>
      </w:r>
      <w:r>
        <w:rPr>
          <w:rFonts w:asciiTheme="minorHAnsi" w:hAnsiTheme="minorHAnsi" w:cstheme="minorHAnsi" w:hint="eastAsia"/>
          <w:szCs w:val="24"/>
          <w:u w:val="single"/>
          <w:lang w:eastAsia="zh-CN"/>
        </w:rPr>
        <w:t>建议书修订草案</w:t>
      </w:r>
      <w:r w:rsidRPr="00F31BFC">
        <w:rPr>
          <w:rFonts w:asciiTheme="minorHAnsi" w:hAnsiTheme="minorHAnsi" w:cstheme="minorHAnsi"/>
          <w:szCs w:val="24"/>
          <w:lang w:eastAsia="zh-CN"/>
        </w:rPr>
        <w:tab/>
        <w:t>1/96(Rev.1)</w:t>
      </w:r>
      <w:r>
        <w:rPr>
          <w:rFonts w:asciiTheme="minorHAnsi" w:hAnsiTheme="minorHAnsi" w:cstheme="minorHAnsi" w:hint="eastAsia"/>
          <w:szCs w:val="24"/>
          <w:lang w:eastAsia="zh-CN"/>
        </w:rPr>
        <w:t>号文件</w:t>
      </w:r>
    </w:p>
    <w:p w:rsidR="00875328" w:rsidRPr="00C103E4" w:rsidRDefault="00875328" w:rsidP="00875328">
      <w:pPr>
        <w:pStyle w:val="Rectitle"/>
        <w:rPr>
          <w:rFonts w:asciiTheme="minorHAnsi" w:eastAsia="MS Mincho" w:hAnsiTheme="minorHAnsi" w:cstheme="minorHAnsi"/>
          <w:lang w:eastAsia="zh-CN"/>
        </w:rPr>
      </w:pPr>
      <w:r w:rsidRPr="00F11F94">
        <w:rPr>
          <w:rFonts w:hint="eastAsia"/>
          <w:lang w:eastAsia="zh-CN"/>
        </w:rPr>
        <w:t>优先确定并消除</w:t>
      </w:r>
      <w:r w:rsidRPr="00F11F94">
        <w:rPr>
          <w:rFonts w:hint="eastAsia"/>
          <w:lang w:eastAsia="zh-CN"/>
        </w:rPr>
        <w:t>406-406.1 MHz</w:t>
      </w:r>
      <w:r w:rsidRPr="00F11F94">
        <w:rPr>
          <w:rFonts w:hint="eastAsia"/>
          <w:lang w:eastAsia="zh-CN"/>
        </w:rPr>
        <w:t>频段的有害干扰</w:t>
      </w:r>
    </w:p>
    <w:p w:rsidR="00875328" w:rsidRDefault="00875328" w:rsidP="00875328">
      <w:pPr>
        <w:spacing w:line="240" w:lineRule="auto"/>
        <w:ind w:firstLineChars="200" w:firstLine="480"/>
        <w:jc w:val="left"/>
        <w:rPr>
          <w:szCs w:val="24"/>
          <w:lang w:eastAsia="zh-CN"/>
        </w:rPr>
      </w:pPr>
      <w:r>
        <w:rPr>
          <w:rFonts w:hint="eastAsia"/>
          <w:szCs w:val="24"/>
          <w:lang w:eastAsia="zh-CN"/>
        </w:rPr>
        <w:t>本修改旨在更新现有建议书，以反映</w:t>
      </w:r>
      <w:r w:rsidRPr="00F31BFC">
        <w:rPr>
          <w:szCs w:val="24"/>
          <w:lang w:eastAsia="zh-CN"/>
        </w:rPr>
        <w:t>Cospas-Sarsat</w:t>
      </w:r>
      <w:r>
        <w:rPr>
          <w:rFonts w:hint="eastAsia"/>
          <w:szCs w:val="24"/>
          <w:lang w:eastAsia="zh-CN"/>
        </w:rPr>
        <w:t>系统的变化，并为国际电联</w:t>
      </w:r>
      <w:r>
        <w:rPr>
          <w:rFonts w:hint="eastAsia"/>
          <w:szCs w:val="24"/>
          <w:lang w:eastAsia="zh-CN"/>
        </w:rPr>
        <w:t>406 MHz</w:t>
      </w:r>
      <w:r>
        <w:rPr>
          <w:rFonts w:hint="eastAsia"/>
          <w:szCs w:val="24"/>
          <w:lang w:eastAsia="zh-CN"/>
        </w:rPr>
        <w:t>监测计划提供补充引证和</w:t>
      </w:r>
      <w:r w:rsidRPr="00F31BFC">
        <w:rPr>
          <w:szCs w:val="24"/>
          <w:lang w:eastAsia="zh-CN"/>
        </w:rPr>
        <w:t xml:space="preserve">ITU-R </w:t>
      </w:r>
      <w:hyperlink r:id="rId17" w:history="1">
        <w:r w:rsidRPr="00F31BFC">
          <w:rPr>
            <w:rStyle w:val="Hyperlink"/>
            <w:szCs w:val="24"/>
            <w:lang w:eastAsia="zh-CN"/>
          </w:rPr>
          <w:t>SM.2258</w:t>
        </w:r>
      </w:hyperlink>
      <w:r>
        <w:rPr>
          <w:rFonts w:hint="eastAsia"/>
          <w:szCs w:val="24"/>
          <w:lang w:eastAsia="zh-CN"/>
        </w:rPr>
        <w:t>号报告的引证。它纠正了与“现行”建议书的一些不一致之处。</w:t>
      </w:r>
    </w:p>
    <w:p w:rsidR="00875328" w:rsidRDefault="00875328" w:rsidP="00875328">
      <w:pPr>
        <w:tabs>
          <w:tab w:val="right" w:pos="9639"/>
        </w:tabs>
        <w:spacing w:before="240" w:line="240" w:lineRule="auto"/>
        <w:rPr>
          <w:rFonts w:asciiTheme="minorHAnsi" w:hAnsiTheme="minorHAnsi" w:cstheme="minorHAnsi"/>
          <w:szCs w:val="24"/>
          <w:lang w:eastAsia="zh-CN"/>
        </w:rPr>
      </w:pPr>
      <w:r w:rsidRPr="00F31BFC">
        <w:rPr>
          <w:rFonts w:asciiTheme="minorHAnsi" w:hAnsiTheme="minorHAnsi" w:cstheme="minorHAnsi"/>
          <w:szCs w:val="24"/>
          <w:u w:val="single"/>
          <w:lang w:eastAsia="zh-CN"/>
        </w:rPr>
        <w:t>ITU-R SM.</w:t>
      </w:r>
      <w:r>
        <w:rPr>
          <w:rFonts w:asciiTheme="minorHAnsi" w:hAnsiTheme="minorHAnsi" w:cstheme="minorHAnsi"/>
          <w:szCs w:val="24"/>
          <w:u w:val="single"/>
          <w:lang w:eastAsia="zh-CN"/>
        </w:rPr>
        <w:t>1268-2</w:t>
      </w:r>
      <w:r>
        <w:rPr>
          <w:rFonts w:asciiTheme="minorHAnsi" w:hAnsiTheme="minorHAnsi" w:cstheme="minorHAnsi" w:hint="eastAsia"/>
          <w:szCs w:val="24"/>
          <w:u w:val="single"/>
          <w:lang w:eastAsia="zh-CN"/>
        </w:rPr>
        <w:t>建议书修订草案</w:t>
      </w:r>
      <w:r w:rsidRPr="00F31BFC">
        <w:rPr>
          <w:rFonts w:asciiTheme="minorHAnsi" w:hAnsiTheme="minorHAnsi" w:cstheme="minorHAnsi"/>
          <w:szCs w:val="24"/>
          <w:lang w:eastAsia="zh-CN"/>
        </w:rPr>
        <w:tab/>
        <w:t>1/97(Rev.1)</w:t>
      </w:r>
      <w:r>
        <w:rPr>
          <w:rFonts w:asciiTheme="minorHAnsi" w:hAnsiTheme="minorHAnsi" w:cstheme="minorHAnsi" w:hint="eastAsia"/>
          <w:szCs w:val="24"/>
          <w:lang w:eastAsia="zh-CN"/>
        </w:rPr>
        <w:t>号文件</w:t>
      </w:r>
    </w:p>
    <w:p w:rsidR="00875328" w:rsidRDefault="00875328" w:rsidP="00875328">
      <w:pPr>
        <w:pStyle w:val="Rectitle"/>
        <w:rPr>
          <w:lang w:eastAsia="zh-CN"/>
        </w:rPr>
      </w:pPr>
      <w:r w:rsidRPr="00F04CFA">
        <w:rPr>
          <w:rFonts w:hint="eastAsia"/>
          <w:lang w:eastAsia="zh-CN"/>
        </w:rPr>
        <w:t>监测站测量调频（</w:t>
      </w:r>
      <w:r w:rsidRPr="00F04CFA">
        <w:rPr>
          <w:rFonts w:hint="eastAsia"/>
          <w:lang w:eastAsia="zh-CN"/>
        </w:rPr>
        <w:t>FM</w:t>
      </w:r>
      <w:r w:rsidRPr="00F04CFA">
        <w:rPr>
          <w:rFonts w:hint="eastAsia"/>
          <w:lang w:eastAsia="zh-CN"/>
        </w:rPr>
        <w:t>）广播发射最大频偏的方法</w:t>
      </w:r>
    </w:p>
    <w:p w:rsidR="00875328" w:rsidRDefault="00875328" w:rsidP="00875328">
      <w:pPr>
        <w:spacing w:line="240" w:lineRule="auto"/>
        <w:ind w:firstLineChars="200" w:firstLine="480"/>
        <w:jc w:val="left"/>
        <w:rPr>
          <w:szCs w:val="24"/>
          <w:lang w:eastAsia="zh-CN"/>
        </w:rPr>
      </w:pPr>
      <w:r>
        <w:rPr>
          <w:rFonts w:hint="eastAsia"/>
          <w:szCs w:val="24"/>
          <w:lang w:eastAsia="zh-CN"/>
        </w:rPr>
        <w:t>对目前</w:t>
      </w:r>
      <w:r w:rsidRPr="00F31BFC">
        <w:rPr>
          <w:szCs w:val="24"/>
          <w:lang w:eastAsia="zh-CN"/>
        </w:rPr>
        <w:t>ITU-R SM.1268-2</w:t>
      </w:r>
      <w:r>
        <w:rPr>
          <w:rFonts w:hint="eastAsia"/>
          <w:szCs w:val="24"/>
          <w:lang w:eastAsia="zh-CN"/>
        </w:rPr>
        <w:t>号建议书的修改，是出于统计数据的考虑提出的。对建议书，尤其是其附件</w:t>
      </w:r>
      <w:r>
        <w:rPr>
          <w:rFonts w:hint="eastAsia"/>
          <w:szCs w:val="24"/>
          <w:lang w:eastAsia="zh-CN"/>
        </w:rPr>
        <w:t>2</w:t>
      </w:r>
      <w:r>
        <w:rPr>
          <w:rFonts w:hint="eastAsia"/>
          <w:szCs w:val="24"/>
          <w:lang w:eastAsia="zh-CN"/>
        </w:rPr>
        <w:t>进行的审议，揭示了可能引起误解的含混之处。“样本”和“峰值保持数值”在现行版本中的使用不一致。在对情况进行仔细分析后，提出了</w:t>
      </w:r>
      <w:r w:rsidRPr="00F31BFC">
        <w:rPr>
          <w:szCs w:val="24"/>
          <w:lang w:eastAsia="zh-CN"/>
        </w:rPr>
        <w:t>ITU-R SM.1268</w:t>
      </w:r>
      <w:r>
        <w:rPr>
          <w:rFonts w:hint="eastAsia"/>
          <w:szCs w:val="24"/>
          <w:lang w:eastAsia="zh-CN"/>
        </w:rPr>
        <w:t>建议书修订草案。除实质性修改外，还为了提高可理解度补充了一些编辑性修改。</w:t>
      </w:r>
    </w:p>
    <w:p w:rsidR="00875328" w:rsidRDefault="00875328" w:rsidP="00875328">
      <w:pPr>
        <w:tabs>
          <w:tab w:val="right" w:pos="9639"/>
        </w:tabs>
        <w:spacing w:before="240" w:line="240" w:lineRule="auto"/>
        <w:rPr>
          <w:rFonts w:asciiTheme="minorHAnsi" w:hAnsiTheme="minorHAnsi" w:cstheme="minorHAnsi"/>
          <w:szCs w:val="24"/>
          <w:lang w:eastAsia="zh-CN"/>
        </w:rPr>
      </w:pPr>
      <w:r w:rsidRPr="00F31BFC">
        <w:rPr>
          <w:rFonts w:asciiTheme="minorHAnsi" w:hAnsiTheme="minorHAnsi" w:cstheme="minorHAnsi"/>
          <w:szCs w:val="24"/>
          <w:u w:val="single"/>
          <w:lang w:eastAsia="zh-CN"/>
        </w:rPr>
        <w:t>ITU-R SM.</w:t>
      </w:r>
      <w:r>
        <w:rPr>
          <w:rFonts w:asciiTheme="minorHAnsi" w:hAnsiTheme="minorHAnsi" w:cstheme="minorHAnsi"/>
          <w:szCs w:val="24"/>
          <w:u w:val="single"/>
          <w:lang w:eastAsia="zh-CN"/>
        </w:rPr>
        <w:t>1875-1</w:t>
      </w:r>
      <w:r>
        <w:rPr>
          <w:rFonts w:asciiTheme="minorHAnsi" w:hAnsiTheme="minorHAnsi" w:cstheme="minorHAnsi" w:hint="eastAsia"/>
          <w:szCs w:val="24"/>
          <w:u w:val="single"/>
          <w:lang w:eastAsia="zh-CN"/>
        </w:rPr>
        <w:t>建议书修订草案</w:t>
      </w:r>
      <w:r w:rsidRPr="00F31BFC">
        <w:rPr>
          <w:rFonts w:asciiTheme="minorHAnsi" w:hAnsiTheme="minorHAnsi" w:cstheme="minorHAnsi"/>
          <w:szCs w:val="24"/>
          <w:lang w:eastAsia="zh-CN"/>
        </w:rPr>
        <w:tab/>
        <w:t>1/98(Rev.1)</w:t>
      </w:r>
      <w:r>
        <w:rPr>
          <w:rFonts w:asciiTheme="minorHAnsi" w:hAnsiTheme="minorHAnsi" w:cstheme="minorHAnsi" w:hint="eastAsia"/>
          <w:szCs w:val="24"/>
          <w:lang w:eastAsia="zh-CN"/>
        </w:rPr>
        <w:t>号文件</w:t>
      </w:r>
    </w:p>
    <w:p w:rsidR="00875328" w:rsidRDefault="00875328" w:rsidP="00875328">
      <w:pPr>
        <w:pStyle w:val="Rectitle"/>
        <w:rPr>
          <w:lang w:eastAsia="zh-CN"/>
        </w:rPr>
      </w:pPr>
      <w:r w:rsidRPr="00F04CFA">
        <w:rPr>
          <w:rFonts w:hint="eastAsia"/>
          <w:lang w:eastAsia="zh-CN"/>
        </w:rPr>
        <w:t>DVB-T</w:t>
      </w:r>
      <w:r w:rsidRPr="00F04CFA">
        <w:rPr>
          <w:rFonts w:hint="eastAsia"/>
          <w:lang w:eastAsia="zh-CN"/>
        </w:rPr>
        <w:t>覆盖测量和规划标准的验证</w:t>
      </w:r>
    </w:p>
    <w:p w:rsidR="00875328" w:rsidRPr="00F31BFC" w:rsidRDefault="00875328" w:rsidP="00875328">
      <w:pPr>
        <w:spacing w:line="240" w:lineRule="auto"/>
        <w:ind w:firstLineChars="200" w:firstLine="480"/>
        <w:jc w:val="left"/>
        <w:rPr>
          <w:szCs w:val="24"/>
          <w:lang w:eastAsia="zh-CN"/>
        </w:rPr>
      </w:pPr>
      <w:r>
        <w:rPr>
          <w:rFonts w:hint="eastAsia"/>
          <w:szCs w:val="24"/>
          <w:lang w:eastAsia="zh-CN"/>
        </w:rPr>
        <w:t>本版</w:t>
      </w:r>
      <w:r w:rsidRPr="00F31BFC">
        <w:rPr>
          <w:szCs w:val="24"/>
          <w:lang w:eastAsia="zh-CN"/>
        </w:rPr>
        <w:t>ITU-R SM.1875-1</w:t>
      </w:r>
      <w:r>
        <w:rPr>
          <w:rFonts w:hint="eastAsia"/>
          <w:szCs w:val="24"/>
          <w:lang w:eastAsia="zh-CN"/>
        </w:rPr>
        <w:t>建议书修改草案“</w:t>
      </w:r>
      <w:r w:rsidRPr="00F31BFC">
        <w:rPr>
          <w:szCs w:val="24"/>
          <w:lang w:eastAsia="zh-CN"/>
        </w:rPr>
        <w:t>DVB-T</w:t>
      </w:r>
      <w:r>
        <w:rPr>
          <w:rFonts w:hint="eastAsia"/>
          <w:szCs w:val="24"/>
          <w:lang w:eastAsia="zh-CN"/>
        </w:rPr>
        <w:t>覆盖范围测量和规划标准认证”要达到两个目标：</w:t>
      </w:r>
    </w:p>
    <w:p w:rsidR="00875328" w:rsidRPr="00F31BFC" w:rsidRDefault="00875328" w:rsidP="00875328">
      <w:pPr>
        <w:tabs>
          <w:tab w:val="clear" w:pos="794"/>
          <w:tab w:val="clear" w:pos="1191"/>
        </w:tabs>
        <w:spacing w:line="240" w:lineRule="auto"/>
        <w:ind w:left="709" w:hanging="709"/>
        <w:jc w:val="left"/>
        <w:rPr>
          <w:szCs w:val="24"/>
          <w:lang w:eastAsia="zh-CN"/>
        </w:rPr>
      </w:pPr>
      <w:r>
        <w:rPr>
          <w:szCs w:val="24"/>
          <w:lang w:eastAsia="zh-CN"/>
        </w:rPr>
        <w:t>–</w:t>
      </w:r>
      <w:r w:rsidRPr="00F31BFC">
        <w:rPr>
          <w:szCs w:val="24"/>
          <w:lang w:eastAsia="zh-CN"/>
        </w:rPr>
        <w:tab/>
      </w:r>
      <w:r>
        <w:rPr>
          <w:rFonts w:hint="eastAsia"/>
          <w:szCs w:val="24"/>
          <w:lang w:eastAsia="zh-CN"/>
        </w:rPr>
        <w:t>第一个目标涉及根据第</w:t>
      </w:r>
      <w:r>
        <w:rPr>
          <w:rFonts w:hint="eastAsia"/>
          <w:szCs w:val="24"/>
          <w:lang w:eastAsia="zh-CN"/>
        </w:rPr>
        <w:t>2.27</w:t>
      </w:r>
      <w:r>
        <w:rPr>
          <w:rFonts w:hint="eastAsia"/>
          <w:szCs w:val="24"/>
          <w:lang w:eastAsia="zh-CN"/>
        </w:rPr>
        <w:t>款的“标准误差”计算的</w:t>
      </w:r>
      <w:r w:rsidRPr="00F31BFC">
        <w:rPr>
          <w:szCs w:val="24"/>
          <w:lang w:eastAsia="zh-CN"/>
        </w:rPr>
        <w:t>DVB-T</w:t>
      </w:r>
      <w:r>
        <w:rPr>
          <w:rFonts w:hint="eastAsia"/>
          <w:szCs w:val="24"/>
          <w:lang w:eastAsia="zh-CN"/>
        </w:rPr>
        <w:t>信号频段频谱振幅</w:t>
      </w:r>
      <w:r w:rsidRPr="00F31BFC">
        <w:rPr>
          <w:szCs w:val="24"/>
        </w:rPr>
        <w:t>σ</w:t>
      </w:r>
      <w:r>
        <w:rPr>
          <w:rFonts w:hint="eastAsia"/>
          <w:szCs w:val="24"/>
          <w:lang w:eastAsia="zh-CN"/>
        </w:rPr>
        <w:t>的标准误差定义；</w:t>
      </w:r>
    </w:p>
    <w:p w:rsidR="00875328" w:rsidRPr="00F31BFC" w:rsidRDefault="00875328" w:rsidP="00875328">
      <w:pPr>
        <w:tabs>
          <w:tab w:val="clear" w:pos="794"/>
        </w:tabs>
        <w:spacing w:line="240" w:lineRule="auto"/>
        <w:ind w:left="709" w:hanging="709"/>
        <w:jc w:val="left"/>
        <w:rPr>
          <w:szCs w:val="24"/>
          <w:lang w:eastAsia="zh-CN"/>
        </w:rPr>
      </w:pPr>
      <w:r>
        <w:rPr>
          <w:szCs w:val="24"/>
          <w:lang w:eastAsia="zh-CN"/>
        </w:rPr>
        <w:t>–</w:t>
      </w:r>
      <w:r w:rsidRPr="00F31BFC">
        <w:rPr>
          <w:szCs w:val="24"/>
          <w:lang w:eastAsia="zh-CN"/>
        </w:rPr>
        <w:tab/>
      </w:r>
      <w:r>
        <w:rPr>
          <w:rFonts w:hint="eastAsia"/>
          <w:szCs w:val="24"/>
          <w:lang w:eastAsia="zh-CN"/>
        </w:rPr>
        <w:t>第二个目标是就针对强制执行第</w:t>
      </w:r>
      <w:r>
        <w:rPr>
          <w:rFonts w:hint="eastAsia"/>
          <w:szCs w:val="24"/>
          <w:lang w:eastAsia="zh-CN"/>
        </w:rPr>
        <w:t>3.1.4.1</w:t>
      </w:r>
      <w:r>
        <w:rPr>
          <w:rFonts w:hint="eastAsia"/>
          <w:szCs w:val="24"/>
          <w:lang w:eastAsia="zh-CN"/>
        </w:rPr>
        <w:t>款“</w:t>
      </w:r>
      <w:r w:rsidRPr="00A74FCE">
        <w:rPr>
          <w:rFonts w:hint="eastAsia"/>
          <w:szCs w:val="24"/>
          <w:lang w:eastAsia="zh-CN"/>
        </w:rPr>
        <w:t>验证均匀的场强分布</w:t>
      </w:r>
      <w:r>
        <w:rPr>
          <w:rFonts w:hint="eastAsia"/>
          <w:szCs w:val="24"/>
          <w:lang w:eastAsia="zh-CN"/>
        </w:rPr>
        <w:t>”要求的质疑提供论据。</w:t>
      </w:r>
    </w:p>
    <w:p w:rsidR="00875328" w:rsidRDefault="00875328" w:rsidP="00875328">
      <w:pPr>
        <w:tabs>
          <w:tab w:val="right" w:pos="9639"/>
        </w:tabs>
        <w:spacing w:before="240" w:line="240" w:lineRule="auto"/>
        <w:rPr>
          <w:rFonts w:asciiTheme="minorHAnsi" w:hAnsiTheme="minorHAnsi" w:cstheme="minorHAnsi"/>
          <w:szCs w:val="24"/>
          <w:lang w:eastAsia="zh-CN"/>
        </w:rPr>
      </w:pPr>
      <w:r w:rsidRPr="00F31BFC">
        <w:rPr>
          <w:rFonts w:asciiTheme="minorHAnsi" w:hAnsiTheme="minorHAnsi" w:cstheme="minorHAnsi"/>
          <w:szCs w:val="24"/>
          <w:u w:val="single"/>
          <w:lang w:eastAsia="zh-CN"/>
        </w:rPr>
        <w:t>ITU-R SM.</w:t>
      </w:r>
      <w:r>
        <w:rPr>
          <w:rFonts w:asciiTheme="minorHAnsi" w:hAnsiTheme="minorHAnsi" w:cstheme="minorHAnsi"/>
          <w:szCs w:val="24"/>
          <w:u w:val="single"/>
          <w:lang w:eastAsia="zh-CN"/>
        </w:rPr>
        <w:t>1413-2</w:t>
      </w:r>
      <w:r>
        <w:rPr>
          <w:rFonts w:asciiTheme="minorHAnsi" w:hAnsiTheme="minorHAnsi" w:cstheme="minorHAnsi" w:hint="eastAsia"/>
          <w:szCs w:val="24"/>
          <w:u w:val="single"/>
          <w:lang w:eastAsia="zh-CN"/>
        </w:rPr>
        <w:t>建议书修订草案</w:t>
      </w:r>
      <w:r w:rsidRPr="00F31BFC">
        <w:rPr>
          <w:rFonts w:asciiTheme="minorHAnsi" w:hAnsiTheme="minorHAnsi" w:cstheme="minorHAnsi"/>
          <w:szCs w:val="24"/>
          <w:lang w:eastAsia="zh-CN"/>
        </w:rPr>
        <w:tab/>
        <w:t>1/102(Rev.1)</w:t>
      </w:r>
      <w:r>
        <w:rPr>
          <w:rFonts w:asciiTheme="minorHAnsi" w:hAnsiTheme="minorHAnsi" w:cstheme="minorHAnsi" w:hint="eastAsia"/>
          <w:szCs w:val="24"/>
          <w:lang w:eastAsia="zh-CN"/>
        </w:rPr>
        <w:t>号文件</w:t>
      </w:r>
    </w:p>
    <w:p w:rsidR="00875328" w:rsidRDefault="00875328" w:rsidP="00875328">
      <w:pPr>
        <w:pStyle w:val="Rectitle"/>
        <w:rPr>
          <w:lang w:eastAsia="zh-CN"/>
        </w:rPr>
      </w:pPr>
      <w:r w:rsidRPr="00024DFC">
        <w:rPr>
          <w:rFonts w:hint="eastAsia"/>
          <w:lang w:eastAsia="zh-CN"/>
        </w:rPr>
        <w:t>无线电通信数据字典（</w:t>
      </w:r>
      <w:r w:rsidRPr="00024DFC">
        <w:rPr>
          <w:rFonts w:hint="eastAsia"/>
          <w:lang w:eastAsia="zh-CN"/>
        </w:rPr>
        <w:t>RDD</w:t>
      </w:r>
      <w:r w:rsidRPr="00024DFC">
        <w:rPr>
          <w:rFonts w:hint="eastAsia"/>
          <w:lang w:eastAsia="zh-CN"/>
        </w:rPr>
        <w:t>）</w:t>
      </w:r>
    </w:p>
    <w:p w:rsidR="00875328" w:rsidRDefault="00875328" w:rsidP="00875328">
      <w:pPr>
        <w:spacing w:line="240" w:lineRule="auto"/>
        <w:ind w:firstLineChars="200" w:firstLine="480"/>
        <w:jc w:val="left"/>
        <w:rPr>
          <w:szCs w:val="24"/>
          <w:lang w:eastAsia="zh-CN"/>
        </w:rPr>
      </w:pPr>
      <w:r w:rsidRPr="00F31BFC">
        <w:rPr>
          <w:szCs w:val="24"/>
          <w:lang w:eastAsia="zh-CN"/>
        </w:rPr>
        <w:t>WRC-07</w:t>
      </w:r>
      <w:r>
        <w:rPr>
          <w:rFonts w:hint="eastAsia"/>
          <w:szCs w:val="24"/>
          <w:lang w:eastAsia="zh-CN"/>
        </w:rPr>
        <w:t>和</w:t>
      </w:r>
      <w:r w:rsidRPr="00F31BFC">
        <w:rPr>
          <w:szCs w:val="24"/>
          <w:lang w:eastAsia="zh-CN"/>
        </w:rPr>
        <w:t>WRC-12</w:t>
      </w:r>
      <w:r>
        <w:rPr>
          <w:rFonts w:hint="eastAsia"/>
          <w:szCs w:val="24"/>
          <w:lang w:eastAsia="zh-CN"/>
        </w:rPr>
        <w:t>对《无线电规则》附录</w:t>
      </w:r>
      <w:r>
        <w:rPr>
          <w:rFonts w:hint="eastAsia"/>
          <w:szCs w:val="24"/>
          <w:lang w:eastAsia="zh-CN"/>
        </w:rPr>
        <w:t>4</w:t>
      </w:r>
      <w:r>
        <w:rPr>
          <w:rFonts w:hint="eastAsia"/>
          <w:szCs w:val="24"/>
          <w:lang w:eastAsia="zh-CN"/>
        </w:rPr>
        <w:t>的修改，对地面和空间通知数据都具有影响。</w:t>
      </w:r>
    </w:p>
    <w:p w:rsidR="00D80CDE" w:rsidRDefault="00D80CDE">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rsidR="00875328" w:rsidRPr="00F31BFC" w:rsidRDefault="00875328" w:rsidP="00875328">
      <w:pPr>
        <w:spacing w:line="240" w:lineRule="auto"/>
        <w:ind w:firstLineChars="200" w:firstLine="480"/>
        <w:jc w:val="left"/>
        <w:rPr>
          <w:szCs w:val="24"/>
          <w:lang w:eastAsia="zh-CN"/>
        </w:rPr>
      </w:pPr>
      <w:r>
        <w:rPr>
          <w:rFonts w:hint="eastAsia"/>
          <w:szCs w:val="24"/>
          <w:lang w:eastAsia="zh-CN"/>
        </w:rPr>
        <w:lastRenderedPageBreak/>
        <w:t>此外，第</w:t>
      </w:r>
      <w:r>
        <w:rPr>
          <w:rFonts w:hint="eastAsia"/>
          <w:szCs w:val="24"/>
          <w:lang w:eastAsia="zh-CN"/>
        </w:rPr>
        <w:t>906</w:t>
      </w:r>
      <w:r>
        <w:rPr>
          <w:rFonts w:hint="eastAsia"/>
          <w:szCs w:val="24"/>
          <w:lang w:eastAsia="zh-CN"/>
        </w:rPr>
        <w:t>号决议（</w:t>
      </w:r>
      <w:r>
        <w:rPr>
          <w:rFonts w:hint="eastAsia"/>
          <w:szCs w:val="24"/>
          <w:lang w:eastAsia="zh-CN"/>
        </w:rPr>
        <w:t>WRC-07</w:t>
      </w:r>
      <w:r>
        <w:rPr>
          <w:rFonts w:hint="eastAsia"/>
          <w:szCs w:val="24"/>
          <w:lang w:eastAsia="zh-CN"/>
        </w:rPr>
        <w:t>）做出决议，</w:t>
      </w:r>
      <w:r w:rsidRPr="00D80CDE">
        <w:rPr>
          <w:rFonts w:ascii="STKaiti" w:eastAsia="STKaiti" w:hAnsi="STKaiti" w:hint="eastAsia"/>
          <w:i/>
          <w:iCs/>
          <w:lang w:eastAsia="zh-CN"/>
        </w:rPr>
        <w:t>自2009年1月1日起，须只以电子格式向无线电通信局提交地面业务通知单</w:t>
      </w:r>
      <w:r w:rsidRPr="00D80CDE">
        <w:rPr>
          <w:rFonts w:hint="eastAsia"/>
          <w:i/>
          <w:iCs/>
          <w:lang w:eastAsia="zh-CN"/>
        </w:rPr>
        <w:t>，</w:t>
      </w:r>
      <w:r>
        <w:rPr>
          <w:rFonts w:hint="eastAsia"/>
          <w:lang w:eastAsia="zh-CN"/>
        </w:rPr>
        <w:t>并要求对</w:t>
      </w:r>
      <w:r>
        <w:rPr>
          <w:rFonts w:hint="eastAsia"/>
          <w:lang w:eastAsia="zh-CN"/>
        </w:rPr>
        <w:t>RDD</w:t>
      </w:r>
      <w:r>
        <w:rPr>
          <w:rFonts w:hint="eastAsia"/>
          <w:lang w:eastAsia="zh-CN"/>
        </w:rPr>
        <w:t>的地面部分进行审议，以确保其中的信息考虑到了停止使用纸质通知的问题。</w:t>
      </w:r>
    </w:p>
    <w:p w:rsidR="00875328" w:rsidRPr="00F31BFC" w:rsidRDefault="00875328" w:rsidP="00875328">
      <w:pPr>
        <w:spacing w:line="240" w:lineRule="auto"/>
        <w:ind w:firstLineChars="200" w:firstLine="480"/>
        <w:jc w:val="left"/>
        <w:rPr>
          <w:szCs w:val="24"/>
          <w:lang w:eastAsia="zh-CN"/>
        </w:rPr>
      </w:pPr>
      <w:r>
        <w:rPr>
          <w:rFonts w:hint="eastAsia"/>
          <w:szCs w:val="24"/>
          <w:lang w:eastAsia="zh-CN"/>
        </w:rPr>
        <w:t>对《无线电规则》附录</w:t>
      </w:r>
      <w:r>
        <w:rPr>
          <w:rFonts w:hint="eastAsia"/>
          <w:szCs w:val="24"/>
          <w:lang w:eastAsia="zh-CN"/>
        </w:rPr>
        <w:t>4</w:t>
      </w:r>
      <w:r>
        <w:rPr>
          <w:rFonts w:hint="eastAsia"/>
          <w:szCs w:val="24"/>
          <w:lang w:eastAsia="zh-CN"/>
        </w:rPr>
        <w:t>和第</w:t>
      </w:r>
      <w:r>
        <w:rPr>
          <w:rFonts w:hint="eastAsia"/>
          <w:szCs w:val="24"/>
          <w:lang w:eastAsia="zh-CN"/>
        </w:rPr>
        <w:t>906</w:t>
      </w:r>
      <w:r>
        <w:rPr>
          <w:rFonts w:hint="eastAsia"/>
          <w:szCs w:val="24"/>
          <w:lang w:eastAsia="zh-CN"/>
        </w:rPr>
        <w:t>号决议（</w:t>
      </w:r>
      <w:r>
        <w:rPr>
          <w:rFonts w:hint="eastAsia"/>
          <w:szCs w:val="24"/>
          <w:lang w:eastAsia="zh-CN"/>
        </w:rPr>
        <w:t>WRC-07</w:t>
      </w:r>
      <w:r>
        <w:rPr>
          <w:rFonts w:hint="eastAsia"/>
          <w:szCs w:val="24"/>
          <w:lang w:eastAsia="zh-CN"/>
        </w:rPr>
        <w:t>）的修订带来的变化影响到</w:t>
      </w:r>
      <w:r>
        <w:rPr>
          <w:rFonts w:hint="eastAsia"/>
          <w:szCs w:val="24"/>
          <w:lang w:eastAsia="zh-CN"/>
        </w:rPr>
        <w:t>RDD</w:t>
      </w:r>
      <w:r>
        <w:rPr>
          <w:rFonts w:hint="eastAsia"/>
          <w:szCs w:val="24"/>
          <w:lang w:eastAsia="zh-CN"/>
        </w:rPr>
        <w:t>的多个部分，具体涉及：</w:t>
      </w:r>
    </w:p>
    <w:p w:rsidR="00875328" w:rsidRPr="00F31BFC" w:rsidRDefault="00875328" w:rsidP="00875328">
      <w:pPr>
        <w:spacing w:before="80" w:line="240" w:lineRule="auto"/>
        <w:ind w:left="720"/>
        <w:rPr>
          <w:szCs w:val="24"/>
          <w:lang w:val="en-GB" w:eastAsia="zh-CN"/>
        </w:rPr>
      </w:pPr>
      <w:r>
        <w:rPr>
          <w:rFonts w:hint="eastAsia"/>
          <w:szCs w:val="24"/>
          <w:lang w:val="en-GB" w:eastAsia="zh-CN"/>
        </w:rPr>
        <w:t>第</w:t>
      </w:r>
      <w:r w:rsidRPr="00F31BFC">
        <w:rPr>
          <w:szCs w:val="24"/>
          <w:lang w:val="en-GB" w:eastAsia="zh-CN"/>
        </w:rPr>
        <w:t>2</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地面通知数据；</w:t>
      </w:r>
    </w:p>
    <w:p w:rsidR="00875328" w:rsidRPr="00F31BFC" w:rsidRDefault="00875328" w:rsidP="00875328">
      <w:pPr>
        <w:spacing w:before="80" w:line="240" w:lineRule="auto"/>
        <w:ind w:left="720"/>
        <w:rPr>
          <w:szCs w:val="24"/>
          <w:lang w:val="en-GB" w:eastAsia="zh-CN"/>
        </w:rPr>
      </w:pPr>
      <w:r>
        <w:rPr>
          <w:rFonts w:hint="eastAsia"/>
          <w:szCs w:val="24"/>
          <w:lang w:val="en-GB" w:eastAsia="zh-CN"/>
        </w:rPr>
        <w:t>第</w:t>
      </w:r>
      <w:r>
        <w:rPr>
          <w:rFonts w:hint="eastAsia"/>
          <w:szCs w:val="24"/>
          <w:lang w:val="en-GB" w:eastAsia="zh-CN"/>
        </w:rPr>
        <w:t>3</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对地面系统和服务数据项的说明；</w:t>
      </w:r>
    </w:p>
    <w:p w:rsidR="00875328" w:rsidRPr="00F31BFC" w:rsidRDefault="00875328" w:rsidP="00875328">
      <w:pPr>
        <w:spacing w:before="80" w:line="240" w:lineRule="auto"/>
        <w:ind w:left="720"/>
        <w:rPr>
          <w:szCs w:val="24"/>
          <w:lang w:val="en-GB" w:eastAsia="zh-CN"/>
        </w:rPr>
      </w:pPr>
      <w:r>
        <w:rPr>
          <w:rFonts w:hint="eastAsia"/>
          <w:szCs w:val="24"/>
          <w:lang w:val="en-GB" w:eastAsia="zh-CN"/>
        </w:rPr>
        <w:t>第</w:t>
      </w:r>
      <w:r>
        <w:rPr>
          <w:rFonts w:hint="eastAsia"/>
          <w:szCs w:val="24"/>
          <w:lang w:val="en-GB" w:eastAsia="zh-CN"/>
        </w:rPr>
        <w:t>4</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空间提前发布、通知和协调数据；以及</w:t>
      </w:r>
    </w:p>
    <w:p w:rsidR="00875328" w:rsidRPr="00F31BFC" w:rsidRDefault="00875328" w:rsidP="00875328">
      <w:pPr>
        <w:spacing w:before="80" w:line="240" w:lineRule="auto"/>
        <w:ind w:left="720"/>
        <w:rPr>
          <w:noProof/>
          <w:szCs w:val="24"/>
          <w:lang w:val="en-GB" w:eastAsia="zh-CN"/>
        </w:rPr>
      </w:pPr>
      <w:r>
        <w:rPr>
          <w:rFonts w:hint="eastAsia"/>
          <w:szCs w:val="24"/>
          <w:lang w:val="en-GB" w:eastAsia="zh-CN"/>
        </w:rPr>
        <w:t>第</w:t>
      </w:r>
      <w:r>
        <w:rPr>
          <w:rFonts w:hint="eastAsia"/>
          <w:szCs w:val="24"/>
          <w:lang w:val="en-GB" w:eastAsia="zh-CN"/>
        </w:rPr>
        <w:t>5</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对空间数据项的说明。</w:t>
      </w:r>
    </w:p>
    <w:p w:rsidR="00875328" w:rsidRPr="00F31BFC" w:rsidRDefault="00875328" w:rsidP="00875328">
      <w:pPr>
        <w:spacing w:line="240" w:lineRule="auto"/>
        <w:ind w:firstLineChars="200" w:firstLine="480"/>
        <w:rPr>
          <w:noProof/>
          <w:szCs w:val="24"/>
          <w:lang w:val="en-GB" w:eastAsia="zh-CN"/>
        </w:rPr>
      </w:pPr>
      <w:r>
        <w:rPr>
          <w:rFonts w:hint="eastAsia"/>
          <w:noProof/>
          <w:szCs w:val="24"/>
          <w:lang w:val="en-GB" w:eastAsia="zh-CN"/>
        </w:rPr>
        <w:t>对这几节的修改导致有必要对以下部分做出后续修改：</w:t>
      </w:r>
    </w:p>
    <w:p w:rsidR="00875328" w:rsidRPr="00F31BFC" w:rsidRDefault="00875328" w:rsidP="00875328">
      <w:pPr>
        <w:spacing w:before="80" w:line="240" w:lineRule="auto"/>
        <w:ind w:left="720"/>
        <w:rPr>
          <w:szCs w:val="24"/>
          <w:lang w:val="en-GB" w:eastAsia="zh-CN"/>
        </w:rPr>
      </w:pPr>
      <w:r>
        <w:rPr>
          <w:rFonts w:hint="eastAsia"/>
          <w:szCs w:val="24"/>
          <w:lang w:val="en-GB" w:eastAsia="zh-CN"/>
        </w:rPr>
        <w:t>第</w:t>
      </w:r>
      <w:r>
        <w:rPr>
          <w:rFonts w:hint="eastAsia"/>
          <w:szCs w:val="24"/>
          <w:lang w:val="en-GB" w:eastAsia="zh-CN"/>
        </w:rPr>
        <w:t>7</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图形；</w:t>
      </w:r>
    </w:p>
    <w:p w:rsidR="00875328" w:rsidRPr="00F31BFC" w:rsidRDefault="00875328" w:rsidP="00875328">
      <w:pPr>
        <w:spacing w:before="80" w:line="240" w:lineRule="auto"/>
        <w:ind w:left="720"/>
        <w:rPr>
          <w:noProof/>
          <w:szCs w:val="24"/>
          <w:lang w:val="en-GB" w:eastAsia="zh-CN"/>
        </w:rPr>
      </w:pPr>
      <w:r>
        <w:rPr>
          <w:rFonts w:hint="eastAsia"/>
          <w:szCs w:val="24"/>
          <w:lang w:val="en-GB" w:eastAsia="zh-CN"/>
        </w:rPr>
        <w:t>第</w:t>
      </w:r>
      <w:r>
        <w:rPr>
          <w:rFonts w:hint="eastAsia"/>
          <w:szCs w:val="24"/>
          <w:lang w:val="en-GB" w:eastAsia="zh-CN"/>
        </w:rPr>
        <w:t>8</w:t>
      </w:r>
      <w:r>
        <w:rPr>
          <w:rFonts w:hint="eastAsia"/>
          <w:szCs w:val="24"/>
          <w:lang w:val="en-GB" w:eastAsia="zh-CN"/>
        </w:rPr>
        <w:t>节：</w:t>
      </w:r>
      <w:r>
        <w:rPr>
          <w:rFonts w:hint="eastAsia"/>
          <w:szCs w:val="24"/>
          <w:lang w:val="en-GB" w:eastAsia="zh-CN"/>
        </w:rPr>
        <w:tab/>
      </w:r>
      <w:r w:rsidRPr="00F31BFC">
        <w:rPr>
          <w:szCs w:val="24"/>
          <w:lang w:val="en-GB" w:eastAsia="zh-CN"/>
        </w:rPr>
        <w:tab/>
      </w:r>
      <w:r>
        <w:rPr>
          <w:rFonts w:hint="eastAsia"/>
          <w:noProof/>
          <w:szCs w:val="24"/>
          <w:lang w:val="en-GB" w:eastAsia="zh-CN"/>
        </w:rPr>
        <w:t>《无线电规则》附录</w:t>
      </w:r>
      <w:r>
        <w:rPr>
          <w:rFonts w:hint="eastAsia"/>
          <w:noProof/>
          <w:szCs w:val="24"/>
          <w:lang w:val="en-GB" w:eastAsia="zh-CN"/>
        </w:rPr>
        <w:t>4</w:t>
      </w:r>
      <w:r>
        <w:rPr>
          <w:rFonts w:hint="eastAsia"/>
          <w:noProof/>
          <w:szCs w:val="24"/>
          <w:lang w:val="en-GB" w:eastAsia="zh-CN"/>
        </w:rPr>
        <w:t>和</w:t>
      </w:r>
      <w:r>
        <w:rPr>
          <w:rFonts w:hint="eastAsia"/>
          <w:noProof/>
          <w:szCs w:val="24"/>
          <w:lang w:val="en-GB" w:eastAsia="zh-CN"/>
        </w:rPr>
        <w:t>RDD</w:t>
      </w:r>
      <w:r>
        <w:rPr>
          <w:rFonts w:hint="eastAsia"/>
          <w:noProof/>
          <w:szCs w:val="24"/>
          <w:lang w:val="en-GB" w:eastAsia="zh-CN"/>
        </w:rPr>
        <w:t>之间图表的交叉引证；以及</w:t>
      </w:r>
    </w:p>
    <w:p w:rsidR="00875328" w:rsidRPr="00F31BFC" w:rsidRDefault="00875328" w:rsidP="00875328">
      <w:pPr>
        <w:spacing w:before="80" w:line="240" w:lineRule="auto"/>
        <w:ind w:left="720"/>
        <w:rPr>
          <w:szCs w:val="24"/>
          <w:lang w:val="en-GB" w:eastAsia="zh-CN"/>
        </w:rPr>
      </w:pPr>
      <w:r>
        <w:rPr>
          <w:rFonts w:hint="eastAsia"/>
          <w:szCs w:val="24"/>
          <w:lang w:val="en-GB" w:eastAsia="zh-CN"/>
        </w:rPr>
        <w:t>第</w:t>
      </w:r>
      <w:r>
        <w:rPr>
          <w:rFonts w:hint="eastAsia"/>
          <w:szCs w:val="24"/>
          <w:lang w:val="en-GB" w:eastAsia="zh-CN"/>
        </w:rPr>
        <w:t>10</w:t>
      </w:r>
      <w:r>
        <w:rPr>
          <w:rFonts w:hint="eastAsia"/>
          <w:szCs w:val="24"/>
          <w:lang w:val="en-GB" w:eastAsia="zh-CN"/>
        </w:rPr>
        <w:t>节：</w:t>
      </w:r>
      <w:r w:rsidRPr="00F31BFC">
        <w:rPr>
          <w:szCs w:val="24"/>
          <w:lang w:val="en-GB" w:eastAsia="zh-CN"/>
        </w:rPr>
        <w:tab/>
      </w:r>
      <w:r>
        <w:rPr>
          <w:rFonts w:hint="eastAsia"/>
          <w:szCs w:val="24"/>
          <w:lang w:val="en-GB" w:eastAsia="zh-CN"/>
        </w:rPr>
        <w:t>数据项的参考索引。</w:t>
      </w:r>
    </w:p>
    <w:p w:rsidR="00875328" w:rsidRDefault="00875328" w:rsidP="00875328">
      <w:pPr>
        <w:spacing w:line="240" w:lineRule="auto"/>
        <w:ind w:firstLineChars="200" w:firstLine="480"/>
        <w:jc w:val="left"/>
        <w:rPr>
          <w:szCs w:val="24"/>
          <w:lang w:val="en-GB" w:eastAsia="zh-CN"/>
        </w:rPr>
      </w:pPr>
      <w:r>
        <w:rPr>
          <w:rFonts w:hint="eastAsia"/>
          <w:szCs w:val="24"/>
          <w:lang w:val="en-GB" w:eastAsia="zh-CN"/>
        </w:rPr>
        <w:t>值得注意的是，第</w:t>
      </w:r>
      <w:r>
        <w:rPr>
          <w:rFonts w:hint="eastAsia"/>
          <w:szCs w:val="24"/>
          <w:lang w:val="en-GB" w:eastAsia="zh-CN"/>
        </w:rPr>
        <w:t>10</w:t>
      </w:r>
      <w:r>
        <w:rPr>
          <w:rFonts w:hint="eastAsia"/>
          <w:szCs w:val="24"/>
          <w:lang w:val="en-GB" w:eastAsia="zh-CN"/>
        </w:rPr>
        <w:t>节在清除文件中的修改符之前无法更新，而它采用的是标准格式。</w:t>
      </w:r>
    </w:p>
    <w:p w:rsidR="00875328" w:rsidRPr="00F31BFC" w:rsidRDefault="00875328" w:rsidP="00875328">
      <w:pPr>
        <w:spacing w:line="240" w:lineRule="auto"/>
        <w:ind w:firstLineChars="200" w:firstLine="480"/>
        <w:jc w:val="left"/>
        <w:rPr>
          <w:szCs w:val="24"/>
          <w:lang w:val="en-GB" w:eastAsia="zh-CN"/>
        </w:rPr>
      </w:pPr>
      <w:r>
        <w:rPr>
          <w:rFonts w:hint="eastAsia"/>
          <w:szCs w:val="24"/>
          <w:lang w:val="en-GB" w:eastAsia="zh-CN"/>
        </w:rPr>
        <w:t>包括无线电通信局提供的数据的第</w:t>
      </w:r>
      <w:r>
        <w:rPr>
          <w:rFonts w:hint="eastAsia"/>
          <w:szCs w:val="24"/>
          <w:lang w:val="en-GB" w:eastAsia="zh-CN"/>
        </w:rPr>
        <w:t>9</w:t>
      </w:r>
      <w:r>
        <w:rPr>
          <w:rFonts w:hint="eastAsia"/>
          <w:szCs w:val="24"/>
          <w:lang w:val="en-GB" w:eastAsia="zh-CN"/>
        </w:rPr>
        <w:t>节，只有在通过对建议书修订后才能够正式提供。</w:t>
      </w:r>
    </w:p>
    <w:p w:rsidR="00875328" w:rsidRPr="00F31BFC" w:rsidRDefault="00875328" w:rsidP="00875328">
      <w:pPr>
        <w:spacing w:line="240" w:lineRule="auto"/>
        <w:jc w:val="left"/>
        <w:rPr>
          <w:szCs w:val="24"/>
          <w:lang w:val="en-GB" w:eastAsia="zh-CN"/>
        </w:rPr>
      </w:pPr>
    </w:p>
    <w:p w:rsidR="00875328" w:rsidRPr="00DA383E" w:rsidRDefault="00875328" w:rsidP="00875328">
      <w:pPr>
        <w:tabs>
          <w:tab w:val="right" w:pos="9639"/>
        </w:tabs>
        <w:spacing w:before="240" w:line="240" w:lineRule="auto"/>
        <w:rPr>
          <w:rFonts w:asciiTheme="minorHAnsi" w:hAnsiTheme="minorHAnsi" w:cstheme="minorHAnsi"/>
          <w:szCs w:val="24"/>
          <w:lang w:eastAsia="zh-CN"/>
        </w:rPr>
      </w:pPr>
      <w:r w:rsidRPr="00F31BFC">
        <w:rPr>
          <w:rFonts w:asciiTheme="minorHAnsi" w:hAnsiTheme="minorHAnsi" w:cstheme="minorHAnsi"/>
          <w:szCs w:val="24"/>
          <w:u w:val="single"/>
          <w:lang w:eastAsia="zh-CN"/>
        </w:rPr>
        <w:t>ITU-R SM.</w:t>
      </w:r>
      <w:r>
        <w:rPr>
          <w:rFonts w:asciiTheme="minorHAnsi" w:hAnsiTheme="minorHAnsi" w:cstheme="minorHAnsi"/>
          <w:szCs w:val="24"/>
          <w:u w:val="single"/>
          <w:lang w:eastAsia="zh-CN"/>
        </w:rPr>
        <w:t>1603-1</w:t>
      </w:r>
      <w:r>
        <w:rPr>
          <w:rFonts w:asciiTheme="minorHAnsi" w:hAnsiTheme="minorHAnsi" w:cstheme="minorHAnsi" w:hint="eastAsia"/>
          <w:szCs w:val="24"/>
          <w:u w:val="single"/>
          <w:lang w:eastAsia="zh-CN"/>
        </w:rPr>
        <w:t>建议书修订草案</w:t>
      </w:r>
      <w:r w:rsidRPr="00F31BFC">
        <w:rPr>
          <w:rFonts w:asciiTheme="minorHAnsi" w:hAnsiTheme="minorHAnsi" w:cstheme="minorHAnsi"/>
          <w:szCs w:val="24"/>
          <w:lang w:eastAsia="zh-CN"/>
        </w:rPr>
        <w:tab/>
        <w:t>1/103(Rev.1)</w:t>
      </w:r>
      <w:r>
        <w:rPr>
          <w:rFonts w:asciiTheme="minorHAnsi" w:hAnsiTheme="minorHAnsi" w:cstheme="minorHAnsi" w:hint="eastAsia"/>
          <w:szCs w:val="24"/>
          <w:lang w:eastAsia="zh-CN"/>
        </w:rPr>
        <w:t>号文件</w:t>
      </w:r>
    </w:p>
    <w:p w:rsidR="00875328" w:rsidRPr="00F265BC" w:rsidRDefault="00875328" w:rsidP="00875328">
      <w:pPr>
        <w:pStyle w:val="Rectitle"/>
        <w:rPr>
          <w:lang w:eastAsia="zh-CN"/>
        </w:rPr>
      </w:pPr>
      <w:r>
        <w:rPr>
          <w:rFonts w:hint="eastAsia"/>
          <w:lang w:eastAsia="zh-CN"/>
        </w:rPr>
        <w:t>作为一种国家频谱管理方法的频谱再利用</w:t>
      </w:r>
    </w:p>
    <w:p w:rsidR="00875328" w:rsidRPr="00F265BC" w:rsidRDefault="00875328" w:rsidP="00875328">
      <w:pPr>
        <w:spacing w:line="240" w:lineRule="auto"/>
        <w:ind w:firstLineChars="200" w:firstLine="480"/>
        <w:rPr>
          <w:rFonts w:eastAsia="SimSun"/>
          <w:szCs w:val="24"/>
          <w:lang w:eastAsia="zh-CN"/>
        </w:rPr>
      </w:pPr>
      <w:r>
        <w:rPr>
          <w:rFonts w:eastAsia="SimSun" w:hint="eastAsia"/>
          <w:szCs w:val="24"/>
          <w:lang w:eastAsia="zh-CN"/>
        </w:rPr>
        <w:t>修改的目标如下：</w:t>
      </w:r>
    </w:p>
    <w:p w:rsidR="00875328" w:rsidRPr="00F265BC" w:rsidRDefault="00875328" w:rsidP="00875328">
      <w:pPr>
        <w:pStyle w:val="enumlev1"/>
        <w:tabs>
          <w:tab w:val="clear" w:pos="794"/>
        </w:tabs>
        <w:spacing w:line="240" w:lineRule="auto"/>
        <w:jc w:val="left"/>
        <w:rPr>
          <w:szCs w:val="24"/>
          <w:lang w:eastAsia="zh-CN"/>
        </w:rPr>
      </w:pPr>
      <w:r w:rsidRPr="00F265BC">
        <w:rPr>
          <w:szCs w:val="24"/>
          <w:lang w:eastAsia="zh-CN"/>
        </w:rPr>
        <w:t>1)</w:t>
      </w:r>
      <w:r w:rsidRPr="00F265BC">
        <w:rPr>
          <w:szCs w:val="24"/>
          <w:lang w:eastAsia="zh-CN"/>
        </w:rPr>
        <w:tab/>
      </w:r>
      <w:r>
        <w:rPr>
          <w:rFonts w:hint="eastAsia"/>
          <w:szCs w:val="24"/>
          <w:lang w:eastAsia="zh-CN"/>
        </w:rPr>
        <w:t>附件</w:t>
      </w:r>
      <w:r>
        <w:rPr>
          <w:rFonts w:hint="eastAsia"/>
          <w:szCs w:val="24"/>
          <w:lang w:eastAsia="zh-CN"/>
        </w:rPr>
        <w:t>1</w:t>
      </w:r>
      <w:r>
        <w:rPr>
          <w:rFonts w:hint="eastAsia"/>
          <w:szCs w:val="24"/>
          <w:lang w:eastAsia="zh-CN"/>
        </w:rPr>
        <w:t>的</w:t>
      </w:r>
      <w:r w:rsidRPr="00F265BC">
        <w:rPr>
          <w:szCs w:val="24"/>
          <w:lang w:eastAsia="zh-CN"/>
        </w:rPr>
        <w:t>3.2.2.2</w:t>
      </w:r>
      <w:r>
        <w:rPr>
          <w:rFonts w:hint="eastAsia"/>
          <w:szCs w:val="24"/>
          <w:lang w:eastAsia="zh-CN"/>
        </w:rPr>
        <w:t>款将“</w:t>
      </w:r>
      <w:r>
        <w:rPr>
          <w:rFonts w:hint="eastAsia"/>
          <w:lang w:val="en-GB" w:eastAsia="zh-CN"/>
        </w:rPr>
        <w:t>设备生命周期结束时的频谱再利用</w:t>
      </w:r>
      <w:r>
        <w:rPr>
          <w:rFonts w:hint="eastAsia"/>
          <w:szCs w:val="24"/>
          <w:lang w:eastAsia="zh-CN"/>
        </w:rPr>
        <w:t>”作为执照到期前的频谱重新部署案例。</w:t>
      </w:r>
    </w:p>
    <w:p w:rsidR="00875328" w:rsidRPr="00F265BC" w:rsidRDefault="00875328" w:rsidP="00875328">
      <w:pPr>
        <w:pStyle w:val="enumlev1"/>
        <w:tabs>
          <w:tab w:val="clear" w:pos="794"/>
        </w:tabs>
        <w:spacing w:line="240" w:lineRule="auto"/>
        <w:jc w:val="left"/>
        <w:rPr>
          <w:szCs w:val="24"/>
          <w:lang w:eastAsia="zh-CN"/>
        </w:rPr>
      </w:pPr>
      <w:r w:rsidRPr="00F265BC">
        <w:rPr>
          <w:szCs w:val="24"/>
          <w:lang w:eastAsia="zh-CN"/>
        </w:rPr>
        <w:t>2)</w:t>
      </w:r>
      <w:r w:rsidRPr="00F265BC">
        <w:rPr>
          <w:szCs w:val="24"/>
          <w:lang w:eastAsia="zh-CN"/>
        </w:rPr>
        <w:tab/>
      </w:r>
      <w:r>
        <w:rPr>
          <w:rFonts w:hint="eastAsia"/>
          <w:szCs w:val="24"/>
          <w:lang w:eastAsia="zh-CN"/>
        </w:rPr>
        <w:t>在附件</w:t>
      </w:r>
      <w:r>
        <w:rPr>
          <w:rFonts w:hint="eastAsia"/>
          <w:szCs w:val="24"/>
          <w:lang w:eastAsia="zh-CN"/>
        </w:rPr>
        <w:t>1</w:t>
      </w:r>
      <w:r>
        <w:rPr>
          <w:rFonts w:hint="eastAsia"/>
          <w:szCs w:val="24"/>
          <w:lang w:eastAsia="zh-CN"/>
        </w:rPr>
        <w:t>中补充新的后附资料</w:t>
      </w:r>
      <w:r>
        <w:rPr>
          <w:rFonts w:hint="eastAsia"/>
          <w:szCs w:val="24"/>
          <w:lang w:eastAsia="zh-CN"/>
        </w:rPr>
        <w:t>4</w:t>
      </w:r>
      <w:r>
        <w:rPr>
          <w:rFonts w:hint="eastAsia"/>
          <w:szCs w:val="24"/>
          <w:lang w:eastAsia="zh-CN"/>
        </w:rPr>
        <w:t>，作为根据贝宁经验开展频谱重新部署进程的实例。</w:t>
      </w:r>
    </w:p>
    <w:p w:rsidR="00875328" w:rsidRPr="00F265BC" w:rsidRDefault="00875328" w:rsidP="00875328">
      <w:pPr>
        <w:pStyle w:val="enumlev1"/>
        <w:tabs>
          <w:tab w:val="clear" w:pos="794"/>
        </w:tabs>
        <w:spacing w:line="240" w:lineRule="auto"/>
        <w:jc w:val="left"/>
        <w:rPr>
          <w:szCs w:val="24"/>
          <w:lang w:eastAsia="zh-CN"/>
        </w:rPr>
      </w:pPr>
      <w:r w:rsidRPr="00F265BC">
        <w:rPr>
          <w:szCs w:val="24"/>
          <w:lang w:eastAsia="zh-CN"/>
        </w:rPr>
        <w:t>3)</w:t>
      </w:r>
      <w:r w:rsidRPr="00F265BC">
        <w:rPr>
          <w:szCs w:val="24"/>
          <w:lang w:eastAsia="zh-CN"/>
        </w:rPr>
        <w:tab/>
      </w:r>
      <w:r>
        <w:rPr>
          <w:rFonts w:hint="eastAsia"/>
          <w:szCs w:val="24"/>
          <w:lang w:eastAsia="zh-CN"/>
        </w:rPr>
        <w:t>在附件</w:t>
      </w:r>
      <w:r>
        <w:rPr>
          <w:rFonts w:hint="eastAsia"/>
          <w:szCs w:val="24"/>
          <w:lang w:eastAsia="zh-CN"/>
        </w:rPr>
        <w:t>1</w:t>
      </w:r>
      <w:r>
        <w:rPr>
          <w:rFonts w:hint="eastAsia"/>
          <w:szCs w:val="24"/>
          <w:lang w:eastAsia="zh-CN"/>
        </w:rPr>
        <w:t>中补充新的后附资料</w:t>
      </w:r>
      <w:r>
        <w:rPr>
          <w:rFonts w:hint="eastAsia"/>
          <w:szCs w:val="24"/>
          <w:lang w:eastAsia="zh-CN"/>
        </w:rPr>
        <w:t>5</w:t>
      </w:r>
      <w:r>
        <w:rPr>
          <w:rFonts w:hint="eastAsia"/>
          <w:szCs w:val="24"/>
          <w:lang w:eastAsia="zh-CN"/>
        </w:rPr>
        <w:t>，作为根据乌克兰经验开展频谱重新部署进程的实例。</w:t>
      </w:r>
    </w:p>
    <w:p w:rsidR="00875328" w:rsidRPr="00F265BC" w:rsidRDefault="00875328" w:rsidP="00875328">
      <w:pPr>
        <w:tabs>
          <w:tab w:val="clear" w:pos="794"/>
        </w:tabs>
        <w:spacing w:line="240" w:lineRule="auto"/>
        <w:ind w:left="794" w:hanging="794"/>
        <w:jc w:val="left"/>
        <w:rPr>
          <w:rFonts w:eastAsia="Batang"/>
          <w:szCs w:val="24"/>
          <w:lang w:eastAsia="zh-CN"/>
        </w:rPr>
      </w:pPr>
      <w:r w:rsidRPr="00F265BC">
        <w:rPr>
          <w:szCs w:val="24"/>
          <w:lang w:eastAsia="zh-CN"/>
        </w:rPr>
        <w:t>4)</w:t>
      </w:r>
      <w:r w:rsidRPr="00F265BC">
        <w:rPr>
          <w:szCs w:val="24"/>
          <w:lang w:eastAsia="zh-CN"/>
        </w:rPr>
        <w:tab/>
      </w:r>
      <w:r>
        <w:rPr>
          <w:rFonts w:hint="eastAsia"/>
          <w:szCs w:val="24"/>
          <w:lang w:eastAsia="zh-CN"/>
        </w:rPr>
        <w:t>为“免执照</w:t>
      </w:r>
      <w:r w:rsidRPr="00383377">
        <w:rPr>
          <w:rFonts w:hint="eastAsia"/>
          <w:szCs w:val="24"/>
          <w:lang w:eastAsia="zh-CN"/>
        </w:rPr>
        <w:t>频段中的频谱再利用</w:t>
      </w:r>
      <w:r>
        <w:rPr>
          <w:rFonts w:hint="eastAsia"/>
          <w:szCs w:val="24"/>
          <w:lang w:eastAsia="zh-CN"/>
        </w:rPr>
        <w:t>”的目的，在附件</w:t>
      </w:r>
      <w:r>
        <w:rPr>
          <w:rFonts w:hint="eastAsia"/>
          <w:szCs w:val="24"/>
          <w:lang w:eastAsia="zh-CN"/>
        </w:rPr>
        <w:t>1</w:t>
      </w:r>
      <w:r>
        <w:rPr>
          <w:rFonts w:hint="eastAsia"/>
          <w:szCs w:val="24"/>
          <w:lang w:eastAsia="zh-CN"/>
        </w:rPr>
        <w:t>中补充第</w:t>
      </w:r>
      <w:r>
        <w:rPr>
          <w:rFonts w:hint="eastAsia"/>
          <w:szCs w:val="24"/>
          <w:lang w:eastAsia="zh-CN"/>
        </w:rPr>
        <w:t>3.2.2.3</w:t>
      </w:r>
      <w:r>
        <w:rPr>
          <w:rFonts w:hint="eastAsia"/>
          <w:szCs w:val="24"/>
          <w:lang w:eastAsia="zh-CN"/>
        </w:rPr>
        <w:t>款的详细信息。</w:t>
      </w:r>
    </w:p>
    <w:p w:rsidR="00875328" w:rsidRPr="00F265BC" w:rsidRDefault="00875328" w:rsidP="00875328">
      <w:pPr>
        <w:tabs>
          <w:tab w:val="clear" w:pos="794"/>
        </w:tabs>
        <w:spacing w:line="240" w:lineRule="auto"/>
        <w:ind w:left="794" w:hanging="794"/>
        <w:jc w:val="left"/>
        <w:rPr>
          <w:szCs w:val="24"/>
          <w:lang w:eastAsia="ko-KR"/>
        </w:rPr>
      </w:pPr>
      <w:r w:rsidRPr="00F265BC">
        <w:rPr>
          <w:szCs w:val="24"/>
          <w:lang w:eastAsia="zh-CN"/>
        </w:rPr>
        <w:t>5)</w:t>
      </w:r>
      <w:r w:rsidRPr="00F265BC">
        <w:rPr>
          <w:szCs w:val="24"/>
          <w:lang w:eastAsia="zh-CN"/>
        </w:rPr>
        <w:tab/>
      </w:r>
      <w:r>
        <w:rPr>
          <w:rFonts w:hint="eastAsia"/>
          <w:szCs w:val="24"/>
          <w:lang w:eastAsia="zh-CN"/>
        </w:rPr>
        <w:t>在附件</w:t>
      </w:r>
      <w:r>
        <w:rPr>
          <w:rFonts w:hint="eastAsia"/>
          <w:szCs w:val="24"/>
          <w:lang w:eastAsia="zh-CN"/>
        </w:rPr>
        <w:t>1</w:t>
      </w:r>
      <w:r>
        <w:rPr>
          <w:rFonts w:hint="eastAsia"/>
          <w:szCs w:val="24"/>
          <w:lang w:eastAsia="zh-CN"/>
        </w:rPr>
        <w:t>中增加题为“免执照频段重新部署损失的补偿”的</w:t>
      </w:r>
      <w:r w:rsidRPr="00F265BC">
        <w:rPr>
          <w:rFonts w:hint="eastAsia"/>
          <w:szCs w:val="24"/>
          <w:lang w:eastAsia="ko-KR"/>
        </w:rPr>
        <w:t>4</w:t>
      </w:r>
      <w:r w:rsidRPr="00F265BC">
        <w:rPr>
          <w:szCs w:val="24"/>
          <w:lang w:eastAsia="zh-CN"/>
        </w:rPr>
        <w:t>.2.</w:t>
      </w:r>
      <w:r w:rsidRPr="00F265BC">
        <w:rPr>
          <w:rFonts w:hint="eastAsia"/>
          <w:szCs w:val="24"/>
          <w:lang w:eastAsia="ko-KR"/>
        </w:rPr>
        <w:t>3</w:t>
      </w:r>
      <w:r>
        <w:rPr>
          <w:rFonts w:hint="eastAsia"/>
          <w:szCs w:val="24"/>
          <w:lang w:eastAsia="zh-CN"/>
        </w:rPr>
        <w:t>新段落。</w:t>
      </w:r>
    </w:p>
    <w:p w:rsidR="00875328" w:rsidRPr="00F265BC" w:rsidRDefault="00875328" w:rsidP="00875328">
      <w:pPr>
        <w:tabs>
          <w:tab w:val="clear" w:pos="794"/>
        </w:tabs>
        <w:spacing w:line="240" w:lineRule="auto"/>
        <w:ind w:left="794" w:hanging="794"/>
        <w:jc w:val="left"/>
        <w:rPr>
          <w:szCs w:val="24"/>
          <w:lang w:eastAsia="ko-KR"/>
        </w:rPr>
      </w:pPr>
      <w:r w:rsidRPr="00F265BC">
        <w:rPr>
          <w:szCs w:val="24"/>
          <w:lang w:eastAsia="zh-CN"/>
        </w:rPr>
        <w:t>6)</w:t>
      </w:r>
      <w:r w:rsidRPr="00F265BC">
        <w:rPr>
          <w:szCs w:val="24"/>
          <w:lang w:eastAsia="zh-CN"/>
        </w:rPr>
        <w:tab/>
      </w:r>
      <w:r>
        <w:rPr>
          <w:rFonts w:hint="eastAsia"/>
          <w:szCs w:val="24"/>
          <w:lang w:eastAsia="zh-CN"/>
        </w:rPr>
        <w:t>在附件</w:t>
      </w:r>
      <w:r>
        <w:rPr>
          <w:rFonts w:hint="eastAsia"/>
          <w:szCs w:val="24"/>
          <w:lang w:eastAsia="zh-CN"/>
        </w:rPr>
        <w:t>1</w:t>
      </w:r>
      <w:r>
        <w:rPr>
          <w:rFonts w:hint="eastAsia"/>
          <w:szCs w:val="24"/>
          <w:lang w:eastAsia="zh-CN"/>
        </w:rPr>
        <w:t>中补充新的后附资料</w:t>
      </w:r>
      <w:r>
        <w:rPr>
          <w:rFonts w:hint="eastAsia"/>
          <w:szCs w:val="24"/>
          <w:lang w:eastAsia="zh-CN"/>
        </w:rPr>
        <w:t>6</w:t>
      </w:r>
      <w:r>
        <w:rPr>
          <w:rFonts w:hint="eastAsia"/>
          <w:szCs w:val="24"/>
          <w:lang w:eastAsia="zh-CN"/>
        </w:rPr>
        <w:t>，作为根据美国经验开展频谱重新部署进程的实例。</w:t>
      </w:r>
    </w:p>
    <w:p w:rsidR="00875328" w:rsidRPr="00F265BC" w:rsidRDefault="00875328" w:rsidP="00875328">
      <w:pPr>
        <w:spacing w:line="240" w:lineRule="auto"/>
        <w:rPr>
          <w:szCs w:val="24"/>
          <w:lang w:eastAsia="zh-CN"/>
        </w:rPr>
      </w:pPr>
    </w:p>
    <w:p w:rsidR="00E615F4" w:rsidRDefault="00E615F4" w:rsidP="0032202E">
      <w:pPr>
        <w:pStyle w:val="Reasons"/>
      </w:pPr>
    </w:p>
    <w:p w:rsidR="00DC75FB" w:rsidRPr="001D7223" w:rsidRDefault="00E615F4" w:rsidP="00E615F4">
      <w:pPr>
        <w:jc w:val="center"/>
        <w:rPr>
          <w:rFonts w:asciiTheme="minorHAnsi" w:hAnsiTheme="minorHAnsi" w:cstheme="minorHAnsi"/>
          <w:szCs w:val="24"/>
          <w:lang w:eastAsia="zh-CN"/>
        </w:rPr>
      </w:pPr>
      <w:r>
        <w:t>______________</w:t>
      </w:r>
    </w:p>
    <w:sectPr w:rsidR="00DC75FB" w:rsidRPr="001D7223"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1" w:rsidRDefault="00800F31">
      <w:r>
        <w:separator/>
      </w:r>
    </w:p>
  </w:endnote>
  <w:endnote w:type="continuationSeparator" w:id="0">
    <w:p w:rsidR="00800F31" w:rsidRDefault="008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SimSun"/>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1" w:rsidRDefault="00800F31">
      <w:r>
        <w:t>____________________</w:t>
      </w:r>
    </w:p>
  </w:footnote>
  <w:footnote w:type="continuationSeparator" w:id="0">
    <w:p w:rsidR="00800F31" w:rsidRDefault="0080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 xml:space="preserve">- </w:t>
    </w:r>
    <w:r w:rsidR="001B42C9" w:rsidRPr="000D32D5">
      <w:rPr>
        <w:rStyle w:val="PageNumber"/>
        <w:sz w:val="18"/>
        <w:szCs w:val="18"/>
      </w:rPr>
      <w:fldChar w:fldCharType="begin"/>
    </w:r>
    <w:r w:rsidRPr="000D32D5">
      <w:rPr>
        <w:rStyle w:val="PageNumber"/>
        <w:sz w:val="18"/>
        <w:szCs w:val="18"/>
      </w:rPr>
      <w:instrText xml:space="preserve"> PAGE </w:instrText>
    </w:r>
    <w:r w:rsidR="001B42C9" w:rsidRPr="000D32D5">
      <w:rPr>
        <w:rStyle w:val="PageNumber"/>
        <w:sz w:val="18"/>
        <w:szCs w:val="18"/>
      </w:rPr>
      <w:fldChar w:fldCharType="separate"/>
    </w:r>
    <w:r w:rsidR="007D0AA2">
      <w:rPr>
        <w:rStyle w:val="PageNumber"/>
        <w:noProof/>
        <w:sz w:val="18"/>
        <w:szCs w:val="18"/>
      </w:rPr>
      <w:t>4</w:t>
    </w:r>
    <w:r w:rsidR="001B42C9" w:rsidRPr="000D32D5">
      <w:rPr>
        <w:rStyle w:val="PageNumber"/>
        <w:sz w:val="18"/>
        <w:szCs w:val="18"/>
      </w:rPr>
      <w:fldChar w:fldCharType="end"/>
    </w:r>
    <w:r w:rsidRPr="000D32D5">
      <w:rPr>
        <w:rStyle w:val="PageNumber"/>
        <w:sz w:val="18"/>
        <w:szCs w:val="18"/>
      </w:rPr>
      <w:t xml:space="preserve"> </w:t>
    </w:r>
    <w:r w:rsidR="000D32D5">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w:t>
    </w:r>
    <w:r w:rsidR="000D32D5" w:rsidRPr="000D32D5">
      <w:rPr>
        <w:sz w:val="18"/>
        <w:szCs w:val="18"/>
      </w:rPr>
      <w:t xml:space="preserve"> </w:t>
    </w:r>
    <w:r w:rsidR="000D32D5" w:rsidRPr="000D32D5">
      <w:rPr>
        <w:rStyle w:val="PageNumber"/>
        <w:sz w:val="18"/>
        <w:szCs w:val="18"/>
      </w:rPr>
      <w:fldChar w:fldCharType="begin"/>
    </w:r>
    <w:r w:rsidR="000D32D5" w:rsidRPr="000D32D5">
      <w:rPr>
        <w:rStyle w:val="PageNumber"/>
        <w:sz w:val="18"/>
        <w:szCs w:val="18"/>
      </w:rPr>
      <w:instrText xml:space="preserve"> PAGE </w:instrText>
    </w:r>
    <w:r w:rsidR="000D32D5" w:rsidRPr="000D32D5">
      <w:rPr>
        <w:rStyle w:val="PageNumber"/>
        <w:sz w:val="18"/>
        <w:szCs w:val="18"/>
      </w:rPr>
      <w:fldChar w:fldCharType="separate"/>
    </w:r>
    <w:r w:rsidR="007D0AA2">
      <w:rPr>
        <w:rStyle w:val="PageNumber"/>
        <w:noProof/>
        <w:sz w:val="18"/>
        <w:szCs w:val="18"/>
      </w:rPr>
      <w:t>3</w:t>
    </w:r>
    <w:r w:rsidR="000D32D5" w:rsidRPr="000D32D5">
      <w:rPr>
        <w:rStyle w:val="PageNumber"/>
        <w:sz w:val="18"/>
        <w:szCs w:val="18"/>
      </w:rPr>
      <w:fldChar w:fldCharType="end"/>
    </w:r>
    <w:r w:rsidR="000D32D5" w:rsidRPr="000D32D5">
      <w:rPr>
        <w:rStyle w:val="PageNumber"/>
        <w:sz w:val="18"/>
        <w:szCs w:val="18"/>
      </w:rPr>
      <w:t xml:space="preserve"> </w:t>
    </w:r>
    <w:r w:rsidR="000D32D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BB75332" wp14:editId="72FF884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0F31"/>
    <w:rsid w:val="00006A31"/>
    <w:rsid w:val="00006C82"/>
    <w:rsid w:val="00010E30"/>
    <w:rsid w:val="00015C76"/>
    <w:rsid w:val="00026CF8"/>
    <w:rsid w:val="00030BD7"/>
    <w:rsid w:val="00031E64"/>
    <w:rsid w:val="00034340"/>
    <w:rsid w:val="00035CB3"/>
    <w:rsid w:val="00045A8D"/>
    <w:rsid w:val="0005167A"/>
    <w:rsid w:val="00052048"/>
    <w:rsid w:val="00054E5D"/>
    <w:rsid w:val="00070258"/>
    <w:rsid w:val="0007323C"/>
    <w:rsid w:val="00086D03"/>
    <w:rsid w:val="00095E3F"/>
    <w:rsid w:val="000A096A"/>
    <w:rsid w:val="000A375E"/>
    <w:rsid w:val="000A7051"/>
    <w:rsid w:val="000B0AF6"/>
    <w:rsid w:val="000B0E9B"/>
    <w:rsid w:val="000B2CAE"/>
    <w:rsid w:val="000C03C7"/>
    <w:rsid w:val="000C2AD0"/>
    <w:rsid w:val="000D32D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D7223"/>
    <w:rsid w:val="001F2170"/>
    <w:rsid w:val="001F3948"/>
    <w:rsid w:val="001F5A49"/>
    <w:rsid w:val="00200FE8"/>
    <w:rsid w:val="00201097"/>
    <w:rsid w:val="00201B6E"/>
    <w:rsid w:val="002302B3"/>
    <w:rsid w:val="00230C66"/>
    <w:rsid w:val="00235A29"/>
    <w:rsid w:val="00235B61"/>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47F7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5D2"/>
    <w:rsid w:val="003E78D6"/>
    <w:rsid w:val="00400573"/>
    <w:rsid w:val="004007A3"/>
    <w:rsid w:val="00406D71"/>
    <w:rsid w:val="00415AD7"/>
    <w:rsid w:val="004315DF"/>
    <w:rsid w:val="004326DB"/>
    <w:rsid w:val="0043682E"/>
    <w:rsid w:val="00447ECB"/>
    <w:rsid w:val="00447F0C"/>
    <w:rsid w:val="004623F7"/>
    <w:rsid w:val="00480F51"/>
    <w:rsid w:val="00481124"/>
    <w:rsid w:val="004815EB"/>
    <w:rsid w:val="0048496E"/>
    <w:rsid w:val="00487569"/>
    <w:rsid w:val="00493A23"/>
    <w:rsid w:val="00496864"/>
    <w:rsid w:val="00496920"/>
    <w:rsid w:val="004A4496"/>
    <w:rsid w:val="004B11AB"/>
    <w:rsid w:val="004B2E06"/>
    <w:rsid w:val="004B7C9A"/>
    <w:rsid w:val="004C6779"/>
    <w:rsid w:val="004D733B"/>
    <w:rsid w:val="004E0DC4"/>
    <w:rsid w:val="004E0FB5"/>
    <w:rsid w:val="004E43BB"/>
    <w:rsid w:val="004E460D"/>
    <w:rsid w:val="004F178E"/>
    <w:rsid w:val="004F4543"/>
    <w:rsid w:val="004F57BB"/>
    <w:rsid w:val="00505309"/>
    <w:rsid w:val="0050789B"/>
    <w:rsid w:val="005107F0"/>
    <w:rsid w:val="005224A1"/>
    <w:rsid w:val="00534372"/>
    <w:rsid w:val="00543DF8"/>
    <w:rsid w:val="00546101"/>
    <w:rsid w:val="005478DF"/>
    <w:rsid w:val="00553DD7"/>
    <w:rsid w:val="005638CF"/>
    <w:rsid w:val="0056741E"/>
    <w:rsid w:val="0057325A"/>
    <w:rsid w:val="0057469A"/>
    <w:rsid w:val="00580814"/>
    <w:rsid w:val="00583A0B"/>
    <w:rsid w:val="00587FAA"/>
    <w:rsid w:val="005A03A3"/>
    <w:rsid w:val="005A2B92"/>
    <w:rsid w:val="005A3F66"/>
    <w:rsid w:val="005A79E9"/>
    <w:rsid w:val="005B214C"/>
    <w:rsid w:val="005B4CDA"/>
    <w:rsid w:val="005D3669"/>
    <w:rsid w:val="005E5EB3"/>
    <w:rsid w:val="005F3CB6"/>
    <w:rsid w:val="005F657C"/>
    <w:rsid w:val="00602D53"/>
    <w:rsid w:val="006047E5"/>
    <w:rsid w:val="0061393D"/>
    <w:rsid w:val="006409B0"/>
    <w:rsid w:val="0064371D"/>
    <w:rsid w:val="00650543"/>
    <w:rsid w:val="00650B2A"/>
    <w:rsid w:val="00651777"/>
    <w:rsid w:val="006550F8"/>
    <w:rsid w:val="006829F3"/>
    <w:rsid w:val="006A001A"/>
    <w:rsid w:val="006A518B"/>
    <w:rsid w:val="006B0590"/>
    <w:rsid w:val="006B49DA"/>
    <w:rsid w:val="006C53F8"/>
    <w:rsid w:val="006C7CDE"/>
    <w:rsid w:val="0072279D"/>
    <w:rsid w:val="007234B1"/>
    <w:rsid w:val="00723D08"/>
    <w:rsid w:val="00725FDA"/>
    <w:rsid w:val="00727816"/>
    <w:rsid w:val="00730B9A"/>
    <w:rsid w:val="00750CFA"/>
    <w:rsid w:val="007553DA"/>
    <w:rsid w:val="007616E7"/>
    <w:rsid w:val="00775DB8"/>
    <w:rsid w:val="00782354"/>
    <w:rsid w:val="007921A7"/>
    <w:rsid w:val="00796CD6"/>
    <w:rsid w:val="007A2BE1"/>
    <w:rsid w:val="007B3DB1"/>
    <w:rsid w:val="007D0AA2"/>
    <w:rsid w:val="007D183E"/>
    <w:rsid w:val="007D43D0"/>
    <w:rsid w:val="007E1833"/>
    <w:rsid w:val="007E3F13"/>
    <w:rsid w:val="007F6624"/>
    <w:rsid w:val="007F751A"/>
    <w:rsid w:val="00800012"/>
    <w:rsid w:val="00800F31"/>
    <w:rsid w:val="0080261F"/>
    <w:rsid w:val="008027C6"/>
    <w:rsid w:val="00806160"/>
    <w:rsid w:val="008143A4"/>
    <w:rsid w:val="0081513E"/>
    <w:rsid w:val="00854131"/>
    <w:rsid w:val="0085652D"/>
    <w:rsid w:val="00875328"/>
    <w:rsid w:val="0087694B"/>
    <w:rsid w:val="00880F4D"/>
    <w:rsid w:val="008B35A3"/>
    <w:rsid w:val="008B37E1"/>
    <w:rsid w:val="008B45F8"/>
    <w:rsid w:val="008C1486"/>
    <w:rsid w:val="008C2E74"/>
    <w:rsid w:val="008D5409"/>
    <w:rsid w:val="008E006D"/>
    <w:rsid w:val="008E38B4"/>
    <w:rsid w:val="008E5B77"/>
    <w:rsid w:val="008E7053"/>
    <w:rsid w:val="008F078E"/>
    <w:rsid w:val="008F4F21"/>
    <w:rsid w:val="00904D4A"/>
    <w:rsid w:val="009076D7"/>
    <w:rsid w:val="009151BA"/>
    <w:rsid w:val="00925023"/>
    <w:rsid w:val="009277BC"/>
    <w:rsid w:val="00927D57"/>
    <w:rsid w:val="00931A51"/>
    <w:rsid w:val="00936E1F"/>
    <w:rsid w:val="00947185"/>
    <w:rsid w:val="009518B3"/>
    <w:rsid w:val="00960364"/>
    <w:rsid w:val="00963D9D"/>
    <w:rsid w:val="0098013E"/>
    <w:rsid w:val="00981B54"/>
    <w:rsid w:val="009842C3"/>
    <w:rsid w:val="009A009A"/>
    <w:rsid w:val="009A6BB6"/>
    <w:rsid w:val="009A7E85"/>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2836"/>
    <w:rsid w:val="00A63355"/>
    <w:rsid w:val="00A7596D"/>
    <w:rsid w:val="00A963DF"/>
    <w:rsid w:val="00AC0C22"/>
    <w:rsid w:val="00AC3896"/>
    <w:rsid w:val="00AD2CF2"/>
    <w:rsid w:val="00AE2D88"/>
    <w:rsid w:val="00AE6F6F"/>
    <w:rsid w:val="00AF3325"/>
    <w:rsid w:val="00AF34D9"/>
    <w:rsid w:val="00AF70DA"/>
    <w:rsid w:val="00B019D3"/>
    <w:rsid w:val="00B066F1"/>
    <w:rsid w:val="00B34CF9"/>
    <w:rsid w:val="00B37559"/>
    <w:rsid w:val="00B4054B"/>
    <w:rsid w:val="00B579B0"/>
    <w:rsid w:val="00B57D11"/>
    <w:rsid w:val="00B649D7"/>
    <w:rsid w:val="00B81C2F"/>
    <w:rsid w:val="00B90743"/>
    <w:rsid w:val="00B90C45"/>
    <w:rsid w:val="00B933BE"/>
    <w:rsid w:val="00B9741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CB2"/>
    <w:rsid w:val="00C91D93"/>
    <w:rsid w:val="00C9291E"/>
    <w:rsid w:val="00CA3F44"/>
    <w:rsid w:val="00CA4E58"/>
    <w:rsid w:val="00CB05A1"/>
    <w:rsid w:val="00CB3771"/>
    <w:rsid w:val="00CB44BF"/>
    <w:rsid w:val="00CB5153"/>
    <w:rsid w:val="00CD2009"/>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CDE"/>
    <w:rsid w:val="00D82657"/>
    <w:rsid w:val="00D87E20"/>
    <w:rsid w:val="00DA4037"/>
    <w:rsid w:val="00DC75FB"/>
    <w:rsid w:val="00DE54FD"/>
    <w:rsid w:val="00DE66A5"/>
    <w:rsid w:val="00DF2B50"/>
    <w:rsid w:val="00DF5FDC"/>
    <w:rsid w:val="00E01059"/>
    <w:rsid w:val="00E04C86"/>
    <w:rsid w:val="00E17344"/>
    <w:rsid w:val="00E20F30"/>
    <w:rsid w:val="00E2189C"/>
    <w:rsid w:val="00E25BB1"/>
    <w:rsid w:val="00E26098"/>
    <w:rsid w:val="00E27BBA"/>
    <w:rsid w:val="00E30E3F"/>
    <w:rsid w:val="00E35E8F"/>
    <w:rsid w:val="00E428AB"/>
    <w:rsid w:val="00E438E8"/>
    <w:rsid w:val="00E453A3"/>
    <w:rsid w:val="00E520E2"/>
    <w:rsid w:val="00E530C4"/>
    <w:rsid w:val="00E53DCE"/>
    <w:rsid w:val="00E55996"/>
    <w:rsid w:val="00E615F4"/>
    <w:rsid w:val="00E64254"/>
    <w:rsid w:val="00E67928"/>
    <w:rsid w:val="00E70FB5"/>
    <w:rsid w:val="00E915AF"/>
    <w:rsid w:val="00E96415"/>
    <w:rsid w:val="00EA15B3"/>
    <w:rsid w:val="00EB0BCB"/>
    <w:rsid w:val="00EB2358"/>
    <w:rsid w:val="00EB3EB8"/>
    <w:rsid w:val="00EC00EF"/>
    <w:rsid w:val="00EC02FE"/>
    <w:rsid w:val="00EC4A96"/>
    <w:rsid w:val="00EE03A0"/>
    <w:rsid w:val="00F32C6F"/>
    <w:rsid w:val="00F424BF"/>
    <w:rsid w:val="00F44FC3"/>
    <w:rsid w:val="00F46107"/>
    <w:rsid w:val="00F468C5"/>
    <w:rsid w:val="00F52F39"/>
    <w:rsid w:val="00F6184F"/>
    <w:rsid w:val="00F8310E"/>
    <w:rsid w:val="00F914DD"/>
    <w:rsid w:val="00FA2358"/>
    <w:rsid w:val="00FB2592"/>
    <w:rsid w:val="00FB2810"/>
    <w:rsid w:val="00FB6821"/>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character" w:customStyle="1" w:styleId="enumlev1Char">
    <w:name w:val="enumlev1 Char"/>
    <w:link w:val="enumlev1"/>
    <w:locked/>
    <w:rsid w:val="00875328"/>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character" w:customStyle="1" w:styleId="enumlev1Char">
    <w:name w:val="enumlev1 Char"/>
    <w:link w:val="enumlev1"/>
    <w:locked/>
    <w:rsid w:val="0087532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98/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R12-SG01-C-0097/en" TargetMode="External"/><Relationship Id="rId17" Type="http://schemas.openxmlformats.org/officeDocument/2006/relationships/hyperlink" Target="http://www.itu.int/pub/R-REP-SM.2258" TargetMode="External"/><Relationship Id="rId2" Type="http://schemas.openxmlformats.org/officeDocument/2006/relationships/numbering" Target="numbering.xml"/><Relationship Id="rId16" Type="http://schemas.openxmlformats.org/officeDocument/2006/relationships/hyperlink" Target="http://www.itu.int/md/R12-SG01-C/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0096/en" TargetMode="External"/><Relationship Id="rId5" Type="http://schemas.openxmlformats.org/officeDocument/2006/relationships/settings" Target="settings.xml"/><Relationship Id="rId15" Type="http://schemas.openxmlformats.org/officeDocument/2006/relationships/hyperlink" Target="http://www.itu.int/md/R12-SG01-C-0103/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yperlink" Target="http://www.itu.int/md/R12-SG01-C-0102/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DB17-ED9C-4185-BB76-CA9C01A6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57</TotalTime>
  <Pages>4</Pages>
  <Words>1765</Words>
  <Characters>1202</Characters>
  <Application>Microsoft Office Word</Application>
  <DocSecurity>0</DocSecurity>
  <Lines>10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ITU</cp:lastModifiedBy>
  <cp:revision>9</cp:revision>
  <cp:lastPrinted>2013-03-08T10:15:00Z</cp:lastPrinted>
  <dcterms:created xsi:type="dcterms:W3CDTF">2014-06-18T12:53:00Z</dcterms:created>
  <dcterms:modified xsi:type="dcterms:W3CDTF">2014-06-26T12:46:00Z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