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F42C8C"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F42C8C" w:rsidTr="00651777">
        <w:tc>
          <w:tcPr>
            <w:tcW w:w="5353" w:type="dxa"/>
            <w:gridSpan w:val="4"/>
          </w:tcPr>
          <w:p w:rsidR="00651777" w:rsidRPr="00F42C8C" w:rsidRDefault="00CD0E47" w:rsidP="00241349">
            <w:pPr>
              <w:tabs>
                <w:tab w:val="left" w:pos="7513"/>
              </w:tabs>
              <w:jc w:val="left"/>
            </w:pPr>
            <w:r w:rsidRPr="00745F6D">
              <w:rPr>
                <w:sz w:val="24"/>
                <w:szCs w:val="24"/>
              </w:rPr>
              <w:t>Circular Administrativa</w:t>
            </w:r>
            <w:r>
              <w:br/>
            </w:r>
            <w:bookmarkStart w:id="2" w:name="dnum"/>
            <w:bookmarkEnd w:id="2"/>
            <w:r>
              <w:rPr>
                <w:b/>
                <w:bCs/>
              </w:rPr>
              <w:t>CACE/</w:t>
            </w:r>
            <w:r w:rsidR="00241349">
              <w:rPr>
                <w:b/>
                <w:bCs/>
              </w:rPr>
              <w:t>670</w:t>
            </w:r>
          </w:p>
        </w:tc>
        <w:tc>
          <w:tcPr>
            <w:tcW w:w="4536" w:type="dxa"/>
          </w:tcPr>
          <w:p w:rsidR="00651777" w:rsidRPr="001C2038" w:rsidRDefault="001C2038" w:rsidP="006C04E0">
            <w:pPr>
              <w:jc w:val="right"/>
              <w:rPr>
                <w:sz w:val="24"/>
                <w:szCs w:val="24"/>
              </w:rPr>
            </w:pPr>
            <w:r w:rsidRPr="001C2038">
              <w:rPr>
                <w:bCs/>
                <w:sz w:val="24"/>
                <w:szCs w:val="24"/>
              </w:rPr>
              <w:t>30 de abril de</w:t>
            </w:r>
            <w:r>
              <w:rPr>
                <w:bCs/>
                <w:sz w:val="24"/>
                <w:szCs w:val="24"/>
              </w:rPr>
              <w:t xml:space="preserve"> </w:t>
            </w:r>
            <w:r w:rsidRPr="001C2038">
              <w:rPr>
                <w:bCs/>
                <w:sz w:val="24"/>
                <w:szCs w:val="24"/>
              </w:rPr>
              <w:t>2014</w:t>
            </w:r>
          </w:p>
        </w:tc>
      </w:tr>
      <w:tr w:rsidR="00D2339B" w:rsidRPr="00F42C8C" w:rsidTr="00D2339B">
        <w:tc>
          <w:tcPr>
            <w:tcW w:w="1384" w:type="dxa"/>
          </w:tcPr>
          <w:p w:rsidR="00D2339B" w:rsidRPr="00F42C8C" w:rsidRDefault="00D2339B" w:rsidP="00651777">
            <w:pPr>
              <w:spacing w:before="0"/>
              <w:jc w:val="left"/>
            </w:pPr>
          </w:p>
        </w:tc>
        <w:tc>
          <w:tcPr>
            <w:tcW w:w="3685" w:type="dxa"/>
            <w:gridSpan w:val="2"/>
          </w:tcPr>
          <w:p w:rsidR="00D2339B" w:rsidRPr="00F42C8C" w:rsidRDefault="00D2339B" w:rsidP="00651777">
            <w:pPr>
              <w:spacing w:before="0"/>
              <w:jc w:val="left"/>
            </w:pPr>
          </w:p>
        </w:tc>
        <w:tc>
          <w:tcPr>
            <w:tcW w:w="284" w:type="dxa"/>
          </w:tcPr>
          <w:p w:rsidR="00D2339B" w:rsidRPr="00F42C8C" w:rsidRDefault="00D2339B" w:rsidP="00651777">
            <w:pPr>
              <w:spacing w:before="0"/>
            </w:pPr>
          </w:p>
        </w:tc>
        <w:tc>
          <w:tcPr>
            <w:tcW w:w="4536" w:type="dxa"/>
          </w:tcPr>
          <w:p w:rsidR="00D2339B" w:rsidRPr="00F42C8C" w:rsidRDefault="00D2339B" w:rsidP="00651777">
            <w:pPr>
              <w:spacing w:before="0"/>
            </w:pPr>
          </w:p>
        </w:tc>
      </w:tr>
      <w:tr w:rsidR="00D2339B" w:rsidRPr="00F42C8C" w:rsidTr="00EA15B3">
        <w:tc>
          <w:tcPr>
            <w:tcW w:w="9889" w:type="dxa"/>
            <w:gridSpan w:val="5"/>
          </w:tcPr>
          <w:p w:rsidR="00D2339B" w:rsidRPr="00745F6D" w:rsidRDefault="00CD0E47" w:rsidP="00981C5B">
            <w:pPr>
              <w:jc w:val="left"/>
              <w:rPr>
                <w:b/>
                <w:sz w:val="24"/>
                <w:szCs w:val="24"/>
              </w:rPr>
            </w:pPr>
            <w:r w:rsidRPr="00745F6D">
              <w:rPr>
                <w:b/>
                <w:sz w:val="24"/>
                <w:szCs w:val="24"/>
              </w:rPr>
              <w:t>A las Administraciones de los Estados Miembros de la UIT, a los Miembros</w:t>
            </w:r>
            <w:r w:rsidRPr="00745F6D">
              <w:rPr>
                <w:b/>
                <w:sz w:val="24"/>
                <w:szCs w:val="24"/>
              </w:rPr>
              <w:br/>
              <w:t>del Sector de Radiocomunicaciones y a los Asociados del UIT-R que participan</w:t>
            </w:r>
            <w:r w:rsidRPr="00745F6D">
              <w:rPr>
                <w:b/>
                <w:sz w:val="24"/>
                <w:szCs w:val="24"/>
              </w:rPr>
              <w:br/>
              <w:t xml:space="preserve">en los trabajos de la Comisión de Estudio </w:t>
            </w:r>
            <w:r w:rsidR="00981C5B" w:rsidRPr="00745F6D">
              <w:rPr>
                <w:b/>
                <w:sz w:val="24"/>
                <w:szCs w:val="24"/>
              </w:rPr>
              <w:t>6</w:t>
            </w:r>
            <w:r w:rsidRPr="00745F6D">
              <w:rPr>
                <w:b/>
                <w:sz w:val="24"/>
                <w:szCs w:val="24"/>
              </w:rPr>
              <w:t xml:space="preserve"> de </w:t>
            </w:r>
            <w:r w:rsidR="006C04E0" w:rsidRPr="00745F6D">
              <w:rPr>
                <w:b/>
                <w:sz w:val="24"/>
                <w:szCs w:val="24"/>
              </w:rPr>
              <w:t>Radiocomunicaciones</w:t>
            </w:r>
          </w:p>
          <w:p w:rsidR="00CD0E47" w:rsidRPr="00745F6D" w:rsidRDefault="00CD0E47" w:rsidP="00CD0E47">
            <w:pPr>
              <w:jc w:val="left"/>
              <w:rPr>
                <w:sz w:val="24"/>
                <w:szCs w:val="24"/>
              </w:rPr>
            </w:pPr>
          </w:p>
        </w:tc>
      </w:tr>
      <w:tr w:rsidR="00CD0E47" w:rsidRPr="00CD0E47" w:rsidTr="00471EDA">
        <w:tc>
          <w:tcPr>
            <w:tcW w:w="1526" w:type="dxa"/>
            <w:gridSpan w:val="2"/>
            <w:shd w:val="clear" w:color="auto" w:fill="auto"/>
          </w:tcPr>
          <w:p w:rsidR="00CD0E47" w:rsidRPr="002C54C3" w:rsidRDefault="00CD0E47" w:rsidP="006C04E0">
            <w:pPr>
              <w:spacing w:before="0"/>
              <w:jc w:val="left"/>
              <w:rPr>
                <w:lang w:val="en-GB"/>
              </w:rPr>
            </w:pPr>
            <w:bookmarkStart w:id="3" w:name="Formula"/>
            <w:bookmarkStart w:id="4" w:name="MainStory"/>
            <w:bookmarkStart w:id="5" w:name="CurrentLocation"/>
            <w:bookmarkEnd w:id="3"/>
            <w:bookmarkEnd w:id="4"/>
            <w:bookmarkEnd w:id="5"/>
            <w:r w:rsidRPr="002C54C3">
              <w:rPr>
                <w:lang w:val="en-US"/>
              </w:rPr>
              <w:t>Objeto</w:t>
            </w:r>
            <w:r w:rsidR="006C04E0" w:rsidRPr="002C54C3">
              <w:rPr>
                <w:lang w:val="en-US"/>
              </w:rPr>
              <w:t>:</w:t>
            </w:r>
          </w:p>
        </w:tc>
        <w:tc>
          <w:tcPr>
            <w:tcW w:w="8363" w:type="dxa"/>
            <w:gridSpan w:val="3"/>
            <w:vMerge w:val="restart"/>
            <w:shd w:val="clear" w:color="auto" w:fill="auto"/>
          </w:tcPr>
          <w:p w:rsidR="00CD0E47" w:rsidRPr="00745F6D" w:rsidRDefault="00CD0E47" w:rsidP="00D31272">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745F6D">
              <w:rPr>
                <w:b/>
                <w:bCs/>
                <w:sz w:val="24"/>
                <w:szCs w:val="24"/>
              </w:rPr>
              <w:t xml:space="preserve">Comisión de Estudio </w:t>
            </w:r>
            <w:r w:rsidR="00981C5B" w:rsidRPr="00745F6D">
              <w:rPr>
                <w:b/>
                <w:bCs/>
                <w:sz w:val="24"/>
                <w:szCs w:val="24"/>
              </w:rPr>
              <w:t>6</w:t>
            </w:r>
            <w:r w:rsidRPr="00745F6D">
              <w:rPr>
                <w:b/>
                <w:bCs/>
                <w:sz w:val="24"/>
                <w:szCs w:val="24"/>
              </w:rPr>
              <w:t xml:space="preserve"> de Radiocomunicaciones </w:t>
            </w:r>
            <w:r w:rsidR="00981C5B" w:rsidRPr="00745F6D">
              <w:rPr>
                <w:b/>
                <w:sz w:val="24"/>
                <w:szCs w:val="24"/>
              </w:rPr>
              <w:t>(</w:t>
            </w:r>
            <w:r w:rsidR="00981C5B" w:rsidRPr="00745F6D">
              <w:rPr>
                <w:rStyle w:val="h21"/>
                <w:rFonts w:asciiTheme="minorHAnsi" w:hAnsiTheme="minorHAnsi" w:cstheme="minorHAnsi"/>
                <w:color w:val="000000" w:themeColor="text1"/>
                <w:sz w:val="24"/>
                <w:szCs w:val="24"/>
              </w:rPr>
              <w:t>Servicio de radiodifusión</w:t>
            </w:r>
            <w:r w:rsidR="002C54C3" w:rsidRPr="00745F6D">
              <w:rPr>
                <w:b/>
                <w:bCs/>
                <w:sz w:val="24"/>
                <w:szCs w:val="24"/>
              </w:rPr>
              <w:t>)</w:t>
            </w:r>
          </w:p>
          <w:p w:rsidR="00CD0E47" w:rsidRPr="00745F6D" w:rsidRDefault="00CD0E47" w:rsidP="00285E7F">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745F6D">
              <w:rPr>
                <w:sz w:val="24"/>
                <w:szCs w:val="24"/>
              </w:rPr>
              <w:t>–</w:t>
            </w:r>
            <w:r w:rsidRPr="00745F6D">
              <w:rPr>
                <w:b/>
                <w:bCs/>
                <w:sz w:val="24"/>
                <w:szCs w:val="24"/>
              </w:rPr>
              <w:tab/>
            </w:r>
            <w:r w:rsidR="00CE6299" w:rsidRPr="00745F6D">
              <w:rPr>
                <w:b/>
                <w:bCs/>
                <w:sz w:val="24"/>
                <w:szCs w:val="24"/>
              </w:rPr>
              <w:t xml:space="preserve">Propuesta de adopción de </w:t>
            </w:r>
            <w:r w:rsidR="00D31272" w:rsidRPr="00745F6D">
              <w:rPr>
                <w:b/>
                <w:bCs/>
                <w:sz w:val="24"/>
                <w:szCs w:val="24"/>
              </w:rPr>
              <w:t>8</w:t>
            </w:r>
            <w:r w:rsidR="00CE6299" w:rsidRPr="00745F6D">
              <w:rPr>
                <w:b/>
                <w:bCs/>
                <w:sz w:val="24"/>
                <w:szCs w:val="24"/>
              </w:rPr>
              <w:t xml:space="preserve"> </w:t>
            </w:r>
            <w:r w:rsidR="00CE6299" w:rsidRPr="00745F6D">
              <w:rPr>
                <w:b/>
                <w:sz w:val="24"/>
                <w:szCs w:val="24"/>
              </w:rPr>
              <w:t>proyectos de Recomendación UIT-R revisada y su aprobación simultánea por correspondencia de conformidad con el § 10.3 de la Resolución UIT</w:t>
            </w:r>
            <w:r w:rsidR="00CE6299" w:rsidRPr="00745F6D">
              <w:rPr>
                <w:b/>
                <w:sz w:val="24"/>
                <w:szCs w:val="24"/>
              </w:rPr>
              <w:noBreakHyphen/>
              <w:t>R 1</w:t>
            </w:r>
            <w:r w:rsidR="00CE6299" w:rsidRPr="00745F6D">
              <w:rPr>
                <w:b/>
                <w:sz w:val="24"/>
                <w:szCs w:val="24"/>
              </w:rPr>
              <w:noBreakHyphen/>
              <w:t>6 (Procedimiento para la adopción y aprobación simultánea por correspondencia)</w:t>
            </w:r>
          </w:p>
          <w:p w:rsidR="00CD0E47" w:rsidRPr="00745F6D" w:rsidRDefault="00CD0E47" w:rsidP="00D31272">
            <w:pPr>
              <w:tabs>
                <w:tab w:val="left" w:pos="459"/>
              </w:tabs>
              <w:spacing w:before="0"/>
              <w:ind w:left="459" w:hanging="459"/>
              <w:jc w:val="left"/>
              <w:rPr>
                <w:b/>
                <w:bCs/>
                <w:sz w:val="24"/>
                <w:szCs w:val="24"/>
              </w:rPr>
            </w:pPr>
            <w:r w:rsidRPr="00745F6D">
              <w:rPr>
                <w:sz w:val="24"/>
                <w:szCs w:val="24"/>
              </w:rPr>
              <w:t>–</w:t>
            </w:r>
            <w:r w:rsidRPr="00745F6D">
              <w:rPr>
                <w:b/>
                <w:bCs/>
                <w:sz w:val="24"/>
                <w:szCs w:val="24"/>
              </w:rPr>
              <w:tab/>
            </w:r>
            <w:r w:rsidR="00BC19B3" w:rsidRPr="00B8385B">
              <w:rPr>
                <w:b/>
                <w:bCs/>
                <w:sz w:val="24"/>
                <w:szCs w:val="24"/>
              </w:rPr>
              <w:t>Propuesta de aprobación de la supresión de 2 Recomendaciones UIT-R</w:t>
            </w:r>
          </w:p>
        </w:tc>
      </w:tr>
      <w:tr w:rsidR="00CD0E47" w:rsidRPr="00CD0E47" w:rsidTr="00471EDA">
        <w:tc>
          <w:tcPr>
            <w:tcW w:w="1526" w:type="dxa"/>
            <w:gridSpan w:val="2"/>
            <w:shd w:val="clear" w:color="auto" w:fill="auto"/>
          </w:tcPr>
          <w:p w:rsidR="00CD0E47" w:rsidRPr="00CD0E47" w:rsidRDefault="00CD0E47" w:rsidP="00CD0E47">
            <w:pPr>
              <w:spacing w:before="0"/>
              <w:jc w:val="left"/>
              <w:rPr>
                <w:b/>
                <w:bCs/>
                <w:sz w:val="24"/>
                <w:szCs w:val="24"/>
              </w:rPr>
            </w:pPr>
          </w:p>
        </w:tc>
        <w:tc>
          <w:tcPr>
            <w:tcW w:w="8363" w:type="dxa"/>
            <w:gridSpan w:val="3"/>
            <w:vMerge/>
            <w:shd w:val="clear" w:color="auto" w:fill="auto"/>
          </w:tcPr>
          <w:p w:rsidR="00CD0E47" w:rsidRPr="00CD0E47" w:rsidRDefault="00CD0E47" w:rsidP="00CD0E47">
            <w:pPr>
              <w:spacing w:before="0"/>
              <w:rPr>
                <w:b/>
                <w:bCs/>
                <w:sz w:val="24"/>
                <w:szCs w:val="24"/>
              </w:rPr>
            </w:pPr>
          </w:p>
        </w:tc>
      </w:tr>
      <w:tr w:rsidR="00CD0E47" w:rsidRPr="00CD0E47" w:rsidTr="00471EDA">
        <w:tc>
          <w:tcPr>
            <w:tcW w:w="1526" w:type="dxa"/>
            <w:gridSpan w:val="2"/>
            <w:shd w:val="clear" w:color="auto" w:fill="auto"/>
          </w:tcPr>
          <w:p w:rsidR="00CD0E47" w:rsidRPr="00CD0E47" w:rsidRDefault="00CD0E47" w:rsidP="00CD0E47">
            <w:pPr>
              <w:spacing w:before="0"/>
              <w:jc w:val="left"/>
              <w:rPr>
                <w:b/>
                <w:bCs/>
                <w:sz w:val="24"/>
                <w:szCs w:val="24"/>
              </w:rPr>
            </w:pPr>
          </w:p>
        </w:tc>
        <w:tc>
          <w:tcPr>
            <w:tcW w:w="8363" w:type="dxa"/>
            <w:gridSpan w:val="3"/>
            <w:vMerge/>
            <w:shd w:val="clear" w:color="auto" w:fill="auto"/>
          </w:tcPr>
          <w:p w:rsidR="00CD0E47" w:rsidRPr="00CD0E47" w:rsidRDefault="00CD0E47" w:rsidP="00CD0E47">
            <w:pPr>
              <w:spacing w:before="0"/>
              <w:rPr>
                <w:b/>
                <w:bCs/>
                <w:sz w:val="24"/>
                <w:szCs w:val="24"/>
              </w:rPr>
            </w:pPr>
          </w:p>
        </w:tc>
      </w:tr>
      <w:tr w:rsidR="00CD0E47" w:rsidRPr="00CD0E47" w:rsidTr="00471EDA">
        <w:tc>
          <w:tcPr>
            <w:tcW w:w="9889" w:type="dxa"/>
            <w:gridSpan w:val="5"/>
            <w:shd w:val="clear" w:color="auto" w:fill="auto"/>
          </w:tcPr>
          <w:p w:rsidR="00CD0E47" w:rsidRPr="00CD0E47" w:rsidRDefault="00CD0E47" w:rsidP="00CD0E47">
            <w:pPr>
              <w:spacing w:before="0"/>
              <w:jc w:val="left"/>
              <w:rPr>
                <w:b/>
                <w:bCs/>
                <w:sz w:val="24"/>
                <w:szCs w:val="24"/>
              </w:rPr>
            </w:pPr>
          </w:p>
        </w:tc>
      </w:tr>
    </w:tbl>
    <w:p w:rsidR="00CE6299" w:rsidRPr="000C4E7D" w:rsidRDefault="00CE6299" w:rsidP="00285E7F">
      <w:pPr>
        <w:spacing w:before="600"/>
        <w:rPr>
          <w:sz w:val="24"/>
          <w:szCs w:val="24"/>
        </w:rPr>
      </w:pPr>
      <w:r w:rsidRPr="000C4E7D">
        <w:rPr>
          <w:sz w:val="24"/>
          <w:szCs w:val="24"/>
        </w:rPr>
        <w:t xml:space="preserve">En la reunión de la Comisión de Estudio </w:t>
      </w:r>
      <w:r w:rsidR="00D31272">
        <w:rPr>
          <w:sz w:val="24"/>
          <w:szCs w:val="24"/>
        </w:rPr>
        <w:t>6</w:t>
      </w:r>
      <w:r w:rsidRPr="000C4E7D">
        <w:rPr>
          <w:sz w:val="24"/>
          <w:szCs w:val="24"/>
        </w:rPr>
        <w:t xml:space="preserve"> de Radiocomunicaciones celebrada </w:t>
      </w:r>
      <w:r w:rsidR="00D31272" w:rsidRPr="00653BD4">
        <w:rPr>
          <w:sz w:val="24"/>
          <w:szCs w:val="24"/>
        </w:rPr>
        <w:t xml:space="preserve">el </w:t>
      </w:r>
      <w:r w:rsidR="00497FEE">
        <w:rPr>
          <w:bCs/>
          <w:sz w:val="24"/>
          <w:szCs w:val="24"/>
        </w:rPr>
        <w:t>4</w:t>
      </w:r>
      <w:r w:rsidR="00D31272" w:rsidRPr="001C2038">
        <w:rPr>
          <w:bCs/>
          <w:sz w:val="24"/>
          <w:szCs w:val="24"/>
        </w:rPr>
        <w:t xml:space="preserve"> de abril de</w:t>
      </w:r>
      <w:r w:rsidR="00D31272">
        <w:rPr>
          <w:bCs/>
          <w:sz w:val="24"/>
          <w:szCs w:val="24"/>
        </w:rPr>
        <w:t xml:space="preserve"> </w:t>
      </w:r>
      <w:r w:rsidR="00D31272" w:rsidRPr="001C2038">
        <w:rPr>
          <w:bCs/>
          <w:sz w:val="24"/>
          <w:szCs w:val="24"/>
        </w:rPr>
        <w:t>2014</w:t>
      </w:r>
      <w:r w:rsidRPr="000C4E7D">
        <w:rPr>
          <w:sz w:val="24"/>
          <w:szCs w:val="24"/>
        </w:rPr>
        <w:t xml:space="preserve">, la Comisión de Estudio decidió solicitar la adopción de </w:t>
      </w:r>
      <w:r w:rsidR="00C87717">
        <w:rPr>
          <w:sz w:val="24"/>
          <w:szCs w:val="24"/>
        </w:rPr>
        <w:t>8</w:t>
      </w:r>
      <w:r w:rsidRPr="000C4E7D">
        <w:rPr>
          <w:sz w:val="24"/>
          <w:szCs w:val="24"/>
        </w:rPr>
        <w:t xml:space="preserve"> proyectos de Recomendación </w:t>
      </w:r>
      <w:r w:rsidR="00285E7F" w:rsidRPr="000C4E7D">
        <w:rPr>
          <w:sz w:val="24"/>
          <w:szCs w:val="24"/>
        </w:rPr>
        <w:t>UIT</w:t>
      </w:r>
      <w:r w:rsidR="00285E7F" w:rsidRPr="000C4E7D">
        <w:rPr>
          <w:sz w:val="24"/>
          <w:szCs w:val="24"/>
        </w:rPr>
        <w:noBreakHyphen/>
        <w:t>R </w:t>
      </w:r>
      <w:r w:rsidR="00285E7F" w:rsidRPr="000C4E7D">
        <w:rPr>
          <w:sz w:val="24"/>
          <w:szCs w:val="24"/>
        </w:rPr>
        <w:t xml:space="preserve"> </w:t>
      </w:r>
      <w:r w:rsidRPr="000C4E7D">
        <w:rPr>
          <w:sz w:val="24"/>
          <w:szCs w:val="24"/>
        </w:rPr>
        <w:t>revisada por correspondencia (§ 10.2.3 de la Resolución UIT</w:t>
      </w:r>
      <w:r w:rsidRPr="000C4E7D">
        <w:rPr>
          <w:sz w:val="24"/>
          <w:szCs w:val="24"/>
        </w:rPr>
        <w:noBreakHyphen/>
        <w:t>R 1</w:t>
      </w:r>
      <w:r w:rsidRPr="000C4E7D">
        <w:rPr>
          <w:sz w:val="24"/>
          <w:szCs w:val="24"/>
        </w:rPr>
        <w:noBreakHyphen/>
        <w:t>6), y decidió además aplicar el procedimiento de adopción y aprobación simultáneas por correspondencia (PAAS) (§ 10.3 de la Resolución UIT</w:t>
      </w:r>
      <w:r w:rsidRPr="000C4E7D">
        <w:rPr>
          <w:sz w:val="24"/>
          <w:szCs w:val="24"/>
        </w:rPr>
        <w:noBreakHyphen/>
        <w:t>R 1</w:t>
      </w:r>
      <w:r w:rsidRPr="000C4E7D">
        <w:rPr>
          <w:sz w:val="24"/>
          <w:szCs w:val="24"/>
        </w:rPr>
        <w:noBreakHyphen/>
        <w:t xml:space="preserve">6). Los títulos y resúmenes de los proyectos de Recomendación aparecen en el Anexo 1. Además, la Comisión de Estudio propuso la supresión de </w:t>
      </w:r>
      <w:r w:rsidR="00497FEE">
        <w:rPr>
          <w:sz w:val="24"/>
          <w:szCs w:val="24"/>
        </w:rPr>
        <w:t>2</w:t>
      </w:r>
      <w:r w:rsidRPr="000C4E7D">
        <w:rPr>
          <w:sz w:val="24"/>
          <w:szCs w:val="24"/>
        </w:rPr>
        <w:t xml:space="preserve"> </w:t>
      </w:r>
      <w:r w:rsidR="00497FEE" w:rsidRPr="00333F21">
        <w:rPr>
          <w:sz w:val="24"/>
          <w:szCs w:val="24"/>
        </w:rPr>
        <w:t>Recomendaciones</w:t>
      </w:r>
      <w:r w:rsidR="00497FEE" w:rsidRPr="000C4E7D">
        <w:rPr>
          <w:sz w:val="24"/>
          <w:szCs w:val="24"/>
        </w:rPr>
        <w:t xml:space="preserve"> </w:t>
      </w:r>
      <w:r w:rsidR="00497FEE">
        <w:rPr>
          <w:sz w:val="24"/>
          <w:szCs w:val="24"/>
        </w:rPr>
        <w:t>que figuran</w:t>
      </w:r>
      <w:r w:rsidRPr="000C4E7D">
        <w:rPr>
          <w:sz w:val="24"/>
          <w:szCs w:val="24"/>
        </w:rPr>
        <w:t xml:space="preserve"> en el Anexo 2.</w:t>
      </w:r>
    </w:p>
    <w:p w:rsidR="00CE6299" w:rsidRPr="000C4E7D" w:rsidRDefault="00CE6299" w:rsidP="00285E7F">
      <w:pPr>
        <w:rPr>
          <w:sz w:val="24"/>
          <w:szCs w:val="24"/>
        </w:rPr>
      </w:pPr>
      <w:r w:rsidRPr="000C4E7D">
        <w:rPr>
          <w:sz w:val="24"/>
          <w:szCs w:val="24"/>
        </w:rPr>
        <w:t xml:space="preserve">El periodo de consideración se extenderá durante 2 meses </w:t>
      </w:r>
      <w:r w:rsidRPr="00D31272">
        <w:rPr>
          <w:sz w:val="24"/>
          <w:szCs w:val="24"/>
        </w:rPr>
        <w:t xml:space="preserve">finalizando el </w:t>
      </w:r>
      <w:r w:rsidR="001C2038" w:rsidRPr="00DB203D">
        <w:rPr>
          <w:bCs/>
          <w:sz w:val="24"/>
          <w:szCs w:val="24"/>
          <w:u w:val="single"/>
        </w:rPr>
        <w:t xml:space="preserve">30 de </w:t>
      </w:r>
      <w:r w:rsidR="001860BB" w:rsidRPr="00DB203D">
        <w:rPr>
          <w:rStyle w:val="hps"/>
          <w:rFonts w:ascii="Arial" w:hAnsi="Arial" w:cs="Arial"/>
          <w:color w:val="222222"/>
          <w:u w:val="single"/>
          <w:lang w:val="es-ES"/>
        </w:rPr>
        <w:t>junio</w:t>
      </w:r>
      <w:r w:rsidR="001C2038" w:rsidRPr="00DB203D">
        <w:rPr>
          <w:bCs/>
          <w:sz w:val="24"/>
          <w:szCs w:val="24"/>
          <w:u w:val="single"/>
        </w:rPr>
        <w:t xml:space="preserve"> de 2014</w:t>
      </w:r>
      <w:r w:rsidRPr="00D31272">
        <w:rPr>
          <w:sz w:val="24"/>
          <w:szCs w:val="24"/>
        </w:rPr>
        <w:t>.</w:t>
      </w:r>
      <w:r w:rsidRPr="000C4E7D">
        <w:rPr>
          <w:sz w:val="24"/>
          <w:szCs w:val="24"/>
        </w:rPr>
        <w:t xml:space="preserve"> Si durante este periodo no se reciben objeciones de los Estados Miembros, se considerará que los proyectos de Recomendación serán adoptados por la Comisión de Estudio </w:t>
      </w:r>
      <w:r w:rsidR="00D31272">
        <w:rPr>
          <w:sz w:val="24"/>
          <w:szCs w:val="24"/>
        </w:rPr>
        <w:t>6</w:t>
      </w:r>
      <w:r w:rsidRPr="000C4E7D">
        <w:rPr>
          <w:sz w:val="24"/>
          <w:szCs w:val="24"/>
        </w:rPr>
        <w:t>. Además, como se ha seguido el PAAS, los proyectos de Recomendación también se considerarán aprobados.</w:t>
      </w:r>
    </w:p>
    <w:p w:rsidR="00CE6299" w:rsidRPr="00BC19B3" w:rsidRDefault="00BC19B3" w:rsidP="00285E7F">
      <w:pPr>
        <w:rPr>
          <w:sz w:val="24"/>
          <w:szCs w:val="24"/>
        </w:rPr>
      </w:pPr>
      <w:r w:rsidRPr="00BC19B3">
        <w:rPr>
          <w:sz w:val="24"/>
          <w:szCs w:val="24"/>
        </w:rPr>
        <w:t>Todo Estado Miembro que objete la adopción de un proyecto de Recomendación o la aprobación de la supresión de una Recomendación debe informar al Director y al Presidente de la Comisión de Estudio de los motivos de dicha objeción.</w:t>
      </w:r>
    </w:p>
    <w:p w:rsidR="00CE6299" w:rsidRPr="000C4E7D" w:rsidRDefault="00CE6299" w:rsidP="00285E7F">
      <w:pPr>
        <w:rPr>
          <w:sz w:val="24"/>
          <w:szCs w:val="24"/>
        </w:rPr>
      </w:pPr>
      <w:r w:rsidRPr="000C4E7D">
        <w:rPr>
          <w:sz w:val="24"/>
          <w:szCs w:val="24"/>
        </w:rPr>
        <w:t>Tras la fecha límite mencionada, los resultados del PAAS se comunicarán mediant</w:t>
      </w:r>
      <w:r w:rsidR="00D31272">
        <w:rPr>
          <w:sz w:val="24"/>
          <w:szCs w:val="24"/>
        </w:rPr>
        <w:t>e Circular Administrativa y las Recomendaci</w:t>
      </w:r>
      <w:r w:rsidR="00D31272" w:rsidRPr="000C4E7D">
        <w:rPr>
          <w:sz w:val="24"/>
          <w:szCs w:val="24"/>
        </w:rPr>
        <w:t>o</w:t>
      </w:r>
      <w:r w:rsidR="00D31272">
        <w:rPr>
          <w:sz w:val="24"/>
          <w:szCs w:val="24"/>
        </w:rPr>
        <w:t>nes aprobadas se publicarán</w:t>
      </w:r>
      <w:r w:rsidRPr="000C4E7D">
        <w:rPr>
          <w:sz w:val="24"/>
          <w:szCs w:val="24"/>
        </w:rPr>
        <w:t xml:space="preserve"> tan pronto como sea posible (véase </w:t>
      </w:r>
      <w:hyperlink r:id="rId8" w:history="1">
        <w:r w:rsidRPr="000C4E7D">
          <w:rPr>
            <w:color w:val="0000FF"/>
            <w:sz w:val="24"/>
            <w:szCs w:val="24"/>
            <w:u w:val="single"/>
          </w:rPr>
          <w:t>http://www.itu.int/pub/R-REC</w:t>
        </w:r>
      </w:hyperlink>
      <w:r w:rsidRPr="000C4E7D">
        <w:rPr>
          <w:sz w:val="24"/>
          <w:szCs w:val="24"/>
        </w:rPr>
        <w:t>).</w:t>
      </w:r>
    </w:p>
    <w:p w:rsidR="00CE6299" w:rsidRPr="000C4E7D" w:rsidRDefault="00CE6299" w:rsidP="00CE62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0C4E7D">
        <w:rPr>
          <w:sz w:val="24"/>
          <w:szCs w:val="24"/>
        </w:rPr>
        <w:br w:type="page"/>
      </w:r>
    </w:p>
    <w:p w:rsidR="00CE6299" w:rsidRPr="000C4E7D" w:rsidRDefault="00CE6299" w:rsidP="00285E7F">
      <w:pPr>
        <w:rPr>
          <w:sz w:val="24"/>
          <w:szCs w:val="24"/>
        </w:rPr>
      </w:pPr>
      <w:r w:rsidRPr="000C4E7D">
        <w:rPr>
          <w:sz w:val="24"/>
          <w:szCs w:val="24"/>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00E010B8">
        <w:rPr>
          <w:sz w:val="24"/>
          <w:szCs w:val="24"/>
        </w:rPr>
        <w:noBreakHyphen/>
      </w:r>
      <w:r w:rsidRPr="000C4E7D">
        <w:rPr>
          <w:sz w:val="24"/>
          <w:szCs w:val="24"/>
        </w:rPr>
        <w:t>T/UIT</w:t>
      </w:r>
      <w:r w:rsidR="00E010B8">
        <w:rPr>
          <w:sz w:val="24"/>
          <w:szCs w:val="24"/>
        </w:rPr>
        <w:noBreakHyphen/>
      </w:r>
      <w:r w:rsidRPr="000C4E7D">
        <w:rPr>
          <w:sz w:val="24"/>
          <w:szCs w:val="24"/>
        </w:rPr>
        <w:t>R/ISO/CEI puede consultarse en</w:t>
      </w:r>
      <w:r w:rsidR="00A9747B">
        <w:rPr>
          <w:sz w:val="24"/>
          <w:szCs w:val="24"/>
        </w:rPr>
        <w:t>:</w:t>
      </w:r>
      <w:r w:rsidRPr="000C4E7D">
        <w:rPr>
          <w:sz w:val="24"/>
          <w:szCs w:val="24"/>
        </w:rPr>
        <w:t xml:space="preserve"> </w:t>
      </w:r>
      <w:hyperlink r:id="rId9" w:history="1">
        <w:r w:rsidR="00BC19B3" w:rsidRPr="006E1A81">
          <w:rPr>
            <w:rStyle w:val="Hyperlink"/>
            <w:sz w:val="24"/>
            <w:szCs w:val="24"/>
          </w:rPr>
          <w:t>http://www.itu.int/en/ITU-T/ipr/Pages/policy.aspx</w:t>
        </w:r>
      </w:hyperlink>
      <w:r w:rsidRPr="000C4E7D">
        <w:rPr>
          <w:sz w:val="24"/>
          <w:szCs w:val="24"/>
        </w:rPr>
        <w:t>.</w:t>
      </w:r>
    </w:p>
    <w:p w:rsidR="00CE6299" w:rsidRPr="000C4E7D" w:rsidRDefault="00CE6299" w:rsidP="00DB203D">
      <w:pPr>
        <w:tabs>
          <w:tab w:val="clear" w:pos="794"/>
          <w:tab w:val="clear" w:pos="1191"/>
          <w:tab w:val="clear" w:pos="1588"/>
          <w:tab w:val="clear" w:pos="1985"/>
        </w:tabs>
        <w:spacing w:before="1440"/>
        <w:jc w:val="left"/>
        <w:rPr>
          <w:sz w:val="24"/>
          <w:szCs w:val="24"/>
        </w:rPr>
      </w:pPr>
      <w:r w:rsidRPr="000C4E7D">
        <w:rPr>
          <w:sz w:val="24"/>
          <w:szCs w:val="24"/>
        </w:rPr>
        <w:t>François Rancy</w:t>
      </w:r>
      <w:r w:rsidRPr="000C4E7D">
        <w:rPr>
          <w:sz w:val="24"/>
          <w:szCs w:val="24"/>
        </w:rPr>
        <w:br/>
      </w:r>
      <w:r w:rsidR="000C4E7D">
        <w:rPr>
          <w:sz w:val="24"/>
          <w:szCs w:val="24"/>
        </w:rPr>
        <w:t>Director</w:t>
      </w:r>
    </w:p>
    <w:p w:rsidR="00CE6299" w:rsidRPr="000C4E7D" w:rsidRDefault="00CE6299" w:rsidP="00285E7F">
      <w:pPr>
        <w:spacing w:before="1440"/>
        <w:jc w:val="left"/>
        <w:rPr>
          <w:sz w:val="24"/>
          <w:szCs w:val="24"/>
        </w:rPr>
      </w:pPr>
      <w:r w:rsidRPr="000C4E7D">
        <w:rPr>
          <w:b/>
          <w:bCs/>
          <w:sz w:val="24"/>
          <w:szCs w:val="24"/>
        </w:rPr>
        <w:t>Anexo 1</w:t>
      </w:r>
      <w:r w:rsidRPr="000C4E7D">
        <w:rPr>
          <w:sz w:val="24"/>
          <w:szCs w:val="24"/>
        </w:rPr>
        <w:t xml:space="preserve">: </w:t>
      </w:r>
      <w:r w:rsidR="000C4E7D">
        <w:rPr>
          <w:sz w:val="24"/>
          <w:szCs w:val="24"/>
        </w:rPr>
        <w:tab/>
      </w:r>
      <w:r w:rsidR="00497FEE">
        <w:rPr>
          <w:sz w:val="24"/>
          <w:szCs w:val="24"/>
        </w:rPr>
        <w:t>Título</w:t>
      </w:r>
      <w:r w:rsidRPr="000C4E7D">
        <w:rPr>
          <w:sz w:val="24"/>
          <w:szCs w:val="24"/>
        </w:rPr>
        <w:t>s</w:t>
      </w:r>
      <w:r w:rsidR="00497FEE">
        <w:rPr>
          <w:sz w:val="24"/>
          <w:szCs w:val="24"/>
        </w:rPr>
        <w:t xml:space="preserve"> y res</w:t>
      </w:r>
      <w:r w:rsidR="00285E7F" w:rsidRPr="000C4E7D">
        <w:rPr>
          <w:sz w:val="24"/>
          <w:szCs w:val="24"/>
        </w:rPr>
        <w:t>ú</w:t>
      </w:r>
      <w:r w:rsidR="00497FEE">
        <w:rPr>
          <w:sz w:val="24"/>
          <w:szCs w:val="24"/>
        </w:rPr>
        <w:t>menes</w:t>
      </w:r>
      <w:r w:rsidRPr="000C4E7D">
        <w:rPr>
          <w:sz w:val="24"/>
          <w:szCs w:val="24"/>
        </w:rPr>
        <w:t xml:space="preserve"> del de los</w:t>
      </w:r>
      <w:r w:rsidR="00497FEE">
        <w:rPr>
          <w:sz w:val="24"/>
          <w:szCs w:val="24"/>
        </w:rPr>
        <w:t xml:space="preserve"> proyecto</w:t>
      </w:r>
      <w:r w:rsidRPr="000C4E7D">
        <w:rPr>
          <w:sz w:val="24"/>
          <w:szCs w:val="24"/>
        </w:rPr>
        <w:t xml:space="preserve">s de </w:t>
      </w:r>
      <w:r w:rsidR="00497FEE" w:rsidRPr="00333F21">
        <w:rPr>
          <w:sz w:val="24"/>
          <w:szCs w:val="24"/>
        </w:rPr>
        <w:t>Recomendaciones</w:t>
      </w:r>
    </w:p>
    <w:p w:rsidR="00CE6299" w:rsidRPr="000C4E7D" w:rsidRDefault="00CE6299" w:rsidP="00497FEE">
      <w:pPr>
        <w:jc w:val="left"/>
        <w:rPr>
          <w:sz w:val="24"/>
          <w:szCs w:val="24"/>
        </w:rPr>
      </w:pPr>
      <w:r w:rsidRPr="000C4E7D">
        <w:rPr>
          <w:b/>
          <w:bCs/>
          <w:sz w:val="24"/>
          <w:szCs w:val="24"/>
        </w:rPr>
        <w:t>Anexo 2</w:t>
      </w:r>
      <w:r w:rsidRPr="000C4E7D">
        <w:rPr>
          <w:sz w:val="24"/>
          <w:szCs w:val="24"/>
        </w:rPr>
        <w:t>:</w:t>
      </w:r>
      <w:r w:rsidR="000C4E7D">
        <w:rPr>
          <w:sz w:val="24"/>
          <w:szCs w:val="24"/>
        </w:rPr>
        <w:tab/>
      </w:r>
      <w:r w:rsidR="00497FEE" w:rsidRPr="00333F21">
        <w:rPr>
          <w:sz w:val="24"/>
          <w:szCs w:val="24"/>
        </w:rPr>
        <w:t>Recomendaciones</w:t>
      </w:r>
      <w:r w:rsidR="00497FEE" w:rsidRPr="000C4E7D">
        <w:rPr>
          <w:sz w:val="24"/>
          <w:szCs w:val="24"/>
        </w:rPr>
        <w:t xml:space="preserve"> </w:t>
      </w:r>
      <w:r w:rsidRPr="000C4E7D">
        <w:rPr>
          <w:sz w:val="24"/>
          <w:szCs w:val="24"/>
        </w:rPr>
        <w:t>cuya supresión se propone</w:t>
      </w:r>
    </w:p>
    <w:p w:rsidR="00DB203D" w:rsidRDefault="00DB203D" w:rsidP="00497FEE">
      <w:pPr>
        <w:jc w:val="left"/>
        <w:rPr>
          <w:b/>
          <w:bCs/>
          <w:sz w:val="24"/>
          <w:szCs w:val="24"/>
        </w:rPr>
      </w:pPr>
    </w:p>
    <w:p w:rsidR="00CE6299" w:rsidRPr="000C4E7D" w:rsidRDefault="00497FEE" w:rsidP="00DB203D">
      <w:pPr>
        <w:tabs>
          <w:tab w:val="clear" w:pos="794"/>
          <w:tab w:val="clear" w:pos="1191"/>
          <w:tab w:val="clear" w:pos="1588"/>
        </w:tabs>
        <w:ind w:left="1985" w:hanging="1985"/>
        <w:jc w:val="left"/>
        <w:rPr>
          <w:sz w:val="24"/>
          <w:szCs w:val="24"/>
        </w:rPr>
      </w:pPr>
      <w:r>
        <w:rPr>
          <w:b/>
          <w:bCs/>
          <w:sz w:val="24"/>
          <w:szCs w:val="24"/>
        </w:rPr>
        <w:t>Documento</w:t>
      </w:r>
      <w:r w:rsidR="00CE6299" w:rsidRPr="000C4E7D">
        <w:rPr>
          <w:b/>
          <w:bCs/>
          <w:sz w:val="24"/>
          <w:szCs w:val="24"/>
        </w:rPr>
        <w:t>s</w:t>
      </w:r>
      <w:r w:rsidR="00CE6299" w:rsidRPr="00290AEE">
        <w:rPr>
          <w:sz w:val="24"/>
          <w:szCs w:val="24"/>
        </w:rPr>
        <w:t>:</w:t>
      </w:r>
      <w:r w:rsidR="000C4E7D">
        <w:rPr>
          <w:sz w:val="24"/>
          <w:szCs w:val="24"/>
        </w:rPr>
        <w:tab/>
      </w:r>
      <w:r w:rsidRPr="004E59B6">
        <w:rPr>
          <w:sz w:val="24"/>
          <w:szCs w:val="24"/>
        </w:rPr>
        <w:t>Documentos</w:t>
      </w:r>
      <w:r w:rsidRPr="00814A3A">
        <w:rPr>
          <w:sz w:val="24"/>
          <w:szCs w:val="24"/>
        </w:rPr>
        <w:t xml:space="preserve"> 6/224(Rev.1), 6/226(Rev.1), 6/229(Rev.1), 6/230(Rev.1), 6/232(Rev.1), 6/235(Rev.1)</w:t>
      </w:r>
    </w:p>
    <w:p w:rsidR="00CE6299" w:rsidRPr="000C4E7D" w:rsidRDefault="00497FEE" w:rsidP="00CE6299">
      <w:pPr>
        <w:jc w:val="left"/>
        <w:rPr>
          <w:sz w:val="24"/>
          <w:szCs w:val="24"/>
          <w:u w:val="single"/>
        </w:rPr>
      </w:pPr>
      <w:r w:rsidRPr="0068369F">
        <w:rPr>
          <w:sz w:val="24"/>
          <w:szCs w:val="24"/>
        </w:rPr>
        <w:t xml:space="preserve">Estos documentos están disponibles en formato electrónico en: </w:t>
      </w:r>
      <w:r>
        <w:rPr>
          <w:sz w:val="24"/>
          <w:szCs w:val="24"/>
        </w:rPr>
        <w:br/>
      </w:r>
      <w:hyperlink r:id="rId10" w:history="1">
        <w:r w:rsidRPr="0068369F">
          <w:rPr>
            <w:rStyle w:val="Hyperlink"/>
            <w:sz w:val="24"/>
            <w:szCs w:val="24"/>
          </w:rPr>
          <w:t>http://www.itu.int/md/R12-SG06-C/es</w:t>
        </w:r>
      </w:hyperlink>
    </w:p>
    <w:p w:rsidR="00CE6299" w:rsidRDefault="00CE6299" w:rsidP="00CE6299">
      <w:pPr>
        <w:jc w:val="left"/>
      </w:pPr>
    </w:p>
    <w:p w:rsidR="007E59D7" w:rsidRPr="000266B0" w:rsidRDefault="007E59D7" w:rsidP="00CE6299">
      <w:pPr>
        <w:jc w:val="left"/>
      </w:pPr>
    </w:p>
    <w:p w:rsidR="00CE6299" w:rsidRPr="000266B0" w:rsidRDefault="00CE6299" w:rsidP="00CE6299">
      <w:pPr>
        <w:tabs>
          <w:tab w:val="left" w:pos="284"/>
          <w:tab w:val="left" w:pos="568"/>
        </w:tabs>
        <w:spacing w:before="1920" w:after="60"/>
        <w:rPr>
          <w:b/>
          <w:bCs/>
          <w:sz w:val="18"/>
          <w:szCs w:val="18"/>
        </w:rPr>
      </w:pPr>
      <w:r w:rsidRPr="000266B0">
        <w:rPr>
          <w:b/>
          <w:bCs/>
          <w:sz w:val="18"/>
          <w:szCs w:val="18"/>
        </w:rPr>
        <w:t>Distribución:</w:t>
      </w:r>
    </w:p>
    <w:p w:rsidR="00CE6299" w:rsidRPr="000266B0" w:rsidRDefault="00CE6299" w:rsidP="00981C5B">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Administraciones de los Estados Miembros</w:t>
      </w:r>
      <w:r w:rsidR="00285E7F">
        <w:rPr>
          <w:sz w:val="18"/>
          <w:szCs w:val="18"/>
        </w:rPr>
        <w:t xml:space="preserve"> de la UIT y</w:t>
      </w:r>
      <w:r w:rsidRPr="000266B0">
        <w:rPr>
          <w:sz w:val="18"/>
          <w:szCs w:val="18"/>
        </w:rPr>
        <w:t xml:space="preserve"> del Sector de Radiocomunicaciones que participan en los trabajos de la Comisión de Estudio </w:t>
      </w:r>
      <w:r w:rsidR="00981C5B">
        <w:rPr>
          <w:sz w:val="18"/>
          <w:szCs w:val="18"/>
        </w:rPr>
        <w:t>6</w:t>
      </w:r>
      <w:r w:rsidRPr="000266B0">
        <w:rPr>
          <w:sz w:val="18"/>
          <w:szCs w:val="18"/>
        </w:rPr>
        <w:t xml:space="preserve"> de Radiocomunicaciones </w:t>
      </w:r>
    </w:p>
    <w:p w:rsidR="00CE6299" w:rsidRPr="000266B0" w:rsidRDefault="00CE6299" w:rsidP="00981C5B">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981C5B">
        <w:rPr>
          <w:sz w:val="18"/>
          <w:szCs w:val="18"/>
        </w:rPr>
        <w:t>6</w:t>
      </w:r>
      <w:r w:rsidRPr="000266B0">
        <w:rPr>
          <w:sz w:val="18"/>
          <w:szCs w:val="18"/>
        </w:rPr>
        <w:t xml:space="preserve"> de Radiocomunicaciones </w:t>
      </w:r>
    </w:p>
    <w:p w:rsidR="00CE6299" w:rsidRPr="000266B0" w:rsidRDefault="00CE6299" w:rsidP="00CE6299">
      <w:pPr>
        <w:tabs>
          <w:tab w:val="left" w:pos="567"/>
          <w:tab w:val="left" w:pos="6237"/>
        </w:tabs>
        <w:spacing w:before="0" w:line="240" w:lineRule="auto"/>
        <w:ind w:left="567" w:hanging="567"/>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CE6299">
      <w:pPr>
        <w:tabs>
          <w:tab w:val="left" w:pos="567"/>
          <w:tab w:val="left" w:pos="6237"/>
        </w:tabs>
        <w:spacing w:before="0" w:line="240" w:lineRule="auto"/>
        <w:jc w:val="left"/>
        <w:rPr>
          <w:sz w:val="18"/>
          <w:szCs w:val="18"/>
        </w:rPr>
      </w:pPr>
      <w:r w:rsidRPr="000266B0">
        <w:rPr>
          <w:sz w:val="18"/>
          <w:szCs w:val="18"/>
        </w:rPr>
        <w:t>–</w:t>
      </w:r>
      <w:r w:rsidRPr="000266B0">
        <w:rPr>
          <w:sz w:val="18"/>
          <w:szCs w:val="18"/>
        </w:rPr>
        <w:tab/>
        <w:t xml:space="preserve">Miembros de la Junta del Reglamento de Radiocomunicaciones </w:t>
      </w:r>
    </w:p>
    <w:p w:rsidR="00CE6299" w:rsidRPr="000266B0" w:rsidRDefault="00CE6299" w:rsidP="00CE6299">
      <w:pPr>
        <w:tabs>
          <w:tab w:val="left" w:pos="567"/>
          <w:tab w:val="left" w:pos="6237"/>
        </w:tabs>
        <w:overflowPunct/>
        <w:autoSpaceDE/>
        <w:autoSpaceDN/>
        <w:adjustRightInd/>
        <w:spacing w:before="0" w:line="240" w:lineRule="auto"/>
        <w:ind w:left="567" w:hanging="567"/>
        <w:jc w:val="left"/>
        <w:textAlignment w:val="auto"/>
        <w:rPr>
          <w:sz w:val="18"/>
          <w:szCs w:val="18"/>
        </w:rPr>
      </w:pPr>
      <w:r w:rsidRPr="000266B0">
        <w:rPr>
          <w:sz w:val="18"/>
          <w:szCs w:val="18"/>
        </w:rPr>
        <w:t>–</w:t>
      </w:r>
      <w:r w:rsidRPr="000266B0">
        <w:rPr>
          <w:sz w:val="18"/>
          <w:szCs w:val="18"/>
        </w:rPr>
        <w:tab/>
        <w:t xml:space="preserve">Secretario General de la UIT, Director de la Oficina de Normalización de las Telecomunicaciones, Director de la Oficina de Desarrollo de Telecomunicaciones </w:t>
      </w:r>
    </w:p>
    <w:p w:rsidR="007E59D7" w:rsidRDefault="007E59D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rsidR="00BC19B3" w:rsidRPr="00BC19B3" w:rsidRDefault="00BC19B3" w:rsidP="00BC19B3">
      <w:pPr>
        <w:pStyle w:val="AnnexNotitle0"/>
        <w:rPr>
          <w:rFonts w:asciiTheme="minorHAnsi" w:hAnsiTheme="minorHAnsi"/>
        </w:rPr>
      </w:pPr>
      <w:r w:rsidRPr="00BC19B3">
        <w:rPr>
          <w:rFonts w:asciiTheme="minorHAnsi" w:hAnsiTheme="minorHAnsi"/>
        </w:rPr>
        <w:lastRenderedPageBreak/>
        <w:t>Anexo 1</w:t>
      </w:r>
    </w:p>
    <w:p w:rsidR="00BC19B3" w:rsidRPr="00BC19B3" w:rsidRDefault="00BC19B3" w:rsidP="00BC19B3">
      <w:pPr>
        <w:pStyle w:val="AnnexNotitle0"/>
        <w:rPr>
          <w:rFonts w:asciiTheme="minorHAnsi" w:hAnsiTheme="minorHAnsi"/>
        </w:rPr>
      </w:pPr>
      <w:r w:rsidRPr="00BC19B3">
        <w:rPr>
          <w:rFonts w:asciiTheme="minorHAnsi" w:hAnsiTheme="minorHAnsi"/>
        </w:rPr>
        <w:t>Títulos y resúmenes de los proyectos de Recomendaciones</w:t>
      </w:r>
    </w:p>
    <w:p w:rsidR="00BC19B3" w:rsidRPr="00BC19B3" w:rsidRDefault="00BC19B3" w:rsidP="00BC19B3">
      <w:pPr>
        <w:pStyle w:val="RecNo"/>
        <w:tabs>
          <w:tab w:val="right" w:pos="9639"/>
        </w:tabs>
        <w:spacing w:before="360"/>
        <w:rPr>
          <w:rFonts w:asciiTheme="minorHAnsi" w:hAnsiTheme="minorHAnsi" w:cstheme="majorBidi"/>
          <w:b w:val="0"/>
          <w:bCs/>
          <w:sz w:val="24"/>
          <w:szCs w:val="24"/>
          <w:u w:val="single"/>
        </w:rPr>
      </w:pPr>
      <w:r w:rsidRPr="00BC19B3">
        <w:rPr>
          <w:rFonts w:asciiTheme="minorHAnsi" w:hAnsiTheme="minorHAnsi" w:cstheme="majorBidi"/>
          <w:b w:val="0"/>
          <w:bCs/>
          <w:sz w:val="24"/>
          <w:szCs w:val="24"/>
          <w:u w:val="single"/>
        </w:rPr>
        <w:t>Proyecto de revisió</w:t>
      </w:r>
      <w:r w:rsidR="00285E7F">
        <w:rPr>
          <w:rFonts w:asciiTheme="minorHAnsi" w:hAnsiTheme="minorHAnsi" w:cstheme="majorBidi"/>
          <w:b w:val="0"/>
          <w:bCs/>
          <w:sz w:val="24"/>
          <w:szCs w:val="24"/>
          <w:u w:val="single"/>
        </w:rPr>
        <w:t>n de la Recomendación UIT-R BS.</w:t>
      </w:r>
      <w:r w:rsidRPr="00BC19B3">
        <w:rPr>
          <w:rFonts w:asciiTheme="minorHAnsi" w:hAnsiTheme="minorHAnsi" w:cstheme="majorBidi"/>
          <w:b w:val="0"/>
          <w:bCs/>
          <w:sz w:val="24"/>
          <w:szCs w:val="24"/>
          <w:u w:val="single"/>
        </w:rPr>
        <w:t>774-3</w:t>
      </w:r>
      <w:r w:rsidRPr="00BC19B3">
        <w:rPr>
          <w:rFonts w:asciiTheme="minorHAnsi" w:hAnsiTheme="minorHAnsi" w:cstheme="majorBidi"/>
          <w:b w:val="0"/>
          <w:bCs/>
          <w:sz w:val="24"/>
          <w:szCs w:val="24"/>
        </w:rPr>
        <w:tab/>
        <w:t>Doc. 6/224(Rev.1)</w:t>
      </w:r>
    </w:p>
    <w:p w:rsidR="00BC19B3" w:rsidRPr="007033AE" w:rsidRDefault="00BC19B3" w:rsidP="00BC19B3">
      <w:pPr>
        <w:pStyle w:val="Rectitle"/>
      </w:pPr>
      <w:r w:rsidRPr="007033AE">
        <w:t>Necesidades del servicio relativo a la radiodifusión sonora digital para receptores a bordo de vehículos, portátiles y fijos, mediante transmisores terrenales, en las bandas de ondas métricas y decimétricas</w:t>
      </w:r>
    </w:p>
    <w:p w:rsidR="00BC19B3" w:rsidRPr="00BC19B3" w:rsidRDefault="00BC19B3" w:rsidP="00BC19B3">
      <w:pPr>
        <w:pStyle w:val="RecNo"/>
        <w:tabs>
          <w:tab w:val="right" w:pos="9639"/>
        </w:tabs>
        <w:spacing w:before="360"/>
        <w:rPr>
          <w:rFonts w:asciiTheme="minorHAnsi" w:hAnsiTheme="minorHAnsi" w:cstheme="majorBidi"/>
          <w:b w:val="0"/>
          <w:bCs/>
          <w:sz w:val="24"/>
          <w:szCs w:val="24"/>
          <w:u w:val="single"/>
        </w:rPr>
      </w:pPr>
      <w:r w:rsidRPr="00BC19B3">
        <w:rPr>
          <w:rFonts w:asciiTheme="minorHAnsi" w:hAnsiTheme="minorHAnsi" w:cstheme="majorBidi"/>
          <w:b w:val="0"/>
          <w:bCs/>
          <w:sz w:val="24"/>
          <w:szCs w:val="24"/>
          <w:u w:val="single"/>
        </w:rPr>
        <w:t>Proyecto de revisión de la Recomendación UIT-R BS.1114-7</w:t>
      </w:r>
      <w:r w:rsidRPr="00BC19B3">
        <w:rPr>
          <w:rFonts w:asciiTheme="minorHAnsi" w:hAnsiTheme="minorHAnsi" w:cstheme="majorBidi"/>
          <w:b w:val="0"/>
          <w:bCs/>
          <w:sz w:val="24"/>
          <w:szCs w:val="24"/>
        </w:rPr>
        <w:tab/>
      </w:r>
    </w:p>
    <w:p w:rsidR="00BC19B3" w:rsidRPr="007033AE" w:rsidRDefault="00BC19B3" w:rsidP="00BC19B3">
      <w:pPr>
        <w:pStyle w:val="Rectitle"/>
      </w:pPr>
      <w:r w:rsidRPr="007033AE">
        <w:t>Sistemas de radiodifusión sonora digital terrenal para receptores en</w:t>
      </w:r>
      <w:r w:rsidRPr="007033AE">
        <w:br/>
        <w:t>vehículos, portátiles y fijos en la gama de frecuencias 30-3 000 MHz</w:t>
      </w:r>
    </w:p>
    <w:p w:rsidR="00BC19B3" w:rsidRPr="00BC19B3" w:rsidRDefault="00BC19B3" w:rsidP="00BC19B3">
      <w:pPr>
        <w:pStyle w:val="RecNo"/>
        <w:tabs>
          <w:tab w:val="right" w:pos="9639"/>
        </w:tabs>
        <w:spacing w:before="360"/>
        <w:rPr>
          <w:rFonts w:asciiTheme="minorHAnsi" w:hAnsiTheme="minorHAnsi" w:cstheme="majorBidi"/>
          <w:b w:val="0"/>
          <w:bCs/>
          <w:sz w:val="24"/>
          <w:szCs w:val="24"/>
          <w:u w:val="single"/>
        </w:rPr>
      </w:pPr>
      <w:r w:rsidRPr="00BC19B3">
        <w:rPr>
          <w:rFonts w:asciiTheme="minorHAnsi" w:hAnsiTheme="minorHAnsi" w:cstheme="majorBidi"/>
          <w:b w:val="0"/>
          <w:bCs/>
          <w:sz w:val="24"/>
          <w:szCs w:val="24"/>
          <w:u w:val="single"/>
        </w:rPr>
        <w:t>Proyecto de revisión de la Recomendación UIT-R BS.1348-2</w:t>
      </w:r>
      <w:r w:rsidRPr="00BC19B3">
        <w:rPr>
          <w:rFonts w:asciiTheme="minorHAnsi" w:hAnsiTheme="minorHAnsi" w:cstheme="majorBidi"/>
          <w:b w:val="0"/>
          <w:bCs/>
          <w:sz w:val="24"/>
          <w:szCs w:val="24"/>
        </w:rPr>
        <w:tab/>
      </w:r>
    </w:p>
    <w:p w:rsidR="00BC19B3" w:rsidRPr="007033AE" w:rsidRDefault="00BC19B3" w:rsidP="00BC19B3">
      <w:pPr>
        <w:pStyle w:val="Rectitle"/>
      </w:pPr>
      <w:r w:rsidRPr="007033AE">
        <w:t>Requisitos de servicio de la radiodifusión sonora digital</w:t>
      </w:r>
      <w:r w:rsidRPr="007033AE">
        <w:br/>
        <w:t>para frecuencias inferiores a 30 MHz</w:t>
      </w:r>
    </w:p>
    <w:p w:rsidR="00BC19B3" w:rsidRPr="00BC19B3" w:rsidRDefault="00BC19B3" w:rsidP="00BC19B3">
      <w:pPr>
        <w:pStyle w:val="Normalaftertitle"/>
        <w:rPr>
          <w:sz w:val="24"/>
          <w:szCs w:val="24"/>
        </w:rPr>
      </w:pPr>
      <w:r w:rsidRPr="00BC19B3">
        <w:rPr>
          <w:sz w:val="24"/>
          <w:szCs w:val="24"/>
        </w:rPr>
        <w:t>La revisión modifica el «invita» de las Recomendaciones UIT-R BS.774, UIT-R BS.1114 y UIT</w:t>
      </w:r>
      <w:r w:rsidRPr="00BC19B3">
        <w:rPr>
          <w:sz w:val="24"/>
          <w:szCs w:val="24"/>
        </w:rPr>
        <w:noBreakHyphen/>
        <w:t>R BS.1348, siendo la versión definitiva la siguiente:</w:t>
      </w:r>
    </w:p>
    <w:p w:rsidR="00BC19B3" w:rsidRPr="00BC19B3" w:rsidRDefault="00BC19B3" w:rsidP="00BC19B3">
      <w:pPr>
        <w:pStyle w:val="Call"/>
        <w:rPr>
          <w:sz w:val="24"/>
          <w:szCs w:val="24"/>
          <w:u w:val="single"/>
        </w:rPr>
      </w:pPr>
      <w:r w:rsidRPr="00BC19B3">
        <w:rPr>
          <w:sz w:val="24"/>
          <w:szCs w:val="24"/>
        </w:rPr>
        <w:t>invita a los miembros de la UIT y los fabricantes de receptores radioeléctricos a que consideren</w:t>
      </w:r>
    </w:p>
    <w:p w:rsidR="00BC19B3" w:rsidRPr="00BC19B3" w:rsidRDefault="00BC19B3" w:rsidP="00BC19B3">
      <w:pPr>
        <w:rPr>
          <w:sz w:val="24"/>
          <w:szCs w:val="24"/>
        </w:rPr>
      </w:pPr>
      <w:r w:rsidRPr="00BC19B3">
        <w:rPr>
          <w:sz w:val="24"/>
          <w:szCs w:val="24"/>
        </w:rPr>
        <w:t>1</w:t>
      </w:r>
      <w:r w:rsidRPr="00BC19B3">
        <w:rPr>
          <w:b/>
          <w:bCs/>
          <w:sz w:val="24"/>
          <w:szCs w:val="24"/>
        </w:rPr>
        <w:tab/>
      </w:r>
      <w:r w:rsidRPr="00BC19B3">
        <w:rPr>
          <w:sz w:val="24"/>
          <w:szCs w:val="24"/>
        </w:rPr>
        <w:t>receptores radioeléctricos asequibles, portátiles, multibanda y multinorma para que funcionen mediante selección manual o, preferiblemente, automática, con todos los sistemas de radiodifusión analógica y digital actualmente utilizados en todas las bandas de frecuencia pertinentes;</w:t>
      </w:r>
    </w:p>
    <w:p w:rsidR="00BC19B3" w:rsidRPr="00BC19B3" w:rsidRDefault="00BC19B3" w:rsidP="00BC19B3">
      <w:pPr>
        <w:tabs>
          <w:tab w:val="left" w:pos="8080"/>
        </w:tabs>
        <w:rPr>
          <w:sz w:val="24"/>
          <w:szCs w:val="24"/>
        </w:rPr>
      </w:pPr>
      <w:r w:rsidRPr="00BC19B3">
        <w:rPr>
          <w:sz w:val="24"/>
          <w:szCs w:val="24"/>
        </w:rPr>
        <w:t>2</w:t>
      </w:r>
      <w:r w:rsidRPr="00BC19B3">
        <w:rPr>
          <w:sz w:val="24"/>
          <w:szCs w:val="24"/>
        </w:rPr>
        <w:tab/>
        <w:t>receptores radioeléctricos digitales que permitan descargar mejoras de algunas de sus funcionalidades especificas tales como decodificación, navegación, capacidad de gestión, etc.</w:t>
      </w:r>
      <w:r w:rsidR="00285E7F">
        <w:rPr>
          <w:sz w:val="24"/>
          <w:szCs w:val="24"/>
        </w:rPr>
        <w:t>;</w:t>
      </w:r>
    </w:p>
    <w:p w:rsidR="00BC19B3" w:rsidRPr="00BC19B3" w:rsidRDefault="00BC19B3" w:rsidP="00BC19B3">
      <w:pPr>
        <w:tabs>
          <w:tab w:val="left" w:pos="8080"/>
        </w:tabs>
        <w:rPr>
          <w:sz w:val="24"/>
          <w:szCs w:val="24"/>
        </w:rPr>
      </w:pPr>
      <w:r w:rsidRPr="00BC19B3">
        <w:rPr>
          <w:sz w:val="24"/>
          <w:szCs w:val="24"/>
        </w:rPr>
        <w:t>3</w:t>
      </w:r>
      <w:r w:rsidRPr="00BC19B3">
        <w:rPr>
          <w:sz w:val="24"/>
          <w:szCs w:val="24"/>
        </w:rPr>
        <w:tab/>
        <w:t>un indicador sencillo del nivel de campo de RF recibido y de la proporción de bits erróneos.</w:t>
      </w:r>
    </w:p>
    <w:p w:rsidR="00BC19B3" w:rsidRPr="00BC19B3" w:rsidRDefault="00BC19B3" w:rsidP="00BC19B3">
      <w:pPr>
        <w:pStyle w:val="Normalaftertitle"/>
        <w:keepNext/>
        <w:keepLines/>
        <w:tabs>
          <w:tab w:val="right" w:pos="9639"/>
        </w:tabs>
        <w:rPr>
          <w:rFonts w:asciiTheme="minorHAnsi" w:hAnsiTheme="minorHAnsi"/>
          <w:bCs/>
          <w:sz w:val="24"/>
          <w:szCs w:val="24"/>
        </w:rPr>
      </w:pPr>
      <w:r w:rsidRPr="00BC19B3">
        <w:rPr>
          <w:rFonts w:asciiTheme="minorHAnsi" w:hAnsiTheme="minorHAnsi" w:cstheme="majorBidi"/>
          <w:bCs/>
          <w:sz w:val="24"/>
          <w:szCs w:val="24"/>
          <w:u w:val="single"/>
        </w:rPr>
        <w:t>Proyecto de revisión de la Recomendación UIT-R</w:t>
      </w:r>
      <w:r w:rsidRPr="00BC19B3">
        <w:rPr>
          <w:rFonts w:asciiTheme="minorHAnsi" w:hAnsiTheme="minorHAnsi"/>
          <w:bCs/>
          <w:sz w:val="24"/>
          <w:szCs w:val="24"/>
          <w:u w:val="single"/>
        </w:rPr>
        <w:t xml:space="preserve"> BS.1116-1</w:t>
      </w:r>
      <w:r w:rsidRPr="00BC19B3">
        <w:rPr>
          <w:rFonts w:asciiTheme="minorHAnsi" w:hAnsiTheme="minorHAnsi"/>
          <w:bCs/>
          <w:sz w:val="24"/>
          <w:szCs w:val="24"/>
        </w:rPr>
        <w:tab/>
        <w:t>Doc. 6/226(Rev.1)</w:t>
      </w:r>
    </w:p>
    <w:p w:rsidR="00BC19B3" w:rsidRPr="007033AE" w:rsidRDefault="00BC19B3" w:rsidP="00BC19B3">
      <w:pPr>
        <w:pStyle w:val="Rectitle"/>
      </w:pPr>
      <w:r w:rsidRPr="007033AE">
        <w:t>Métodos para la evaluación subjetiva de pequeñas degradaciones en</w:t>
      </w:r>
      <w:r w:rsidRPr="007033AE">
        <w:br/>
        <w:t>los sistemas de audio incluyendo los sistemas de sonido multicanal</w:t>
      </w:r>
    </w:p>
    <w:p w:rsidR="00BC19B3" w:rsidRPr="00285E7F" w:rsidRDefault="00BC19B3" w:rsidP="00285E7F">
      <w:pPr>
        <w:pStyle w:val="Normalaftertitle"/>
        <w:spacing w:before="300"/>
        <w:rPr>
          <w:sz w:val="24"/>
          <w:szCs w:val="24"/>
        </w:rPr>
      </w:pPr>
      <w:r w:rsidRPr="00285E7F">
        <w:rPr>
          <w:sz w:val="24"/>
          <w:szCs w:val="24"/>
        </w:rPr>
        <w:t>Esta revisión tiene por objeto ampliar la Recomendación UIT-R BS.1116 para que contemple la evaluación de la degradación de la calidad debida a pequeñas degradaciones en los sistemas de sonido avanzados que van más allá de los especificados en la Recomendación UIT-R BS.775.</w:t>
      </w:r>
    </w:p>
    <w:p w:rsidR="00BC19B3" w:rsidRPr="00BC19B3" w:rsidRDefault="00BC19B3" w:rsidP="00BC19B3">
      <w:pPr>
        <w:pStyle w:val="Normalaftertitle"/>
        <w:keepNext/>
        <w:tabs>
          <w:tab w:val="right" w:pos="9639"/>
        </w:tabs>
        <w:rPr>
          <w:rFonts w:asciiTheme="minorHAnsi" w:hAnsiTheme="minorHAnsi" w:cstheme="majorBidi"/>
          <w:bCs/>
          <w:sz w:val="24"/>
          <w:szCs w:val="24"/>
        </w:rPr>
      </w:pPr>
      <w:r w:rsidRPr="00BC19B3">
        <w:rPr>
          <w:rFonts w:asciiTheme="minorHAnsi" w:hAnsiTheme="minorHAnsi" w:cstheme="majorBidi"/>
          <w:bCs/>
          <w:sz w:val="24"/>
          <w:szCs w:val="24"/>
          <w:u w:val="single"/>
        </w:rPr>
        <w:lastRenderedPageBreak/>
        <w:t>Proyecto de revisión de la Recomendación UIT-R BT.1680-0</w:t>
      </w:r>
      <w:r w:rsidRPr="00BC19B3">
        <w:rPr>
          <w:rFonts w:asciiTheme="minorHAnsi" w:hAnsiTheme="minorHAnsi" w:cstheme="majorBidi"/>
          <w:bCs/>
          <w:sz w:val="24"/>
          <w:szCs w:val="24"/>
        </w:rPr>
        <w:tab/>
        <w:t>Doc. 6/229(Rev.1)</w:t>
      </w:r>
    </w:p>
    <w:p w:rsidR="00BC19B3" w:rsidRPr="007033AE" w:rsidRDefault="00BC19B3" w:rsidP="00BC19B3">
      <w:pPr>
        <w:pStyle w:val="Rectitle"/>
      </w:pPr>
      <w:r w:rsidRPr="007033AE">
        <w:t xml:space="preserve">Formato de imágenes </w:t>
      </w:r>
      <w:r>
        <w:t xml:space="preserve">en banda </w:t>
      </w:r>
      <w:r w:rsidRPr="007033AE">
        <w:t>base para distribución de aplicaciones</w:t>
      </w:r>
      <w:r w:rsidRPr="007033AE">
        <w:br/>
        <w:t>de imágenes digitales en pantalla grande destinadas</w:t>
      </w:r>
      <w:r w:rsidRPr="007033AE">
        <w:br/>
        <w:t>a la exhibición en grandes salas</w:t>
      </w:r>
    </w:p>
    <w:p w:rsidR="00BC19B3" w:rsidRPr="00B8385B" w:rsidRDefault="00BC19B3" w:rsidP="00285E7F">
      <w:pPr>
        <w:pStyle w:val="Normalaftertitle"/>
        <w:spacing w:before="300"/>
        <w:rPr>
          <w:sz w:val="24"/>
          <w:szCs w:val="24"/>
        </w:rPr>
      </w:pPr>
      <w:r w:rsidRPr="00B8385B">
        <w:rPr>
          <w:sz w:val="24"/>
          <w:szCs w:val="24"/>
        </w:rPr>
        <w:t>Esta revisión añade los sistemas de imagen especificados en la Recomendación UIT-R BT.2020 para su uso en aplicaciones LSDI que requieren un ángulo de observación muy amplio. Se suprime el requisito de que, los futuros sistemas de imagen a utilizar para las aplicaciones LSDI deben mantener una relación jerárquica con los sistemas especificados en las actuales Recomendaciones UIT-R, pues este requisito lo satisface la Recomendación UIT-R BT.2020.</w:t>
      </w:r>
    </w:p>
    <w:p w:rsidR="00BC19B3" w:rsidRPr="007033AE" w:rsidRDefault="00BC19B3" w:rsidP="00BC19B3">
      <w:pPr>
        <w:pStyle w:val="Normalaftertitle"/>
        <w:tabs>
          <w:tab w:val="right" w:pos="9639"/>
        </w:tabs>
        <w:rPr>
          <w:rFonts w:asciiTheme="majorBidi" w:hAnsiTheme="majorBidi" w:cstheme="majorBidi"/>
          <w:bCs/>
          <w:szCs w:val="24"/>
        </w:rPr>
      </w:pPr>
      <w:r w:rsidRPr="00BC19B3">
        <w:rPr>
          <w:rFonts w:asciiTheme="minorHAnsi" w:hAnsiTheme="minorHAnsi" w:cstheme="majorBidi"/>
          <w:bCs/>
          <w:sz w:val="24"/>
          <w:szCs w:val="24"/>
          <w:u w:val="single"/>
        </w:rPr>
        <w:t>Proyecto de revisión de la Recomendación UIT-R BT.2020-0</w:t>
      </w:r>
      <w:r w:rsidRPr="007033AE">
        <w:rPr>
          <w:rFonts w:asciiTheme="majorBidi" w:hAnsiTheme="majorBidi" w:cstheme="majorBidi"/>
          <w:bCs/>
          <w:szCs w:val="24"/>
        </w:rPr>
        <w:tab/>
      </w:r>
      <w:r w:rsidRPr="00BC19B3">
        <w:rPr>
          <w:rFonts w:asciiTheme="minorHAnsi" w:hAnsiTheme="minorHAnsi" w:cstheme="majorBidi"/>
          <w:sz w:val="24"/>
          <w:szCs w:val="24"/>
        </w:rPr>
        <w:t xml:space="preserve">Doc. </w:t>
      </w:r>
      <w:r w:rsidRPr="00BC19B3">
        <w:rPr>
          <w:rFonts w:asciiTheme="minorHAnsi" w:hAnsiTheme="minorHAnsi" w:cstheme="majorBidi"/>
          <w:bCs/>
          <w:sz w:val="24"/>
          <w:szCs w:val="24"/>
        </w:rPr>
        <w:t>6/230(Rev.1)</w:t>
      </w:r>
    </w:p>
    <w:p w:rsidR="00BC19B3" w:rsidRPr="007033AE" w:rsidRDefault="00BC19B3" w:rsidP="00BC19B3">
      <w:pPr>
        <w:pStyle w:val="Rectitle"/>
      </w:pPr>
      <w:r w:rsidRPr="007033AE">
        <w:t>Valores de los parámetros de los sistemas de TVUAD para</w:t>
      </w:r>
      <w:r w:rsidRPr="007033AE">
        <w:br/>
        <w:t>la producción y el intercambio internacional de programas</w:t>
      </w:r>
    </w:p>
    <w:p w:rsidR="00BC19B3" w:rsidRPr="00B8385B" w:rsidRDefault="00BC19B3" w:rsidP="00285E7F">
      <w:pPr>
        <w:pStyle w:val="Normalaftertitle"/>
        <w:spacing w:before="300"/>
        <w:rPr>
          <w:sz w:val="24"/>
          <w:szCs w:val="24"/>
        </w:rPr>
      </w:pPr>
      <w:r w:rsidRPr="00B8385B">
        <w:rPr>
          <w:sz w:val="24"/>
          <w:szCs w:val="24"/>
        </w:rPr>
        <w:t>Esta revisión propuesta de la Recomendación UIT-R BT.2020 aborda dos temas principales, introduciendo cambios en los Cuadros 2 y 4.</w:t>
      </w:r>
    </w:p>
    <w:p w:rsidR="00BC19B3" w:rsidRPr="00B8385B" w:rsidRDefault="00BC19B3" w:rsidP="00285E7F">
      <w:pPr>
        <w:spacing w:before="120"/>
        <w:rPr>
          <w:sz w:val="24"/>
          <w:szCs w:val="24"/>
        </w:rPr>
      </w:pPr>
      <w:r w:rsidRPr="00B8385B">
        <w:rPr>
          <w:sz w:val="24"/>
          <w:szCs w:val="24"/>
        </w:rPr>
        <w:t>El primer tema es la adición de las frecuencias de trama de 100 Hz y 120/1 001 Hz en las notas informativas del Cuadro 2. Se ha observado que la base ampliamente instalada de técnicas de iluminación establecidas en los territorios de 50 Hz inhibiría en muchos casos la adopción de una TVUAD de muy alta velocidad de trama a una tasa mayor de 100 parpadeos por segundo. Ello se debe a la posible aparición de efectos de parpadeo visibles y también al parpadeo no perceptible derivado de una reducción de la eficiencia de la codificación. También se simplifican las cuestiones de conversión de la señal a los actuales sistemas de televisión.</w:t>
      </w:r>
    </w:p>
    <w:p w:rsidR="00BC19B3" w:rsidRPr="00B8385B" w:rsidRDefault="00BC19B3" w:rsidP="00285E7F">
      <w:pPr>
        <w:spacing w:before="120"/>
        <w:rPr>
          <w:sz w:val="24"/>
          <w:szCs w:val="24"/>
        </w:rPr>
      </w:pPr>
      <w:r w:rsidRPr="00B8385B">
        <w:rPr>
          <w:sz w:val="24"/>
          <w:szCs w:val="24"/>
        </w:rPr>
        <w:t>El segundo tema es una simple modificación redaccional para aclarar la precisión matemática de la función de transferencia no lineal del Cuadro 4.</w:t>
      </w:r>
    </w:p>
    <w:p w:rsidR="00BC19B3" w:rsidRPr="00B8385B" w:rsidRDefault="00BC19B3" w:rsidP="00285E7F">
      <w:pPr>
        <w:spacing w:before="120"/>
        <w:rPr>
          <w:sz w:val="24"/>
          <w:szCs w:val="24"/>
        </w:rPr>
      </w:pPr>
      <w:r w:rsidRPr="00B8385B">
        <w:rPr>
          <w:sz w:val="24"/>
          <w:szCs w:val="24"/>
        </w:rPr>
        <w:t>También se ha añadido una nota para referirse a la función de transferencia electroóptica de referencia de la Recomendación UIT-R BT.1886 y el entorno de observación de referencia de la Recomendación UIT-R BT.2035.</w:t>
      </w:r>
    </w:p>
    <w:p w:rsidR="00BC19B3" w:rsidRPr="007033AE" w:rsidRDefault="00BC19B3" w:rsidP="00BC19B3">
      <w:pPr>
        <w:pStyle w:val="Normalaftertitle"/>
        <w:tabs>
          <w:tab w:val="right" w:pos="9639"/>
        </w:tabs>
        <w:rPr>
          <w:rFonts w:asciiTheme="majorBidi" w:hAnsiTheme="majorBidi" w:cstheme="majorBidi"/>
          <w:bCs/>
          <w:szCs w:val="24"/>
        </w:rPr>
      </w:pPr>
      <w:r w:rsidRPr="00BC19B3">
        <w:rPr>
          <w:rFonts w:asciiTheme="minorHAnsi" w:hAnsiTheme="minorHAnsi" w:cstheme="majorBidi"/>
          <w:bCs/>
          <w:sz w:val="24"/>
          <w:szCs w:val="24"/>
          <w:u w:val="single"/>
        </w:rPr>
        <w:t>Proyecto de revisión de la Recomendación UIT-R BS.1534-1</w:t>
      </w:r>
      <w:r w:rsidRPr="007033AE">
        <w:rPr>
          <w:rFonts w:asciiTheme="majorBidi" w:hAnsiTheme="majorBidi" w:cstheme="majorBidi"/>
          <w:bCs/>
          <w:szCs w:val="24"/>
        </w:rPr>
        <w:tab/>
      </w:r>
      <w:r w:rsidRPr="00BC19B3">
        <w:rPr>
          <w:rFonts w:asciiTheme="minorHAnsi" w:hAnsiTheme="minorHAnsi" w:cstheme="majorBidi"/>
          <w:sz w:val="24"/>
          <w:szCs w:val="24"/>
        </w:rPr>
        <w:t xml:space="preserve">Doc. </w:t>
      </w:r>
      <w:r w:rsidRPr="00BC19B3">
        <w:rPr>
          <w:rFonts w:asciiTheme="minorHAnsi" w:hAnsiTheme="minorHAnsi" w:cstheme="majorBidi"/>
          <w:bCs/>
          <w:sz w:val="24"/>
          <w:szCs w:val="24"/>
        </w:rPr>
        <w:t>6/232(Rev.1)</w:t>
      </w:r>
    </w:p>
    <w:p w:rsidR="00BC19B3" w:rsidRPr="007033AE" w:rsidRDefault="00BC19B3" w:rsidP="00BC19B3">
      <w:pPr>
        <w:pStyle w:val="Rectitle"/>
      </w:pPr>
      <w:r w:rsidRPr="007033AE">
        <w:t>Método para la evaluación subjetiva del nivel de calidad intermedia</w:t>
      </w:r>
      <w:r w:rsidRPr="007033AE">
        <w:br/>
        <w:t>de los sistemas de codificación</w:t>
      </w:r>
    </w:p>
    <w:p w:rsidR="00BC19B3" w:rsidRPr="00B8385B" w:rsidRDefault="00BC19B3" w:rsidP="00285E7F">
      <w:pPr>
        <w:pStyle w:val="Normalaftertitle"/>
        <w:spacing w:before="300"/>
        <w:rPr>
          <w:sz w:val="24"/>
          <w:szCs w:val="24"/>
        </w:rPr>
      </w:pPr>
      <w:r w:rsidRPr="00B8385B">
        <w:rPr>
          <w:sz w:val="24"/>
          <w:szCs w:val="24"/>
        </w:rPr>
        <w:t>Esta Recomendación se revisó para reducir la posible introducción de errores y sesgos sistemáticos en los datos resultantes. Estas modificaciones mejoran la validez y fiabilidad de los datos recopilados en las pruebas llevadas a cabo utilizando el método de prueba descrito en la Recomendación UIT-R BS.1534.</w:t>
      </w:r>
    </w:p>
    <w:p w:rsidR="00BC19B3" w:rsidRPr="00B8385B" w:rsidRDefault="00BC19B3" w:rsidP="00285E7F">
      <w:pPr>
        <w:rPr>
          <w:sz w:val="24"/>
          <w:szCs w:val="24"/>
        </w:rPr>
      </w:pPr>
      <w:r w:rsidRPr="00B8385B">
        <w:rPr>
          <w:sz w:val="24"/>
          <w:szCs w:val="24"/>
        </w:rPr>
        <w:t xml:space="preserve">Se indica claramente en qué casos debe aplicarse el método MUSHRA y se señala que no está permitido emplear esta metodología de prueba sin referencia </w:t>
      </w:r>
      <w:bookmarkStart w:id="6" w:name="_GoBack"/>
      <w:bookmarkEnd w:id="6"/>
      <w:r w:rsidRPr="00B8385B">
        <w:rPr>
          <w:sz w:val="24"/>
          <w:szCs w:val="24"/>
        </w:rPr>
        <w:t>o patrón ocultos.</w:t>
      </w:r>
    </w:p>
    <w:p w:rsidR="00BC19B3" w:rsidRPr="00B8385B" w:rsidRDefault="00BC19B3" w:rsidP="00285E7F">
      <w:pPr>
        <w:rPr>
          <w:sz w:val="24"/>
          <w:szCs w:val="24"/>
        </w:rPr>
      </w:pPr>
      <w:r w:rsidRPr="00B8385B">
        <w:rPr>
          <w:sz w:val="24"/>
          <w:szCs w:val="24"/>
        </w:rPr>
        <w:t>El contenido del informe de prueba se especifica con detalle. Se realiza una verificación global de las referencias y de las referencias cruzadas. Además, se cambia la palabra «sujetos» por «asesores».</w:t>
      </w:r>
    </w:p>
    <w:p w:rsidR="00BC19B3" w:rsidRPr="00BC19B3" w:rsidRDefault="00BC19B3" w:rsidP="00BC19B3">
      <w:pPr>
        <w:pStyle w:val="Normalaftertitle"/>
        <w:tabs>
          <w:tab w:val="right" w:pos="9639"/>
        </w:tabs>
        <w:rPr>
          <w:rFonts w:cstheme="majorBidi"/>
          <w:bCs/>
          <w:sz w:val="24"/>
          <w:szCs w:val="24"/>
        </w:rPr>
      </w:pPr>
      <w:r w:rsidRPr="00BC19B3">
        <w:rPr>
          <w:rFonts w:asciiTheme="minorHAnsi" w:hAnsiTheme="minorHAnsi" w:cstheme="majorBidi"/>
          <w:bCs/>
          <w:sz w:val="24"/>
          <w:szCs w:val="24"/>
          <w:u w:val="single"/>
        </w:rPr>
        <w:lastRenderedPageBreak/>
        <w:t>Proyecto de revisión de la Recomendación UIT-R BT.1206-1</w:t>
      </w:r>
      <w:r w:rsidRPr="007033AE">
        <w:rPr>
          <w:rFonts w:asciiTheme="majorBidi" w:hAnsiTheme="majorBidi" w:cstheme="majorBidi"/>
          <w:bCs/>
          <w:szCs w:val="24"/>
        </w:rPr>
        <w:tab/>
      </w:r>
      <w:r w:rsidRPr="00BC19B3">
        <w:rPr>
          <w:rFonts w:cstheme="majorBidi"/>
          <w:sz w:val="24"/>
          <w:szCs w:val="24"/>
        </w:rPr>
        <w:t xml:space="preserve">Doc. </w:t>
      </w:r>
      <w:r w:rsidRPr="00BC19B3">
        <w:rPr>
          <w:rFonts w:cstheme="majorBidi"/>
          <w:bCs/>
          <w:sz w:val="24"/>
          <w:szCs w:val="24"/>
        </w:rPr>
        <w:t>6/235(Rev.1)</w:t>
      </w:r>
    </w:p>
    <w:p w:rsidR="00BC19B3" w:rsidRPr="007033AE" w:rsidRDefault="00BC19B3" w:rsidP="00BC19B3">
      <w:pPr>
        <w:pStyle w:val="Rectitle"/>
      </w:pPr>
      <w:r w:rsidRPr="007033AE">
        <w:t>Plantilla de los límites del espectro para la radiodifusión</w:t>
      </w:r>
      <w:r w:rsidRPr="007033AE">
        <w:br/>
        <w:t>de televisión digital terrenal</w:t>
      </w:r>
    </w:p>
    <w:p w:rsidR="00BC19B3" w:rsidRPr="00BC19B3" w:rsidRDefault="00BC19B3" w:rsidP="00285E7F">
      <w:pPr>
        <w:pStyle w:val="Normalaftertitle"/>
        <w:rPr>
          <w:sz w:val="24"/>
          <w:szCs w:val="24"/>
        </w:rPr>
      </w:pPr>
      <w:r w:rsidRPr="00BC19B3">
        <w:rPr>
          <w:sz w:val="24"/>
          <w:szCs w:val="24"/>
        </w:rPr>
        <w:t>Se ha incluido en la Recomendación UIT-R BT.1306-6 la radiodifusión multimedios de televisión digital terrenal (DTMB). El sistema soporta una anchura de banda de canal de 6/7/8 MHz. En la Recomendación UIT-R BT.1206-1 sólo se especifica la plantilla del espectro del sistema de 8 MHz de anchura de bandas para DTMB (sistema D).</w:t>
      </w:r>
    </w:p>
    <w:p w:rsidR="00BC19B3" w:rsidRPr="00BC19B3" w:rsidRDefault="00BC19B3" w:rsidP="00285E7F">
      <w:pPr>
        <w:rPr>
          <w:sz w:val="24"/>
          <w:szCs w:val="24"/>
        </w:rPr>
      </w:pPr>
      <w:r w:rsidRPr="00BC19B3">
        <w:rPr>
          <w:sz w:val="24"/>
          <w:szCs w:val="24"/>
        </w:rPr>
        <w:t>Se revisó la Recomendación añadiendo plantilla de espectro para DTMB con anchuras de banda del sistema de 6 y 7 MHz.</w:t>
      </w:r>
    </w:p>
    <w:p w:rsidR="00BC19B3" w:rsidRPr="007033AE" w:rsidRDefault="00BC19B3" w:rsidP="00BC19B3">
      <w:pPr>
        <w:tabs>
          <w:tab w:val="clear" w:pos="794"/>
          <w:tab w:val="clear" w:pos="1191"/>
          <w:tab w:val="clear" w:pos="1588"/>
          <w:tab w:val="clear" w:pos="1985"/>
        </w:tabs>
        <w:overflowPunct/>
        <w:autoSpaceDE/>
        <w:autoSpaceDN/>
        <w:adjustRightInd/>
        <w:spacing w:before="0"/>
        <w:textAlignment w:val="auto"/>
      </w:pPr>
      <w:r w:rsidRPr="007033AE">
        <w:br w:type="page"/>
      </w:r>
    </w:p>
    <w:p w:rsidR="00BC19B3" w:rsidRPr="007033AE" w:rsidRDefault="00BC19B3" w:rsidP="00BC19B3">
      <w:pPr>
        <w:pStyle w:val="Headingb"/>
        <w:spacing w:before="360" w:after="120"/>
        <w:jc w:val="center"/>
        <w:rPr>
          <w:sz w:val="28"/>
          <w:szCs w:val="28"/>
        </w:rPr>
      </w:pPr>
      <w:r w:rsidRPr="007033AE">
        <w:rPr>
          <w:sz w:val="28"/>
          <w:szCs w:val="28"/>
        </w:rPr>
        <w:lastRenderedPageBreak/>
        <w:t>Anexo 2</w:t>
      </w:r>
    </w:p>
    <w:p w:rsidR="00BC19B3" w:rsidRPr="00110FE8" w:rsidRDefault="00BC19B3" w:rsidP="00BC19B3">
      <w:pPr>
        <w:spacing w:before="360"/>
        <w:jc w:val="center"/>
        <w:rPr>
          <w:sz w:val="24"/>
          <w:szCs w:val="24"/>
        </w:rPr>
      </w:pPr>
      <w:r w:rsidRPr="00110FE8">
        <w:rPr>
          <w:sz w:val="24"/>
          <w:szCs w:val="24"/>
        </w:rPr>
        <w:t>(Origen: Documentos 6/220 y 6/231)</w:t>
      </w:r>
    </w:p>
    <w:p w:rsidR="00BC19B3" w:rsidRPr="007033AE" w:rsidRDefault="00BC19B3" w:rsidP="00BC19B3">
      <w:pPr>
        <w:spacing w:before="360"/>
        <w:jc w:val="center"/>
        <w:rPr>
          <w:b/>
          <w:bCs/>
          <w:sz w:val="28"/>
          <w:szCs w:val="28"/>
        </w:rPr>
      </w:pPr>
      <w:r w:rsidRPr="007033AE">
        <w:rPr>
          <w:b/>
          <w:bCs/>
          <w:sz w:val="28"/>
          <w:szCs w:val="28"/>
        </w:rPr>
        <w:t>Recomendaciones cuya supresión de propone</w:t>
      </w:r>
    </w:p>
    <w:p w:rsidR="00BC19B3" w:rsidRPr="00BC19B3" w:rsidRDefault="00BC19B3" w:rsidP="00BC19B3"/>
    <w:tbl>
      <w:tblPr>
        <w:tblStyle w:val="TableGrid"/>
        <w:tblW w:w="0" w:type="auto"/>
        <w:jc w:val="center"/>
        <w:tblLook w:val="04A0" w:firstRow="1" w:lastRow="0" w:firstColumn="1" w:lastColumn="0" w:noHBand="0" w:noVBand="1"/>
      </w:tblPr>
      <w:tblGrid>
        <w:gridCol w:w="2518"/>
        <w:gridCol w:w="7337"/>
      </w:tblGrid>
      <w:tr w:rsidR="00BC19B3" w:rsidTr="00094FDE">
        <w:trPr>
          <w:jc w:val="center"/>
        </w:trPr>
        <w:tc>
          <w:tcPr>
            <w:tcW w:w="2518" w:type="dxa"/>
            <w:tcBorders>
              <w:top w:val="single" w:sz="4" w:space="0" w:color="auto"/>
              <w:left w:val="single" w:sz="4" w:space="0" w:color="auto"/>
              <w:bottom w:val="single" w:sz="4" w:space="0" w:color="auto"/>
              <w:right w:val="single" w:sz="4" w:space="0" w:color="auto"/>
            </w:tcBorders>
            <w:hideMark/>
          </w:tcPr>
          <w:p w:rsidR="00BC19B3" w:rsidRDefault="00BC19B3" w:rsidP="00094FDE">
            <w:pPr>
              <w:pStyle w:val="Tablehead"/>
              <w:rPr>
                <w:lang w:val="en-GB"/>
              </w:rPr>
            </w:pPr>
            <w:r>
              <w:rPr>
                <w:lang w:val="en-GB"/>
              </w:rPr>
              <w:t>Recomendación UIT-R</w:t>
            </w:r>
          </w:p>
        </w:tc>
        <w:tc>
          <w:tcPr>
            <w:tcW w:w="7337" w:type="dxa"/>
            <w:tcBorders>
              <w:top w:val="single" w:sz="4" w:space="0" w:color="auto"/>
              <w:left w:val="single" w:sz="4" w:space="0" w:color="auto"/>
              <w:bottom w:val="single" w:sz="4" w:space="0" w:color="auto"/>
              <w:right w:val="single" w:sz="4" w:space="0" w:color="auto"/>
            </w:tcBorders>
            <w:vAlign w:val="center"/>
            <w:hideMark/>
          </w:tcPr>
          <w:p w:rsidR="00BC19B3" w:rsidRDefault="00BC19B3" w:rsidP="00094FDE">
            <w:pPr>
              <w:pStyle w:val="Tablehead"/>
              <w:rPr>
                <w:lang w:val="en-GB"/>
              </w:rPr>
            </w:pPr>
            <w:r>
              <w:rPr>
                <w:lang w:val="en-GB"/>
              </w:rPr>
              <w:t>Título</w:t>
            </w:r>
          </w:p>
        </w:tc>
      </w:tr>
      <w:tr w:rsidR="00BC19B3" w:rsidTr="00094FDE">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BC19B3" w:rsidRDefault="00BC19B3" w:rsidP="00094FDE">
            <w:pPr>
              <w:pStyle w:val="Tabletext"/>
              <w:jc w:val="center"/>
              <w:rPr>
                <w:rFonts w:eastAsia="SimSun"/>
                <w:lang w:val="fr-CH"/>
              </w:rPr>
            </w:pPr>
            <w:r>
              <w:rPr>
                <w:rFonts w:eastAsia="SimSun"/>
                <w:lang w:val="fr-CH"/>
              </w:rPr>
              <w:t>BT.1201-1</w:t>
            </w:r>
          </w:p>
        </w:tc>
        <w:tc>
          <w:tcPr>
            <w:tcW w:w="7337" w:type="dxa"/>
            <w:tcBorders>
              <w:top w:val="single" w:sz="4" w:space="0" w:color="auto"/>
              <w:left w:val="single" w:sz="4" w:space="0" w:color="auto"/>
              <w:bottom w:val="single" w:sz="4" w:space="0" w:color="auto"/>
              <w:right w:val="single" w:sz="4" w:space="0" w:color="auto"/>
            </w:tcBorders>
          </w:tcPr>
          <w:p w:rsidR="00BC19B3" w:rsidRPr="00814A3A" w:rsidRDefault="00BC19B3" w:rsidP="00094FDE">
            <w:pPr>
              <w:pStyle w:val="Tabletext"/>
              <w:jc w:val="both"/>
            </w:pPr>
            <w:r w:rsidRPr="000A25E2">
              <w:t>Imágenes de muy alta resolución</w:t>
            </w:r>
          </w:p>
        </w:tc>
      </w:tr>
      <w:tr w:rsidR="00BC19B3" w:rsidRPr="000A25E2" w:rsidTr="00094FDE">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BC19B3" w:rsidRDefault="00BC19B3" w:rsidP="00094FDE">
            <w:pPr>
              <w:pStyle w:val="Tabletext"/>
              <w:jc w:val="center"/>
              <w:rPr>
                <w:rFonts w:eastAsia="SimSun"/>
                <w:lang w:val="fr-CH"/>
              </w:rPr>
            </w:pPr>
            <w:r>
              <w:rPr>
                <w:rFonts w:eastAsia="SimSun"/>
                <w:lang w:val="fr-CH"/>
              </w:rPr>
              <w:t>BT.1769-0</w:t>
            </w:r>
          </w:p>
        </w:tc>
        <w:tc>
          <w:tcPr>
            <w:tcW w:w="7337" w:type="dxa"/>
            <w:tcBorders>
              <w:top w:val="single" w:sz="4" w:space="0" w:color="auto"/>
              <w:left w:val="single" w:sz="4" w:space="0" w:color="auto"/>
              <w:bottom w:val="single" w:sz="4" w:space="0" w:color="auto"/>
              <w:right w:val="single" w:sz="4" w:space="0" w:color="auto"/>
            </w:tcBorders>
          </w:tcPr>
          <w:p w:rsidR="00BC19B3" w:rsidRPr="000A25E2" w:rsidRDefault="00BC19B3" w:rsidP="00094FDE">
            <w:pPr>
              <w:pStyle w:val="Tabletext"/>
              <w:jc w:val="both"/>
            </w:pPr>
            <w:r w:rsidRPr="000A25E2">
              <w:t>Valores de los parámetros de una jerarquía ampliada de formatos de imágenes LSDI para la producción y el intercambio</w:t>
            </w:r>
            <w:r>
              <w:t xml:space="preserve"> </w:t>
            </w:r>
            <w:r w:rsidRPr="000A25E2">
              <w:t>de programas internacionales</w:t>
            </w:r>
          </w:p>
        </w:tc>
      </w:tr>
    </w:tbl>
    <w:p w:rsidR="00CE6299" w:rsidRDefault="00CE6299" w:rsidP="00BF49D2">
      <w:pPr>
        <w:jc w:val="center"/>
      </w:pPr>
    </w:p>
    <w:p w:rsidR="00BC19B3" w:rsidRPr="00285E7F" w:rsidRDefault="00BC19B3" w:rsidP="0032202E">
      <w:pPr>
        <w:pStyle w:val="Reasons"/>
        <w:rPr>
          <w:lang w:val="es-ES_tradnl"/>
        </w:rPr>
      </w:pPr>
    </w:p>
    <w:p w:rsidR="00BC19B3" w:rsidRPr="000C4E7D" w:rsidRDefault="00BC19B3" w:rsidP="00BC19B3">
      <w:pPr>
        <w:jc w:val="center"/>
      </w:pPr>
      <w:r>
        <w:t>______________</w:t>
      </w:r>
    </w:p>
    <w:sectPr w:rsidR="00BC19B3" w:rsidRPr="000C4E7D" w:rsidSect="00235A29">
      <w:headerReference w:type="even" r:id="rId11"/>
      <w:headerReference w:type="default" r:id="rId12"/>
      <w:headerReference w:type="first" r:id="rId13"/>
      <w:footerReference w:type="first" r:id="rId14"/>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9764E6" w:rsidRDefault="009764E6" w:rsidP="00110FE8">
    <w:pPr>
      <w:pStyle w:val="Header"/>
      <w:jc w:val="center"/>
      <w:rPr>
        <w:sz w:val="18"/>
        <w:szCs w:val="18"/>
      </w:rPr>
    </w:pPr>
    <w:r w:rsidRPr="009764E6">
      <w:rPr>
        <w:sz w:val="18"/>
        <w:szCs w:val="18"/>
      </w:rPr>
      <w:t xml:space="preserve">- </w:t>
    </w:r>
    <w:r w:rsidR="00026CF8" w:rsidRPr="009764E6">
      <w:rPr>
        <w:rStyle w:val="PageNumber"/>
        <w:rFonts w:cs="Calibri"/>
        <w:sz w:val="18"/>
        <w:szCs w:val="18"/>
      </w:rPr>
      <w:fldChar w:fldCharType="begin"/>
    </w:r>
    <w:r w:rsidR="00026CF8" w:rsidRPr="009764E6">
      <w:rPr>
        <w:rStyle w:val="PageNumber"/>
        <w:rFonts w:cs="Calibri"/>
        <w:sz w:val="18"/>
        <w:szCs w:val="18"/>
      </w:rPr>
      <w:instrText xml:space="preserve"> PAGE </w:instrText>
    </w:r>
    <w:r w:rsidR="00026CF8" w:rsidRPr="009764E6">
      <w:rPr>
        <w:rStyle w:val="PageNumber"/>
        <w:rFonts w:cs="Calibri"/>
        <w:sz w:val="18"/>
        <w:szCs w:val="18"/>
      </w:rPr>
      <w:fldChar w:fldCharType="separate"/>
    </w:r>
    <w:r w:rsidR="00285E7F">
      <w:rPr>
        <w:rStyle w:val="PageNumber"/>
        <w:rFonts w:cs="Calibri"/>
        <w:noProof/>
        <w:sz w:val="18"/>
        <w:szCs w:val="18"/>
      </w:rPr>
      <w:t>6</w:t>
    </w:r>
    <w:r w:rsidR="00026CF8" w:rsidRPr="009764E6">
      <w:rPr>
        <w:rStyle w:val="PageNumber"/>
        <w:rFonts w:cs="Calibri"/>
        <w:sz w:val="18"/>
        <w:szCs w:val="18"/>
      </w:rPr>
      <w:fldChar w:fldCharType="end"/>
    </w:r>
    <w:r w:rsidRPr="009764E6">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F3325" w:rsidRDefault="00AD1140" w:rsidP="009764E6">
    <w:pPr>
      <w:pStyle w:val="Header"/>
    </w:pPr>
    <w:r>
      <w:ptab w:relativeTo="margin" w:alignment="center" w:leader="none"/>
    </w:r>
    <w:r w:rsidR="009764E6" w:rsidRPr="009764E6">
      <w:rPr>
        <w:sz w:val="18"/>
        <w:szCs w:val="18"/>
      </w:rPr>
      <w:t xml:space="preserve">- </w:t>
    </w:r>
    <w:r w:rsidR="009764E6" w:rsidRPr="009764E6">
      <w:rPr>
        <w:rStyle w:val="PageNumber"/>
        <w:rFonts w:cs="Calibri"/>
        <w:sz w:val="18"/>
        <w:szCs w:val="18"/>
      </w:rPr>
      <w:fldChar w:fldCharType="begin"/>
    </w:r>
    <w:r w:rsidR="009764E6" w:rsidRPr="009764E6">
      <w:rPr>
        <w:rStyle w:val="PageNumber"/>
        <w:rFonts w:cs="Calibri"/>
        <w:sz w:val="18"/>
        <w:szCs w:val="18"/>
      </w:rPr>
      <w:instrText xml:space="preserve"> PAGE </w:instrText>
    </w:r>
    <w:r w:rsidR="009764E6" w:rsidRPr="009764E6">
      <w:rPr>
        <w:rStyle w:val="PageNumber"/>
        <w:rFonts w:cs="Calibri"/>
        <w:sz w:val="18"/>
        <w:szCs w:val="18"/>
      </w:rPr>
      <w:fldChar w:fldCharType="separate"/>
    </w:r>
    <w:r w:rsidR="00285E7F">
      <w:rPr>
        <w:rStyle w:val="PageNumber"/>
        <w:rFonts w:cs="Calibri"/>
        <w:noProof/>
        <w:sz w:val="18"/>
        <w:szCs w:val="18"/>
      </w:rPr>
      <w:t>5</w:t>
    </w:r>
    <w:r w:rsidR="009764E6" w:rsidRPr="009764E6">
      <w:rPr>
        <w:rStyle w:val="PageNumber"/>
        <w:rFonts w:cs="Calibri"/>
        <w:sz w:val="18"/>
        <w:szCs w:val="18"/>
      </w:rPr>
      <w:fldChar w:fldCharType="end"/>
    </w:r>
    <w:r w:rsidR="009764E6" w:rsidRPr="009764E6">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0D9DDC9E" wp14:editId="7C2547DA">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74DDF"/>
    <w:rsid w:val="00086D03"/>
    <w:rsid w:val="000A7051"/>
    <w:rsid w:val="000C03C7"/>
    <w:rsid w:val="000C4E7D"/>
    <w:rsid w:val="000D786F"/>
    <w:rsid w:val="000E2185"/>
    <w:rsid w:val="000E3DEE"/>
    <w:rsid w:val="00103C76"/>
    <w:rsid w:val="00110FE8"/>
    <w:rsid w:val="0011265F"/>
    <w:rsid w:val="00145AA2"/>
    <w:rsid w:val="0016308F"/>
    <w:rsid w:val="00173D5D"/>
    <w:rsid w:val="001860BB"/>
    <w:rsid w:val="00196710"/>
    <w:rsid w:val="00197324"/>
    <w:rsid w:val="001B1CE8"/>
    <w:rsid w:val="001C2038"/>
    <w:rsid w:val="001D7070"/>
    <w:rsid w:val="001F5A49"/>
    <w:rsid w:val="00200936"/>
    <w:rsid w:val="00201097"/>
    <w:rsid w:val="00201B6E"/>
    <w:rsid w:val="002240B2"/>
    <w:rsid w:val="00235A29"/>
    <w:rsid w:val="00241349"/>
    <w:rsid w:val="002419C4"/>
    <w:rsid w:val="00251766"/>
    <w:rsid w:val="00285E7F"/>
    <w:rsid w:val="002861E6"/>
    <w:rsid w:val="00290AEE"/>
    <w:rsid w:val="002A2700"/>
    <w:rsid w:val="002C54C3"/>
    <w:rsid w:val="002D577A"/>
    <w:rsid w:val="002D6688"/>
    <w:rsid w:val="002E1472"/>
    <w:rsid w:val="002F0890"/>
    <w:rsid w:val="003370B8"/>
    <w:rsid w:val="003666FF"/>
    <w:rsid w:val="003741EE"/>
    <w:rsid w:val="003B2BDA"/>
    <w:rsid w:val="003B55EC"/>
    <w:rsid w:val="003C4471"/>
    <w:rsid w:val="003E504F"/>
    <w:rsid w:val="00401724"/>
    <w:rsid w:val="0041334A"/>
    <w:rsid w:val="004326DB"/>
    <w:rsid w:val="0043682E"/>
    <w:rsid w:val="00460CEC"/>
    <w:rsid w:val="00467117"/>
    <w:rsid w:val="004815EB"/>
    <w:rsid w:val="00496920"/>
    <w:rsid w:val="00497FEE"/>
    <w:rsid w:val="004A28B6"/>
    <w:rsid w:val="004B7C9A"/>
    <w:rsid w:val="004E0DC4"/>
    <w:rsid w:val="004E0FB5"/>
    <w:rsid w:val="004E43BB"/>
    <w:rsid w:val="004F178E"/>
    <w:rsid w:val="004F6466"/>
    <w:rsid w:val="00505309"/>
    <w:rsid w:val="0050789B"/>
    <w:rsid w:val="00512795"/>
    <w:rsid w:val="00515771"/>
    <w:rsid w:val="00542A47"/>
    <w:rsid w:val="00543DF8"/>
    <w:rsid w:val="00546101"/>
    <w:rsid w:val="00553DD7"/>
    <w:rsid w:val="005558BD"/>
    <w:rsid w:val="0057469A"/>
    <w:rsid w:val="00577A01"/>
    <w:rsid w:val="00580814"/>
    <w:rsid w:val="005A03A3"/>
    <w:rsid w:val="005A1BAD"/>
    <w:rsid w:val="005B214C"/>
    <w:rsid w:val="00602D53"/>
    <w:rsid w:val="00651777"/>
    <w:rsid w:val="00674F4F"/>
    <w:rsid w:val="006B0590"/>
    <w:rsid w:val="006B49DA"/>
    <w:rsid w:val="006C04E0"/>
    <w:rsid w:val="00700636"/>
    <w:rsid w:val="00707216"/>
    <w:rsid w:val="00712C78"/>
    <w:rsid w:val="007234B1"/>
    <w:rsid w:val="00730B9A"/>
    <w:rsid w:val="00745F6D"/>
    <w:rsid w:val="00783681"/>
    <w:rsid w:val="007921A7"/>
    <w:rsid w:val="007A5C27"/>
    <w:rsid w:val="007B0592"/>
    <w:rsid w:val="007B3DB1"/>
    <w:rsid w:val="007D183E"/>
    <w:rsid w:val="007E304D"/>
    <w:rsid w:val="007E3F13"/>
    <w:rsid w:val="007E59D7"/>
    <w:rsid w:val="00800012"/>
    <w:rsid w:val="0081513E"/>
    <w:rsid w:val="00823210"/>
    <w:rsid w:val="00843445"/>
    <w:rsid w:val="00847D46"/>
    <w:rsid w:val="00854131"/>
    <w:rsid w:val="0085652D"/>
    <w:rsid w:val="00865A1D"/>
    <w:rsid w:val="0087694B"/>
    <w:rsid w:val="008B47BC"/>
    <w:rsid w:val="008E03C2"/>
    <w:rsid w:val="008F4F21"/>
    <w:rsid w:val="008F69BE"/>
    <w:rsid w:val="00904D4A"/>
    <w:rsid w:val="009151BA"/>
    <w:rsid w:val="009277BC"/>
    <w:rsid w:val="00927D57"/>
    <w:rsid w:val="0093794B"/>
    <w:rsid w:val="00941D23"/>
    <w:rsid w:val="0095010C"/>
    <w:rsid w:val="00963D9D"/>
    <w:rsid w:val="00972264"/>
    <w:rsid w:val="009764E6"/>
    <w:rsid w:val="00976AAD"/>
    <w:rsid w:val="00981B54"/>
    <w:rsid w:val="00981C5B"/>
    <w:rsid w:val="009842C3"/>
    <w:rsid w:val="009A6BB6"/>
    <w:rsid w:val="009B3F43"/>
    <w:rsid w:val="009C161F"/>
    <w:rsid w:val="009C7017"/>
    <w:rsid w:val="009E4AEC"/>
    <w:rsid w:val="009E5BD8"/>
    <w:rsid w:val="009E681E"/>
    <w:rsid w:val="00A000AD"/>
    <w:rsid w:val="00A05186"/>
    <w:rsid w:val="00A2206C"/>
    <w:rsid w:val="00A34D6F"/>
    <w:rsid w:val="00A369C5"/>
    <w:rsid w:val="00A41F91"/>
    <w:rsid w:val="00A91211"/>
    <w:rsid w:val="00A963DF"/>
    <w:rsid w:val="00A9747B"/>
    <w:rsid w:val="00AC3896"/>
    <w:rsid w:val="00AD1140"/>
    <w:rsid w:val="00AE6CFA"/>
    <w:rsid w:val="00AF3325"/>
    <w:rsid w:val="00B34CF9"/>
    <w:rsid w:val="00B67004"/>
    <w:rsid w:val="00B8385B"/>
    <w:rsid w:val="00B90C45"/>
    <w:rsid w:val="00B933BE"/>
    <w:rsid w:val="00BB4069"/>
    <w:rsid w:val="00BC19B3"/>
    <w:rsid w:val="00BD38D8"/>
    <w:rsid w:val="00BD7E5E"/>
    <w:rsid w:val="00BD7FF7"/>
    <w:rsid w:val="00BE6574"/>
    <w:rsid w:val="00BF49D2"/>
    <w:rsid w:val="00C23642"/>
    <w:rsid w:val="00C46849"/>
    <w:rsid w:val="00C57E2C"/>
    <w:rsid w:val="00C608B7"/>
    <w:rsid w:val="00C66F24"/>
    <w:rsid w:val="00C764BA"/>
    <w:rsid w:val="00C87717"/>
    <w:rsid w:val="00C9291E"/>
    <w:rsid w:val="00CA3F44"/>
    <w:rsid w:val="00CA4E58"/>
    <w:rsid w:val="00CA5FE6"/>
    <w:rsid w:val="00CB3771"/>
    <w:rsid w:val="00CB5153"/>
    <w:rsid w:val="00CC0DA0"/>
    <w:rsid w:val="00CD0E47"/>
    <w:rsid w:val="00CE6299"/>
    <w:rsid w:val="00CF6752"/>
    <w:rsid w:val="00D10BA0"/>
    <w:rsid w:val="00D2339B"/>
    <w:rsid w:val="00D24EB5"/>
    <w:rsid w:val="00D31272"/>
    <w:rsid w:val="00D41571"/>
    <w:rsid w:val="00D416A0"/>
    <w:rsid w:val="00D47672"/>
    <w:rsid w:val="00D5123C"/>
    <w:rsid w:val="00D51C9E"/>
    <w:rsid w:val="00D55560"/>
    <w:rsid w:val="00D6191B"/>
    <w:rsid w:val="00D61C5A"/>
    <w:rsid w:val="00DA18B6"/>
    <w:rsid w:val="00DB203D"/>
    <w:rsid w:val="00DB3A18"/>
    <w:rsid w:val="00DE66A5"/>
    <w:rsid w:val="00DF2B50"/>
    <w:rsid w:val="00E003F5"/>
    <w:rsid w:val="00E010B8"/>
    <w:rsid w:val="00E04C86"/>
    <w:rsid w:val="00E20F30"/>
    <w:rsid w:val="00E27BBA"/>
    <w:rsid w:val="00E34CD1"/>
    <w:rsid w:val="00E35E8F"/>
    <w:rsid w:val="00E438E8"/>
    <w:rsid w:val="00E520E2"/>
    <w:rsid w:val="00E64254"/>
    <w:rsid w:val="00EA15B3"/>
    <w:rsid w:val="00EB2358"/>
    <w:rsid w:val="00EB3EB8"/>
    <w:rsid w:val="00EB660E"/>
    <w:rsid w:val="00ED7997"/>
    <w:rsid w:val="00F1226E"/>
    <w:rsid w:val="00F42C8C"/>
    <w:rsid w:val="00F468C5"/>
    <w:rsid w:val="00F52F39"/>
    <w:rsid w:val="00F55EAB"/>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 w:type="character" w:customStyle="1" w:styleId="h21">
    <w:name w:val="h21"/>
    <w:basedOn w:val="DefaultParagraphFont"/>
    <w:rsid w:val="00981C5B"/>
    <w:rPr>
      <w:b/>
      <w:bCs/>
      <w:color w:val="3366CC"/>
      <w:sz w:val="36"/>
      <w:szCs w:val="36"/>
    </w:rPr>
  </w:style>
  <w:style w:type="character" w:customStyle="1" w:styleId="RectitleChar">
    <w:name w:val="Rec_title Char"/>
    <w:link w:val="Rectitle"/>
    <w:rsid w:val="00497FEE"/>
    <w:rPr>
      <w:b/>
      <w:sz w:val="28"/>
      <w:szCs w:val="22"/>
      <w:lang w:val="es-ES_tradnl" w:eastAsia="en-US"/>
    </w:rPr>
  </w:style>
  <w:style w:type="paragraph" w:customStyle="1" w:styleId="Summary">
    <w:name w:val="Summary"/>
    <w:basedOn w:val="Normal"/>
    <w:next w:val="Normal"/>
    <w:autoRedefine/>
    <w:uiPriority w:val="99"/>
    <w:rsid w:val="00497FEE"/>
    <w:pPr>
      <w:spacing w:before="120" w:line="240" w:lineRule="auto"/>
      <w:jc w:val="left"/>
    </w:pPr>
    <w:rPr>
      <w:rFonts w:asciiTheme="minorHAnsi" w:eastAsiaTheme="minorEastAsia" w:hAnsiTheme="minorHAnsi" w:cs="Times New Roman"/>
      <w:sz w:val="24"/>
      <w:szCs w:val="24"/>
      <w:lang w:val="en-US"/>
    </w:rPr>
  </w:style>
  <w:style w:type="character" w:customStyle="1" w:styleId="hps">
    <w:name w:val="hps"/>
    <w:basedOn w:val="DefaultParagraphFont"/>
    <w:rsid w:val="00497FEE"/>
  </w:style>
  <w:style w:type="paragraph" w:customStyle="1" w:styleId="western">
    <w:name w:val="western"/>
    <w:basedOn w:val="Normal"/>
    <w:rsid w:val="00497FEE"/>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hAnsi="Times New Roman" w:cs="Times New Roman"/>
      <w:color w:val="000000"/>
      <w:sz w:val="24"/>
      <w:szCs w:val="24"/>
      <w:lang w:val="de-DE" w:eastAsia="de-DE"/>
    </w:rPr>
  </w:style>
  <w:style w:type="table" w:styleId="TableGrid">
    <w:name w:val="Table Grid"/>
    <w:basedOn w:val="TableNormal"/>
    <w:rsid w:val="00497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7FEE"/>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val="en-US" w:eastAsia="zh-CN"/>
    </w:rPr>
  </w:style>
  <w:style w:type="character" w:customStyle="1" w:styleId="TabletextChar">
    <w:name w:val="Table_text Char"/>
    <w:link w:val="Tabletext"/>
    <w:locked/>
    <w:rsid w:val="00BC19B3"/>
    <w:rPr>
      <w:szCs w:val="22"/>
      <w:lang w:val="es-ES_tradnl" w:eastAsia="en-US"/>
    </w:rPr>
  </w:style>
  <w:style w:type="character" w:customStyle="1" w:styleId="TableheadChar">
    <w:name w:val="Table_head Char"/>
    <w:basedOn w:val="DefaultParagraphFont"/>
    <w:link w:val="Tablehead"/>
    <w:uiPriority w:val="99"/>
    <w:locked/>
    <w:rsid w:val="00BC19B3"/>
    <w:rPr>
      <w:b/>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 w:type="character" w:customStyle="1" w:styleId="h21">
    <w:name w:val="h21"/>
    <w:basedOn w:val="DefaultParagraphFont"/>
    <w:rsid w:val="00981C5B"/>
    <w:rPr>
      <w:b/>
      <w:bCs/>
      <w:color w:val="3366CC"/>
      <w:sz w:val="36"/>
      <w:szCs w:val="36"/>
    </w:rPr>
  </w:style>
  <w:style w:type="character" w:customStyle="1" w:styleId="RectitleChar">
    <w:name w:val="Rec_title Char"/>
    <w:link w:val="Rectitle"/>
    <w:rsid w:val="00497FEE"/>
    <w:rPr>
      <w:b/>
      <w:sz w:val="28"/>
      <w:szCs w:val="22"/>
      <w:lang w:val="es-ES_tradnl" w:eastAsia="en-US"/>
    </w:rPr>
  </w:style>
  <w:style w:type="paragraph" w:customStyle="1" w:styleId="Summary">
    <w:name w:val="Summary"/>
    <w:basedOn w:val="Normal"/>
    <w:next w:val="Normal"/>
    <w:autoRedefine/>
    <w:uiPriority w:val="99"/>
    <w:rsid w:val="00497FEE"/>
    <w:pPr>
      <w:spacing w:before="120" w:line="240" w:lineRule="auto"/>
      <w:jc w:val="left"/>
    </w:pPr>
    <w:rPr>
      <w:rFonts w:asciiTheme="minorHAnsi" w:eastAsiaTheme="minorEastAsia" w:hAnsiTheme="minorHAnsi" w:cs="Times New Roman"/>
      <w:sz w:val="24"/>
      <w:szCs w:val="24"/>
      <w:lang w:val="en-US"/>
    </w:rPr>
  </w:style>
  <w:style w:type="character" w:customStyle="1" w:styleId="hps">
    <w:name w:val="hps"/>
    <w:basedOn w:val="DefaultParagraphFont"/>
    <w:rsid w:val="00497FEE"/>
  </w:style>
  <w:style w:type="paragraph" w:customStyle="1" w:styleId="western">
    <w:name w:val="western"/>
    <w:basedOn w:val="Normal"/>
    <w:rsid w:val="00497FEE"/>
    <w:pPr>
      <w:tabs>
        <w:tab w:val="clear" w:pos="794"/>
        <w:tab w:val="clear" w:pos="1191"/>
        <w:tab w:val="clear" w:pos="1588"/>
        <w:tab w:val="clear" w:pos="1985"/>
      </w:tabs>
      <w:overflowPunct/>
      <w:autoSpaceDE/>
      <w:autoSpaceDN/>
      <w:adjustRightInd/>
      <w:spacing w:before="100" w:beforeAutospacing="1" w:after="119" w:line="240" w:lineRule="auto"/>
      <w:jc w:val="left"/>
      <w:textAlignment w:val="auto"/>
    </w:pPr>
    <w:rPr>
      <w:rFonts w:ascii="Times New Roman" w:hAnsi="Times New Roman" w:cs="Times New Roman"/>
      <w:color w:val="000000"/>
      <w:sz w:val="24"/>
      <w:szCs w:val="24"/>
      <w:lang w:val="de-DE" w:eastAsia="de-DE"/>
    </w:rPr>
  </w:style>
  <w:style w:type="table" w:styleId="TableGrid">
    <w:name w:val="Table Grid"/>
    <w:basedOn w:val="TableNormal"/>
    <w:rsid w:val="00497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7FEE"/>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val="en-US" w:eastAsia="zh-CN"/>
    </w:rPr>
  </w:style>
  <w:style w:type="character" w:customStyle="1" w:styleId="TabletextChar">
    <w:name w:val="Table_text Char"/>
    <w:link w:val="Tabletext"/>
    <w:locked/>
    <w:rsid w:val="00BC19B3"/>
    <w:rPr>
      <w:szCs w:val="22"/>
      <w:lang w:val="es-ES_tradnl" w:eastAsia="en-US"/>
    </w:rPr>
  </w:style>
  <w:style w:type="character" w:customStyle="1" w:styleId="TableheadChar">
    <w:name w:val="Table_head Char"/>
    <w:basedOn w:val="DefaultParagraphFont"/>
    <w:link w:val="Tablehead"/>
    <w:uiPriority w:val="99"/>
    <w:locked/>
    <w:rsid w:val="00BC19B3"/>
    <w:rPr>
      <w:b/>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es"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137</TotalTime>
  <Pages>6</Pages>
  <Words>1397</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Song, Xiaojing</cp:lastModifiedBy>
  <cp:revision>26</cp:revision>
  <cp:lastPrinted>2014-04-28T06:52:00Z</cp:lastPrinted>
  <dcterms:created xsi:type="dcterms:W3CDTF">2014-04-11T09:45:00Z</dcterms:created>
  <dcterms:modified xsi:type="dcterms:W3CDTF">2014-04-28T12:40:00Z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