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503AC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503AC1">
              <w:rPr>
                <w:szCs w:val="24"/>
                <w:lang w:val="fr-CH"/>
              </w:rPr>
              <w:t xml:space="preserve">Administrative </w:t>
            </w:r>
            <w:r w:rsidR="008B35A3" w:rsidRPr="00503AC1">
              <w:rPr>
                <w:szCs w:val="24"/>
                <w:lang w:val="fr-CH"/>
              </w:rPr>
              <w:t>C</w:t>
            </w:r>
            <w:r w:rsidR="00C76D7F" w:rsidRPr="00503AC1">
              <w:rPr>
                <w:szCs w:val="24"/>
                <w:lang w:val="fr-CH"/>
              </w:rPr>
              <w:t>ircular</w:t>
            </w:r>
          </w:p>
          <w:p w:rsidR="00651777" w:rsidRPr="00503AC1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03AC1">
              <w:rPr>
                <w:b/>
                <w:bCs/>
                <w:szCs w:val="24"/>
                <w:lang w:val="fr-CH"/>
              </w:rPr>
              <w:t>CA</w:t>
            </w:r>
            <w:r w:rsidR="00264B75" w:rsidRPr="00503AC1">
              <w:rPr>
                <w:b/>
                <w:bCs/>
                <w:szCs w:val="24"/>
                <w:lang w:val="fr-CH"/>
              </w:rPr>
              <w:t>CE</w:t>
            </w:r>
            <w:r w:rsidR="003836D4" w:rsidRPr="00503AC1">
              <w:rPr>
                <w:b/>
                <w:bCs/>
                <w:szCs w:val="24"/>
                <w:lang w:val="fr-CH"/>
              </w:rPr>
              <w:t>/</w:t>
            </w:r>
            <w:r w:rsidR="00E568F2">
              <w:rPr>
                <w:b/>
                <w:bCs/>
                <w:szCs w:val="24"/>
                <w:lang w:val="fr-CH"/>
              </w:rPr>
              <w:t>665</w:t>
            </w:r>
          </w:p>
        </w:tc>
        <w:tc>
          <w:tcPr>
            <w:tcW w:w="2835" w:type="dxa"/>
            <w:shd w:val="clear" w:color="auto" w:fill="auto"/>
          </w:tcPr>
          <w:p w:rsidR="00651777" w:rsidRPr="00E568F2" w:rsidRDefault="00503AC1" w:rsidP="00034340">
            <w:pPr>
              <w:keepNext/>
              <w:keepLines/>
              <w:spacing w:before="0" w:after="120"/>
              <w:jc w:val="right"/>
              <w:rPr>
                <w:szCs w:val="24"/>
                <w:lang w:val="en-GB"/>
              </w:rPr>
            </w:pPr>
            <w:r w:rsidRPr="00503AC1">
              <w:rPr>
                <w:szCs w:val="24"/>
                <w:lang w:val="en-GB"/>
              </w:rPr>
              <w:t>26 February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503AC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503AC1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503AC1" w:rsidRDefault="0037309C" w:rsidP="00E568F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03AC1">
              <w:rPr>
                <w:b/>
                <w:bCs/>
                <w:szCs w:val="24"/>
              </w:rPr>
              <w:t>To Administrations of Member States of the ITU,</w:t>
            </w:r>
            <w:r w:rsidR="008B35A3" w:rsidRPr="00503AC1">
              <w:rPr>
                <w:b/>
                <w:bCs/>
                <w:szCs w:val="24"/>
              </w:rPr>
              <w:t xml:space="preserve"> </w:t>
            </w:r>
            <w:r w:rsidR="00264B75" w:rsidRPr="00503AC1">
              <w:rPr>
                <w:b/>
                <w:bCs/>
              </w:rPr>
              <w:t>Radiocommunication Sector Members</w:t>
            </w:r>
            <w:r w:rsidR="00DB0E17" w:rsidRPr="00503AC1">
              <w:rPr>
                <w:b/>
                <w:bCs/>
              </w:rPr>
              <w:t xml:space="preserve"> and</w:t>
            </w:r>
            <w:r w:rsidR="00264B75" w:rsidRPr="00503AC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503AC1" w:rsidRPr="00503AC1">
              <w:rPr>
                <w:b/>
                <w:bCs/>
              </w:rPr>
              <w:t>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503AC1" w:rsidRDefault="00DB0E17" w:rsidP="00E568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503AC1">
              <w:rPr>
                <w:b/>
                <w:bCs/>
              </w:rPr>
              <w:t xml:space="preserve">Radiocommunication Study Group </w:t>
            </w:r>
            <w:r w:rsidR="00503AC1" w:rsidRPr="00503AC1">
              <w:rPr>
                <w:b/>
                <w:bCs/>
              </w:rPr>
              <w:t xml:space="preserve">5 </w:t>
            </w:r>
            <w:r w:rsidR="0037770D" w:rsidRPr="00503AC1">
              <w:rPr>
                <w:b/>
                <w:bCs/>
              </w:rPr>
              <w:t>(</w:t>
            </w:r>
            <w:r w:rsidR="00503AC1" w:rsidRPr="00503AC1">
              <w:rPr>
                <w:b/>
                <w:bCs/>
              </w:rPr>
              <w:t>Terrestrial services</w:t>
            </w:r>
            <w:r w:rsidR="0037770D" w:rsidRPr="00503AC1">
              <w:rPr>
                <w:b/>
                <w:bCs/>
                <w:i/>
                <w:iCs/>
              </w:rPr>
              <w:t>)</w:t>
            </w:r>
          </w:p>
          <w:p w:rsidR="00DB0E17" w:rsidRPr="00503AC1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503AC1">
              <w:rPr>
                <w:b/>
                <w:bCs/>
              </w:rPr>
              <w:t>–</w:t>
            </w:r>
            <w:r w:rsidRPr="00503AC1">
              <w:rPr>
                <w:b/>
                <w:bCs/>
              </w:rPr>
              <w:tab/>
              <w:t xml:space="preserve">Adoption of </w:t>
            </w:r>
            <w:r w:rsidR="00503AC1" w:rsidRPr="00503AC1">
              <w:rPr>
                <w:b/>
                <w:bCs/>
              </w:rPr>
              <w:t>2</w:t>
            </w:r>
            <w:r w:rsidRPr="00E568F2">
              <w:rPr>
                <w:b/>
                <w:bCs/>
              </w:rPr>
              <w:t xml:space="preserve"> new ITU-R Recommendations</w:t>
            </w:r>
            <w:r w:rsidRPr="00503AC1">
              <w:rPr>
                <w:b/>
                <w:bCs/>
              </w:rPr>
              <w:t xml:space="preserve"> and </w:t>
            </w:r>
            <w:r w:rsidR="00503AC1" w:rsidRPr="00503AC1">
              <w:rPr>
                <w:b/>
                <w:bCs/>
              </w:rPr>
              <w:t>7</w:t>
            </w:r>
            <w:r w:rsidRPr="00E568F2">
              <w:rPr>
                <w:b/>
                <w:bCs/>
              </w:rPr>
              <w:t xml:space="preserve"> revised ITU-R Recommendations</w:t>
            </w:r>
            <w:r w:rsidRPr="00503AC1">
              <w:rPr>
                <w:b/>
                <w:bCs/>
              </w:rPr>
              <w:t xml:space="preserve"> and their simultaneous approval by correspondence in accordance with § 10.3 of Resolution ITU-R 1-6 (Procedure for the simultaneous adoption and approval by correspondence)</w:t>
            </w:r>
          </w:p>
          <w:p w:rsidR="00B4054B" w:rsidRPr="00503AC1" w:rsidRDefault="00B4054B" w:rsidP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03AC1" w:rsidRPr="00503AC1" w:rsidRDefault="00264B75" w:rsidP="00503AC1">
      <w:pPr>
        <w:pStyle w:val="Normalaftertitle"/>
        <w:spacing w:before="160"/>
      </w:pPr>
      <w:bookmarkStart w:id="0" w:name="_GoBack"/>
      <w:bookmarkEnd w:id="0"/>
      <w:r>
        <w:t xml:space="preserve">By Administrative </w:t>
      </w:r>
      <w:r w:rsidRPr="00503AC1">
        <w:t>Circular CACE/</w:t>
      </w:r>
      <w:r w:rsidR="00503AC1" w:rsidRPr="00503AC1">
        <w:t>648</w:t>
      </w:r>
      <w:r w:rsidR="00503AC1" w:rsidRPr="00503AC1">
        <w:rPr>
          <w:i/>
          <w:iCs/>
        </w:rPr>
        <w:t xml:space="preserve"> </w:t>
      </w:r>
      <w:r w:rsidRPr="00503AC1">
        <w:t xml:space="preserve">dated </w:t>
      </w:r>
      <w:r w:rsidR="00503AC1" w:rsidRPr="00503AC1">
        <w:t>18 December</w:t>
      </w:r>
      <w:r w:rsidRPr="00503AC1">
        <w:t xml:space="preserve"> 2013, </w:t>
      </w:r>
      <w:r w:rsidR="00503AC1" w:rsidRPr="00503AC1">
        <w:t xml:space="preserve">2 </w:t>
      </w:r>
      <w:r w:rsidRPr="00503AC1">
        <w:t xml:space="preserve">draft new ITU-R Recommendations and </w:t>
      </w:r>
      <w:r w:rsidR="00503AC1" w:rsidRPr="00503AC1">
        <w:t>7 </w:t>
      </w:r>
      <w:r w:rsidRPr="00503AC1">
        <w:t>draft revised ITU-R Recommendations were submitted for simultaneous adoption and approval by correspondence (PSAA), following the procedure of Resolution ITU</w:t>
      </w:r>
      <w:r w:rsidRPr="00503AC1">
        <w:noBreakHyphen/>
        <w:t>R 1</w:t>
      </w:r>
      <w:r w:rsidRPr="00503AC1">
        <w:noBreakHyphen/>
        <w:t xml:space="preserve">6 (§ 10.3). </w:t>
      </w:r>
    </w:p>
    <w:p w:rsidR="00264B75" w:rsidRPr="00503AC1" w:rsidRDefault="00264B75">
      <w:r w:rsidRPr="00503AC1">
        <w:t xml:space="preserve">The conditions governing this procedure were met on </w:t>
      </w:r>
      <w:r w:rsidR="00503AC1" w:rsidRPr="00503AC1">
        <w:t>18 February</w:t>
      </w:r>
      <w:r w:rsidRPr="00503AC1">
        <w:t xml:space="preserve"> </w:t>
      </w:r>
      <w:r w:rsidR="00503AC1" w:rsidRPr="00503AC1">
        <w:t>2014</w:t>
      </w:r>
      <w:r w:rsidRPr="00503AC1">
        <w:t>.</w:t>
      </w:r>
    </w:p>
    <w:p w:rsidR="00DB0E17" w:rsidRDefault="00264B75" w:rsidP="00D34D08">
      <w:pPr>
        <w:tabs>
          <w:tab w:val="left" w:pos="7938"/>
        </w:tabs>
      </w:pPr>
      <w:r w:rsidRPr="00503AC1">
        <w:t>The approved Recommendation</w:t>
      </w:r>
      <w:r w:rsidRPr="00E568F2">
        <w:t>s</w:t>
      </w:r>
      <w:r w:rsidRPr="00503AC1">
        <w:t xml:space="preserve"> will be published by the ITU and </w:t>
      </w:r>
      <w:r w:rsidR="00D34D08">
        <w:t xml:space="preserve">the </w:t>
      </w:r>
      <w:r w:rsidRPr="00503AC1">
        <w:t xml:space="preserve">Annex to this Circular provides their titles, with the assigned numbers. </w:t>
      </w:r>
    </w:p>
    <w:p w:rsidR="00DA6EED" w:rsidRDefault="00DA6EED" w:rsidP="00D34D08">
      <w:pPr>
        <w:tabs>
          <w:tab w:val="left" w:pos="7938"/>
        </w:tabs>
      </w:pPr>
    </w:p>
    <w:p w:rsidR="00DB0E17" w:rsidRPr="00E568F2" w:rsidRDefault="00DB0E17" w:rsidP="00F51D6C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568F2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E568F2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568F2">
        <w:rPr>
          <w:rFonts w:asciiTheme="minorHAnsi" w:hAnsiTheme="minorHAnsi" w:cstheme="minorHAnsi"/>
          <w:szCs w:val="24"/>
          <w:lang w:val="fr-CH"/>
        </w:rPr>
        <w:t>Director</w:t>
      </w:r>
    </w:p>
    <w:p w:rsidR="00264B75" w:rsidRPr="00E568F2" w:rsidRDefault="00264B75" w:rsidP="00DA6EED">
      <w:pPr>
        <w:tabs>
          <w:tab w:val="left" w:pos="4820"/>
        </w:tabs>
        <w:spacing w:before="240"/>
        <w:rPr>
          <w:u w:val="single"/>
          <w:lang w:val="fr-CH"/>
        </w:rPr>
      </w:pPr>
      <w:r w:rsidRPr="00E568F2">
        <w:rPr>
          <w:b/>
          <w:lang w:val="fr-CH"/>
        </w:rPr>
        <w:t>Annex:</w:t>
      </w:r>
      <w:r w:rsidR="002929EC">
        <w:rPr>
          <w:lang w:val="fr-CH"/>
        </w:rPr>
        <w:t xml:space="preserve">  </w:t>
      </w:r>
      <w:r w:rsidR="00503AC1" w:rsidRPr="00E568F2">
        <w:rPr>
          <w:lang w:val="fr-CH"/>
        </w:rPr>
        <w:t>1</w:t>
      </w:r>
    </w:p>
    <w:p w:rsidR="00264B75" w:rsidRPr="00E568F2" w:rsidRDefault="00264B75" w:rsidP="00DA6EED">
      <w:pPr>
        <w:tabs>
          <w:tab w:val="left" w:pos="6237"/>
        </w:tabs>
        <w:spacing w:before="480"/>
        <w:rPr>
          <w:b/>
          <w:bCs/>
          <w:sz w:val="18"/>
          <w:szCs w:val="18"/>
          <w:lang w:val="fr-CH"/>
        </w:rPr>
      </w:pPr>
      <w:r w:rsidRPr="00E568F2">
        <w:rPr>
          <w:b/>
          <w:bCs/>
          <w:sz w:val="18"/>
          <w:szCs w:val="18"/>
          <w:lang w:val="fr-CH"/>
        </w:rPr>
        <w:t>Distribution:</w:t>
      </w:r>
    </w:p>
    <w:p w:rsidR="00264B75" w:rsidRPr="00503AC1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503AC1">
        <w:rPr>
          <w:rFonts w:asciiTheme="minorHAnsi" w:hAnsiTheme="minorHAnsi" w:cstheme="minorHAnsi"/>
          <w:sz w:val="18"/>
          <w:szCs w:val="18"/>
        </w:rPr>
        <w:t>–</w:t>
      </w:r>
      <w:r w:rsidRPr="00503AC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503AC1" w:rsidRPr="00503AC1">
        <w:rPr>
          <w:rFonts w:asciiTheme="minorHAnsi" w:hAnsiTheme="minorHAnsi" w:cstheme="minorHAnsi"/>
          <w:sz w:val="18"/>
          <w:szCs w:val="18"/>
        </w:rPr>
        <w:t>5</w:t>
      </w:r>
    </w:p>
    <w:p w:rsidR="00264B75" w:rsidRPr="00503AC1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503AC1">
        <w:rPr>
          <w:rFonts w:asciiTheme="minorHAnsi" w:hAnsiTheme="minorHAnsi" w:cstheme="minorHAnsi"/>
          <w:sz w:val="18"/>
          <w:szCs w:val="18"/>
        </w:rPr>
        <w:t>–</w:t>
      </w:r>
      <w:r w:rsidRPr="00503AC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503AC1" w:rsidRPr="00503AC1">
        <w:rPr>
          <w:rFonts w:asciiTheme="minorHAnsi" w:hAnsiTheme="minorHAnsi" w:cstheme="minorHAnsi"/>
          <w:sz w:val="18"/>
          <w:szCs w:val="18"/>
        </w:rPr>
        <w:t>5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503AC1">
        <w:rPr>
          <w:rFonts w:asciiTheme="minorHAnsi" w:hAnsiTheme="minorHAnsi" w:cstheme="minorHAnsi"/>
          <w:sz w:val="18"/>
          <w:szCs w:val="18"/>
        </w:rPr>
        <w:t>–</w:t>
      </w:r>
      <w:r w:rsidRPr="00503AC1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</w:t>
      </w:r>
      <w:r w:rsidRPr="00F51D6C">
        <w:rPr>
          <w:rFonts w:asciiTheme="minorHAnsi" w:hAnsiTheme="minorHAnsi" w:cstheme="minorHAnsi"/>
          <w:sz w:val="18"/>
          <w:szCs w:val="18"/>
        </w:rPr>
        <w:t>/Procedural Matters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300023" w:rsidRDefault="006C0850" w:rsidP="00264B75">
      <w:pPr>
        <w:pStyle w:val="AnnexNotitle0"/>
        <w:spacing w:before="3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Annex</w:t>
      </w:r>
    </w:p>
    <w:p w:rsidR="00264B75" w:rsidRPr="00300023" w:rsidRDefault="00264B75">
      <w:pPr>
        <w:pStyle w:val="AnnexNotitle0"/>
        <w:spacing w:before="240"/>
        <w:rPr>
          <w:rFonts w:asciiTheme="minorHAnsi" w:hAnsiTheme="minorHAnsi" w:cstheme="minorHAnsi"/>
          <w:szCs w:val="28"/>
        </w:rPr>
      </w:pPr>
      <w:r w:rsidRPr="00300023">
        <w:rPr>
          <w:rFonts w:asciiTheme="minorHAnsi" w:hAnsiTheme="minorHAnsi" w:cstheme="minorHAnsi"/>
          <w:szCs w:val="28"/>
        </w:rPr>
        <w:t xml:space="preserve">Titles of the approved </w:t>
      </w:r>
      <w:r w:rsidR="00577251" w:rsidRPr="00300023">
        <w:rPr>
          <w:rFonts w:asciiTheme="minorHAnsi" w:hAnsiTheme="minorHAnsi" w:cstheme="minorHAnsi"/>
          <w:szCs w:val="28"/>
        </w:rPr>
        <w:t xml:space="preserve">ITU-R </w:t>
      </w:r>
      <w:r w:rsidRPr="00300023">
        <w:rPr>
          <w:rFonts w:asciiTheme="minorHAnsi" w:hAnsiTheme="minorHAnsi" w:cstheme="minorHAnsi"/>
          <w:szCs w:val="28"/>
        </w:rPr>
        <w:t>Recommendations</w:t>
      </w:r>
    </w:p>
    <w:p w:rsidR="00503AC1" w:rsidRPr="00EB5E88" w:rsidRDefault="00503AC1" w:rsidP="00DA6EE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EB5E88">
        <w:rPr>
          <w:rFonts w:asciiTheme="minorHAnsi" w:hAnsiTheme="minorHAnsi" w:cstheme="minorHAnsi"/>
          <w:szCs w:val="24"/>
          <w:u w:val="single"/>
        </w:rPr>
        <w:t>Recommendation ITU-R M.</w:t>
      </w:r>
      <w:r w:rsidR="00E568F2">
        <w:rPr>
          <w:rFonts w:asciiTheme="minorHAnsi" w:hAnsiTheme="minorHAnsi" w:cstheme="minorHAnsi"/>
          <w:szCs w:val="24"/>
          <w:u w:val="single"/>
        </w:rPr>
        <w:t>2057</w:t>
      </w:r>
      <w:r w:rsidRPr="00EB5E88">
        <w:rPr>
          <w:rFonts w:asciiTheme="minorHAnsi" w:hAnsiTheme="minorHAnsi" w:cstheme="minorHAnsi"/>
          <w:szCs w:val="24"/>
        </w:rPr>
        <w:tab/>
        <w:t>Doc. 5/73(Rev.1)</w:t>
      </w:r>
    </w:p>
    <w:p w:rsidR="00503AC1" w:rsidRPr="00EB5E88" w:rsidRDefault="00503AC1" w:rsidP="00503AC1">
      <w:pPr>
        <w:pStyle w:val="Rectitle"/>
        <w:rPr>
          <w:rFonts w:asciiTheme="minorHAnsi" w:eastAsia="MS Mincho" w:hAnsiTheme="minorHAnsi" w:cstheme="minorHAnsi"/>
          <w:szCs w:val="28"/>
        </w:rPr>
      </w:pPr>
      <w:r w:rsidRPr="00EB5E88">
        <w:rPr>
          <w:lang w:eastAsia="zh-CN"/>
        </w:rPr>
        <w:t>Systems characteristics of automotive radars operating in the frequency</w:t>
      </w:r>
      <w:r w:rsidRPr="00EB5E88">
        <w:rPr>
          <w:lang w:eastAsia="zh-CN"/>
        </w:rPr>
        <w:br/>
        <w:t>band 76-81 GHz for intelligent transport systems applications</w:t>
      </w:r>
    </w:p>
    <w:p w:rsidR="00503AC1" w:rsidRPr="00E568F2" w:rsidRDefault="00503AC1" w:rsidP="00280E8E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1E04F0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t>Recommendation ITU-R M.</w:t>
      </w:r>
      <w:r w:rsidR="00E568F2" w:rsidRPr="001E04F0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t>2058</w:t>
      </w:r>
      <w:r w:rsidRPr="00E568F2">
        <w:rPr>
          <w:rStyle w:val="RectitleChar"/>
          <w:rFonts w:asciiTheme="minorHAnsi" w:hAnsiTheme="minorHAnsi" w:cstheme="minorHAnsi"/>
          <w:bCs/>
          <w:sz w:val="24"/>
          <w:szCs w:val="24"/>
        </w:rPr>
        <w:tab/>
      </w:r>
      <w:r w:rsidRPr="00E568F2">
        <w:rPr>
          <w:rStyle w:val="RectitleChar"/>
          <w:rFonts w:asciiTheme="minorHAnsi" w:hAnsiTheme="minorHAnsi" w:cstheme="minorHAnsi"/>
          <w:b w:val="0"/>
          <w:sz w:val="24"/>
          <w:szCs w:val="24"/>
        </w:rPr>
        <w:t>Doc. 5/83(Rev.1)</w:t>
      </w:r>
    </w:p>
    <w:p w:rsidR="00503AC1" w:rsidRPr="00EB5E88" w:rsidRDefault="00503AC1" w:rsidP="00503AC1">
      <w:pPr>
        <w:pStyle w:val="Rectitle"/>
        <w:rPr>
          <w:rFonts w:asciiTheme="minorHAnsi" w:hAnsiTheme="minorHAnsi" w:cstheme="minorHAnsi"/>
          <w:bCs/>
          <w:sz w:val="24"/>
          <w:szCs w:val="24"/>
        </w:rPr>
      </w:pPr>
      <w:r w:rsidRPr="009541F0">
        <w:t xml:space="preserve">Characteristics of a digital system, named </w:t>
      </w:r>
      <w:r>
        <w:t>n</w:t>
      </w:r>
      <w:r w:rsidRPr="009541F0">
        <w:t xml:space="preserve">avigational </w:t>
      </w:r>
      <w:r>
        <w:t>d</w:t>
      </w:r>
      <w:r w:rsidRPr="009541F0">
        <w:t>ata</w:t>
      </w:r>
      <w:r>
        <w:t xml:space="preserve"> </w:t>
      </w:r>
      <w:r w:rsidRPr="009541F0">
        <w:t>for</w:t>
      </w:r>
      <w:r>
        <w:br/>
      </w:r>
      <w:r w:rsidRPr="009541F0">
        <w:t>broadcasting maritime safety and security</w:t>
      </w:r>
      <w:r>
        <w:t xml:space="preserve"> </w:t>
      </w:r>
      <w:r w:rsidRPr="009541F0">
        <w:t>related</w:t>
      </w:r>
      <w:r>
        <w:t xml:space="preserve"> </w:t>
      </w:r>
      <w:r w:rsidRPr="009541F0">
        <w:t>information</w:t>
      </w:r>
      <w:r>
        <w:br/>
      </w:r>
      <w:r w:rsidRPr="009541F0">
        <w:t>from shore-to-ship</w:t>
      </w:r>
      <w:r>
        <w:t xml:space="preserve"> </w:t>
      </w:r>
      <w:r w:rsidRPr="009541F0">
        <w:t xml:space="preserve">in the </w:t>
      </w:r>
      <w:r>
        <w:t>maritime HF frequency</w:t>
      </w:r>
      <w:r w:rsidRPr="009541F0">
        <w:t xml:space="preserve"> band</w:t>
      </w:r>
    </w:p>
    <w:p w:rsidR="00503AC1" w:rsidRDefault="00503AC1" w:rsidP="00280E8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F.1763-</w:t>
      </w:r>
      <w:r w:rsidR="001C5226">
        <w:rPr>
          <w:rFonts w:asciiTheme="minorHAnsi" w:hAnsiTheme="minorHAnsi" w:cstheme="minorHAnsi"/>
          <w:szCs w:val="24"/>
          <w:u w:val="single"/>
        </w:rPr>
        <w:t>1</w:t>
      </w:r>
      <w:r>
        <w:rPr>
          <w:rFonts w:asciiTheme="minorHAnsi" w:hAnsiTheme="minorHAnsi" w:cstheme="minorHAnsi"/>
          <w:szCs w:val="24"/>
        </w:rPr>
        <w:tab/>
        <w:t>Doc. 5/71(Rev.1)</w:t>
      </w:r>
    </w:p>
    <w:p w:rsidR="00503AC1" w:rsidRDefault="00503AC1" w:rsidP="00503AC1">
      <w:pPr>
        <w:pStyle w:val="Rectitle"/>
        <w:rPr>
          <w:lang w:val="en-GB"/>
        </w:rPr>
      </w:pPr>
      <w:r w:rsidRPr="00E568F2">
        <w:rPr>
          <w:lang w:val="en-GB"/>
        </w:rPr>
        <w:t xml:space="preserve">Radio interface standards for broadband wireless access systems </w:t>
      </w:r>
      <w:r w:rsidRPr="00E568F2">
        <w:rPr>
          <w:lang w:val="en-GB"/>
        </w:rPr>
        <w:br/>
        <w:t>in the fixed service operating below 66 GHz</w:t>
      </w:r>
    </w:p>
    <w:p w:rsidR="00503AC1" w:rsidRDefault="00503AC1" w:rsidP="00280E8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M.2008-</w:t>
      </w:r>
      <w:r w:rsidR="001C5226">
        <w:rPr>
          <w:rFonts w:asciiTheme="minorHAnsi" w:hAnsiTheme="minorHAnsi" w:cstheme="minorHAnsi"/>
          <w:szCs w:val="24"/>
          <w:u w:val="single"/>
        </w:rPr>
        <w:t>1</w:t>
      </w:r>
      <w:r>
        <w:rPr>
          <w:rFonts w:asciiTheme="minorHAnsi" w:hAnsiTheme="minorHAnsi" w:cstheme="minorHAnsi"/>
          <w:szCs w:val="24"/>
        </w:rPr>
        <w:tab/>
        <w:t>Doc. 5/74(Rev.1)</w:t>
      </w:r>
    </w:p>
    <w:p w:rsidR="00503AC1" w:rsidRDefault="00503AC1" w:rsidP="00503AC1">
      <w:pPr>
        <w:pStyle w:val="Rectitle"/>
      </w:pPr>
      <w:r w:rsidRPr="00AE2148">
        <w:t>Characteristics and protection criteria for radars operating in the aeronautical radionavigation service in the frequency band 13.25-13.40 GHz</w:t>
      </w:r>
    </w:p>
    <w:p w:rsidR="00503AC1" w:rsidRDefault="00503AC1" w:rsidP="00280E8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M.1371-</w:t>
      </w:r>
      <w:r w:rsidR="001C5226">
        <w:rPr>
          <w:rFonts w:asciiTheme="minorHAnsi" w:hAnsiTheme="minorHAnsi" w:cstheme="minorHAnsi"/>
          <w:szCs w:val="24"/>
          <w:u w:val="single"/>
        </w:rPr>
        <w:t>5</w:t>
      </w:r>
      <w:r>
        <w:rPr>
          <w:rFonts w:asciiTheme="minorHAnsi" w:hAnsiTheme="minorHAnsi" w:cstheme="minorHAnsi"/>
          <w:szCs w:val="24"/>
        </w:rPr>
        <w:tab/>
        <w:t>Doc. 5/78(Rev.1)</w:t>
      </w:r>
    </w:p>
    <w:p w:rsidR="00503AC1" w:rsidRDefault="00503AC1" w:rsidP="00503AC1">
      <w:pPr>
        <w:pStyle w:val="Rectitle"/>
        <w:rPr>
          <w:lang w:eastAsia="ja-JP"/>
        </w:rPr>
      </w:pPr>
      <w:r w:rsidRPr="003947BE">
        <w:rPr>
          <w:lang w:eastAsia="ja-JP"/>
        </w:rPr>
        <w:t>Technical characteristics for an automatic identification system using</w:t>
      </w:r>
      <w:r w:rsidRPr="003947BE">
        <w:rPr>
          <w:lang w:eastAsia="ja-JP"/>
        </w:rPr>
        <w:br/>
        <w:t>time division multiple access in the VHF maritime mobile band</w:t>
      </w:r>
    </w:p>
    <w:p w:rsidR="00503AC1" w:rsidRDefault="00503AC1" w:rsidP="00DA6EE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M.1796-</w:t>
      </w:r>
      <w:r w:rsidR="001C5226">
        <w:rPr>
          <w:rFonts w:asciiTheme="minorHAnsi" w:hAnsiTheme="minorHAnsi" w:cstheme="minorHAnsi"/>
          <w:szCs w:val="24"/>
          <w:u w:val="single"/>
        </w:rPr>
        <w:t>2</w:t>
      </w:r>
      <w:r>
        <w:rPr>
          <w:rFonts w:asciiTheme="minorHAnsi" w:hAnsiTheme="minorHAnsi" w:cstheme="minorHAnsi"/>
          <w:szCs w:val="24"/>
        </w:rPr>
        <w:tab/>
        <w:t>Doc. 5/81(Rev.1)</w:t>
      </w:r>
    </w:p>
    <w:p w:rsidR="00503AC1" w:rsidRDefault="00503AC1" w:rsidP="00503AC1">
      <w:pPr>
        <w:pStyle w:val="Rectitle"/>
      </w:pPr>
      <w:r w:rsidRPr="00527337">
        <w:t>Characteristics of and protection criteria for terrestrial radars operating in the radiodetermination service in the frequency band 8 500-10 680 MHz</w:t>
      </w:r>
    </w:p>
    <w:p w:rsidR="00DA6EED" w:rsidRDefault="00DA6E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503AC1" w:rsidRDefault="00DA6EED" w:rsidP="00280E8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lastRenderedPageBreak/>
        <w:br/>
      </w:r>
      <w:r w:rsidR="00503AC1">
        <w:rPr>
          <w:rFonts w:asciiTheme="minorHAnsi" w:hAnsiTheme="minorHAnsi" w:cstheme="minorHAnsi"/>
          <w:szCs w:val="24"/>
          <w:u w:val="single"/>
        </w:rPr>
        <w:t>Recommendation ITU-R F.1336-</w:t>
      </w:r>
      <w:r w:rsidR="00E568F2">
        <w:rPr>
          <w:rFonts w:asciiTheme="minorHAnsi" w:hAnsiTheme="minorHAnsi" w:cstheme="minorHAnsi"/>
          <w:szCs w:val="24"/>
          <w:u w:val="single"/>
        </w:rPr>
        <w:t>4</w:t>
      </w:r>
      <w:r w:rsidR="00503AC1">
        <w:rPr>
          <w:rFonts w:asciiTheme="minorHAnsi" w:hAnsiTheme="minorHAnsi" w:cstheme="minorHAnsi"/>
          <w:szCs w:val="24"/>
        </w:rPr>
        <w:tab/>
        <w:t>Doc. 5/85(Rev.1)</w:t>
      </w:r>
    </w:p>
    <w:p w:rsidR="00503AC1" w:rsidRDefault="00503AC1">
      <w:pPr>
        <w:pStyle w:val="Rectitle"/>
        <w:rPr>
          <w:lang w:eastAsia="ja-JP"/>
        </w:rPr>
      </w:pPr>
      <w:r w:rsidRPr="00C759DA">
        <w:t>Reference radiation patterns of omnidirectional, sectoral and other antennas</w:t>
      </w:r>
      <w:r>
        <w:br/>
      </w:r>
      <w:r w:rsidR="001C5226">
        <w:t xml:space="preserve">for the fixed and mobile services </w:t>
      </w:r>
      <w:r w:rsidRPr="00C759DA">
        <w:t>for use in sharing studies in the</w:t>
      </w:r>
      <w:r w:rsidR="001C5226">
        <w:t xml:space="preserve"> </w:t>
      </w:r>
      <w:r w:rsidRPr="00C759DA">
        <w:t>frequency range</w:t>
      </w:r>
      <w:r w:rsidRPr="00C759DA">
        <w:rPr>
          <w:lang w:eastAsia="ja-JP"/>
        </w:rPr>
        <w:t xml:space="preserve"> </w:t>
      </w:r>
      <w:r w:rsidRPr="00C759DA">
        <w:t xml:space="preserve">from </w:t>
      </w:r>
      <w:r w:rsidR="001C5226">
        <w:t xml:space="preserve">400 MHz </w:t>
      </w:r>
      <w:r w:rsidRPr="00C759DA">
        <w:t>to about 70 GH</w:t>
      </w:r>
      <w:r w:rsidRPr="00C759DA">
        <w:rPr>
          <w:lang w:eastAsia="ja-JP"/>
        </w:rPr>
        <w:t>z</w:t>
      </w:r>
    </w:p>
    <w:p w:rsidR="00503AC1" w:rsidRDefault="00503AC1" w:rsidP="00280E8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F.1497-</w:t>
      </w:r>
      <w:r w:rsidR="001C5226">
        <w:rPr>
          <w:rFonts w:asciiTheme="minorHAnsi" w:hAnsiTheme="minorHAnsi" w:cstheme="minorHAnsi"/>
          <w:szCs w:val="24"/>
          <w:u w:val="single"/>
        </w:rPr>
        <w:t>2</w:t>
      </w:r>
      <w:r>
        <w:rPr>
          <w:rFonts w:asciiTheme="minorHAnsi" w:hAnsiTheme="minorHAnsi" w:cstheme="minorHAnsi"/>
          <w:szCs w:val="24"/>
        </w:rPr>
        <w:tab/>
        <w:t>Doc. 5/86(Rev.1)</w:t>
      </w:r>
    </w:p>
    <w:p w:rsidR="00503AC1" w:rsidRDefault="00503AC1">
      <w:pPr>
        <w:pStyle w:val="Rectitle"/>
        <w:rPr>
          <w:lang w:val="en-GB"/>
        </w:rPr>
      </w:pPr>
      <w:bookmarkStart w:id="1" w:name="Pre_title"/>
      <w:r w:rsidRPr="00E568F2">
        <w:rPr>
          <w:lang w:val="en-GB"/>
        </w:rPr>
        <w:t>Radio-frequency channel arrangements for fixed wireless systems</w:t>
      </w:r>
      <w:r w:rsidRPr="00E568F2">
        <w:rPr>
          <w:lang w:val="en-GB"/>
        </w:rPr>
        <w:br/>
        <w:t>operating in the band 55.78</w:t>
      </w:r>
      <w:r w:rsidRPr="001B0A87">
        <w:t>-</w:t>
      </w:r>
      <w:r w:rsidR="001C5226">
        <w:t>66</w:t>
      </w:r>
      <w:r w:rsidR="001C5226" w:rsidRPr="001B0A87">
        <w:t xml:space="preserve"> </w:t>
      </w:r>
      <w:r w:rsidRPr="00E568F2">
        <w:rPr>
          <w:lang w:val="en-GB"/>
        </w:rPr>
        <w:t>GHz</w:t>
      </w:r>
      <w:bookmarkEnd w:id="1"/>
    </w:p>
    <w:p w:rsidR="00503AC1" w:rsidRDefault="00503AC1" w:rsidP="00280E8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F.1105-</w:t>
      </w:r>
      <w:r w:rsidR="001C5226">
        <w:rPr>
          <w:rFonts w:asciiTheme="minorHAnsi" w:hAnsiTheme="minorHAnsi" w:cstheme="minorHAnsi"/>
          <w:szCs w:val="24"/>
          <w:u w:val="single"/>
        </w:rPr>
        <w:t>3</w:t>
      </w:r>
      <w:r>
        <w:rPr>
          <w:rFonts w:asciiTheme="minorHAnsi" w:hAnsiTheme="minorHAnsi" w:cstheme="minorHAnsi"/>
          <w:szCs w:val="24"/>
        </w:rPr>
        <w:tab/>
        <w:t>Doc. 5/90(Rev.1)</w:t>
      </w:r>
    </w:p>
    <w:p w:rsidR="00503AC1" w:rsidRPr="00EB5E88" w:rsidRDefault="00503AC1" w:rsidP="00503AC1">
      <w:pPr>
        <w:pStyle w:val="Rectitle"/>
        <w:rPr>
          <w:rFonts w:asciiTheme="minorHAnsi" w:hAnsiTheme="minorHAnsi" w:cstheme="minorHAnsi"/>
          <w:sz w:val="24"/>
          <w:szCs w:val="24"/>
        </w:rPr>
      </w:pPr>
      <w:r w:rsidRPr="00C344B0">
        <w:t>Fixed wireless systems for disaster mitigation</w:t>
      </w:r>
      <w:r>
        <w:t xml:space="preserve"> </w:t>
      </w:r>
      <w:r w:rsidRPr="00C344B0">
        <w:t>and relief operations</w:t>
      </w:r>
    </w:p>
    <w:p w:rsidR="003D04D9" w:rsidRDefault="003D04D9" w:rsidP="0032202E">
      <w:pPr>
        <w:pStyle w:val="Reasons"/>
      </w:pPr>
      <w:bookmarkStart w:id="2" w:name="ddistribution"/>
      <w:bookmarkEnd w:id="2"/>
    </w:p>
    <w:p w:rsidR="003D04D9" w:rsidRDefault="003D04D9" w:rsidP="003D04D9">
      <w:pPr>
        <w:spacing w:before="480"/>
        <w:jc w:val="center"/>
      </w:pPr>
      <w:r>
        <w:t>______________</w:t>
      </w:r>
    </w:p>
    <w:p w:rsidR="00D35AB9" w:rsidRPr="003D04D9" w:rsidRDefault="00D35AB9" w:rsidP="00280E8E">
      <w:pPr>
        <w:pStyle w:val="Headingb"/>
        <w:spacing w:before="840" w:after="120"/>
        <w:jc w:val="center"/>
        <w:rPr>
          <w:rFonts w:asciiTheme="minorHAnsi" w:hAnsiTheme="minorHAnsi" w:cstheme="minorHAnsi"/>
          <w:b w:val="0"/>
          <w:bCs/>
          <w:szCs w:val="24"/>
          <w:lang w:val="fr-CH"/>
        </w:rPr>
      </w:pPr>
    </w:p>
    <w:sectPr w:rsidR="00D35AB9" w:rsidRPr="003D04D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BD054D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8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6CC8" w:rsidRDefault="00D66CC8" w:rsidP="00D66CC8">
        <w:pPr>
          <w:pStyle w:val="Header"/>
          <w:jc w:val="center"/>
        </w:pPr>
        <w:r w:rsidRPr="00D66CC8">
          <w:t xml:space="preserve">- </w:t>
        </w:r>
        <w:r w:rsidRPr="00D66CC8">
          <w:rPr>
            <w:sz w:val="18"/>
            <w:szCs w:val="18"/>
          </w:rPr>
          <w:fldChar w:fldCharType="begin"/>
        </w:r>
        <w:r w:rsidRPr="00D66CC8">
          <w:rPr>
            <w:sz w:val="18"/>
            <w:szCs w:val="18"/>
          </w:rPr>
          <w:instrText xml:space="preserve"> PAGE   \* MERGEFORMAT </w:instrText>
        </w:r>
        <w:r w:rsidRPr="00D66CC8">
          <w:rPr>
            <w:sz w:val="18"/>
            <w:szCs w:val="18"/>
          </w:rPr>
          <w:fldChar w:fldCharType="separate"/>
        </w:r>
        <w:r w:rsidR="00BD054D">
          <w:rPr>
            <w:noProof/>
            <w:sz w:val="18"/>
            <w:szCs w:val="18"/>
          </w:rPr>
          <w:t>3</w:t>
        </w:r>
        <w:r w:rsidRPr="00D66CC8">
          <w:rPr>
            <w:noProof/>
            <w:sz w:val="18"/>
            <w:szCs w:val="18"/>
          </w:rPr>
          <w:fldChar w:fldCharType="end"/>
        </w:r>
        <w:r w:rsidRPr="00D66CC8">
          <w:rPr>
            <w:noProof/>
            <w:sz w:val="18"/>
            <w:szCs w:val="18"/>
          </w:rPr>
          <w:t xml:space="preserve"> -</w:t>
        </w:r>
      </w:p>
    </w:sdtContent>
  </w:sdt>
  <w:p w:rsidR="00E915AF" w:rsidRPr="00D66CC8" w:rsidRDefault="00E915AF" w:rsidP="00D66CC8">
    <w:pPr>
      <w:pStyle w:val="Header"/>
      <w:rPr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28A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5226"/>
    <w:rsid w:val="001C6971"/>
    <w:rsid w:val="001D2785"/>
    <w:rsid w:val="001D7070"/>
    <w:rsid w:val="001E04F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0E8E"/>
    <w:rsid w:val="00283C3B"/>
    <w:rsid w:val="002861E6"/>
    <w:rsid w:val="00287D18"/>
    <w:rsid w:val="002929EC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0023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04D9"/>
    <w:rsid w:val="003D0CEE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AC1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0850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054D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4D08"/>
    <w:rsid w:val="00D35AB9"/>
    <w:rsid w:val="00D41571"/>
    <w:rsid w:val="00D416A0"/>
    <w:rsid w:val="00D47672"/>
    <w:rsid w:val="00D5123C"/>
    <w:rsid w:val="00D55560"/>
    <w:rsid w:val="00D61C5A"/>
    <w:rsid w:val="00D66CC8"/>
    <w:rsid w:val="00D6790C"/>
    <w:rsid w:val="00D73277"/>
    <w:rsid w:val="00D76586"/>
    <w:rsid w:val="00D82657"/>
    <w:rsid w:val="00D87E20"/>
    <w:rsid w:val="00DA4037"/>
    <w:rsid w:val="00DA6EED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8F2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0BF0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503AC1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5226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6CC8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04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503AC1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5226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6CC8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04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15B5-9FA9-451D-9132-2CF6D7C3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21</TotalTime>
  <Pages>3</Pages>
  <Words>446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14</cp:revision>
  <cp:lastPrinted>2014-02-20T14:56:00Z</cp:lastPrinted>
  <dcterms:created xsi:type="dcterms:W3CDTF">2014-02-20T14:43:00Z</dcterms:created>
  <dcterms:modified xsi:type="dcterms:W3CDTF">2014-02-24T15:44:00Z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