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CA0D2B"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4A0B55">
              <w:rPr>
                <w:b/>
                <w:bCs/>
                <w:szCs w:val="24"/>
                <w:lang w:val="fr-CH"/>
              </w:rPr>
              <w:t>CE</w:t>
            </w:r>
            <w:r w:rsidRPr="00773F7E">
              <w:rPr>
                <w:b/>
                <w:bCs/>
                <w:szCs w:val="24"/>
                <w:lang w:val="fr-CH"/>
              </w:rPr>
              <w:t>/</w:t>
            </w:r>
            <w:r w:rsidR="00862EBC">
              <w:rPr>
                <w:b/>
                <w:bCs/>
                <w:szCs w:val="24"/>
                <w:lang w:val="fr-CH"/>
              </w:rPr>
              <w:t>659</w:t>
            </w:r>
          </w:p>
        </w:tc>
        <w:tc>
          <w:tcPr>
            <w:tcW w:w="2835" w:type="dxa"/>
            <w:shd w:val="clear" w:color="auto" w:fill="auto"/>
          </w:tcPr>
          <w:p w:rsidR="00E53DCE" w:rsidRPr="00CA0D2B" w:rsidRDefault="000B6382" w:rsidP="004A0B55">
            <w:pPr>
              <w:spacing w:before="0"/>
              <w:jc w:val="right"/>
              <w:rPr>
                <w:sz w:val="28"/>
                <w:szCs w:val="28"/>
                <w:lang w:val="en-GB"/>
              </w:rPr>
            </w:pPr>
            <w:r>
              <w:rPr>
                <w:szCs w:val="24"/>
              </w:rPr>
              <w:t>Le 12 mai</w:t>
            </w:r>
            <w:r w:rsidR="00862EBC">
              <w:rPr>
                <w:szCs w:val="24"/>
              </w:rPr>
              <w:t xml:space="preserve"> 2014</w:t>
            </w:r>
            <w:r w:rsidR="004A0B55" w:rsidRPr="00CA0D2B">
              <w:rPr>
                <w:szCs w:val="24"/>
              </w:rPr>
              <w:t xml:space="preserve"> </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882970" w:rsidTr="006160CB">
        <w:tc>
          <w:tcPr>
            <w:tcW w:w="9889" w:type="dxa"/>
            <w:gridSpan w:val="3"/>
            <w:shd w:val="clear" w:color="auto" w:fill="auto"/>
          </w:tcPr>
          <w:p w:rsidR="00E53DCE" w:rsidRPr="004A0B55" w:rsidRDefault="004A0B55" w:rsidP="006160CB">
            <w:pPr>
              <w:spacing w:before="0"/>
              <w:jc w:val="left"/>
              <w:rPr>
                <w:b/>
                <w:bCs/>
                <w:szCs w:val="24"/>
                <w:lang w:val="fr-CH"/>
              </w:rPr>
            </w:pPr>
            <w:r w:rsidRPr="000D290C">
              <w:rPr>
                <w:b/>
                <w:lang w:val="fr-CH"/>
              </w:rPr>
              <w:t>Aux Administrations des Etats Membres de l</w:t>
            </w:r>
            <w:r>
              <w:rPr>
                <w:b/>
                <w:lang w:val="fr-CH"/>
              </w:rPr>
              <w:t>'</w:t>
            </w:r>
            <w:r w:rsidRPr="000D290C">
              <w:rPr>
                <w:b/>
                <w:lang w:val="fr-CH"/>
              </w:rPr>
              <w:t xml:space="preserve">UIT, aux Membres du </w:t>
            </w:r>
            <w:r>
              <w:rPr>
                <w:b/>
                <w:lang w:val="fr-CH"/>
              </w:rPr>
              <w:t>Secteur des radiocommunications et</w:t>
            </w:r>
            <w:r w:rsidRPr="000D290C">
              <w:rPr>
                <w:b/>
                <w:lang w:val="fr-CH"/>
              </w:rPr>
              <w:t xml:space="preserve"> </w:t>
            </w:r>
            <w:r w:rsidRPr="000D290C">
              <w:rPr>
                <w:b/>
                <w:bCs/>
                <w:lang w:val="fr-CH"/>
              </w:rPr>
              <w:t>aux</w:t>
            </w:r>
            <w:r w:rsidRPr="000D290C">
              <w:rPr>
                <w:b/>
                <w:lang w:val="fr-CH"/>
              </w:rPr>
              <w:t xml:space="preserve"> </w:t>
            </w:r>
            <w:r w:rsidRPr="000D290C">
              <w:rPr>
                <w:b/>
                <w:bCs/>
                <w:lang w:val="fr-CH"/>
              </w:rPr>
              <w:t>Associés de l</w:t>
            </w:r>
            <w:r>
              <w:rPr>
                <w:b/>
                <w:bCs/>
                <w:lang w:val="fr-CH"/>
              </w:rPr>
              <w:t>'</w:t>
            </w:r>
            <w:r w:rsidR="00862EBC">
              <w:rPr>
                <w:b/>
                <w:bCs/>
                <w:lang w:val="fr-CH"/>
              </w:rPr>
              <w:t>UIT-</w:t>
            </w:r>
            <w:r w:rsidRPr="000D290C">
              <w:rPr>
                <w:b/>
                <w:bCs/>
                <w:lang w:val="fr-CH"/>
              </w:rPr>
              <w:t>R</w:t>
            </w:r>
            <w:r w:rsidRPr="000D290C">
              <w:rPr>
                <w:b/>
                <w:lang w:val="fr-CH"/>
              </w:rPr>
              <w:t xml:space="preserve"> participant aux tra</w:t>
            </w:r>
            <w:r w:rsidR="00862EBC">
              <w:rPr>
                <w:b/>
                <w:lang w:val="fr-CH"/>
              </w:rPr>
              <w:t>vaux</w:t>
            </w:r>
            <w:r w:rsidR="00862EBC">
              <w:rPr>
                <w:b/>
                <w:lang w:val="fr-CH"/>
              </w:rPr>
              <w:br/>
              <w:t>de la Commission d'études 4</w:t>
            </w:r>
            <w:r w:rsidRPr="000D290C">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882970"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882970"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882970"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4A0B55" w:rsidRDefault="00862EBC" w:rsidP="00CA0D2B">
            <w:pPr>
              <w:tabs>
                <w:tab w:val="clear" w:pos="1588"/>
                <w:tab w:val="left" w:pos="1560"/>
              </w:tabs>
              <w:spacing w:before="0"/>
              <w:jc w:val="left"/>
              <w:rPr>
                <w:b/>
                <w:bCs/>
                <w:szCs w:val="24"/>
                <w:lang w:val="fr-CH"/>
              </w:rPr>
            </w:pPr>
            <w:r>
              <w:rPr>
                <w:b/>
                <w:bCs/>
                <w:szCs w:val="24"/>
                <w:lang w:val="fr-CH"/>
              </w:rPr>
              <w:t>Commission d'études 4</w:t>
            </w:r>
            <w:r w:rsidR="004A0B55" w:rsidRPr="004A0B55">
              <w:rPr>
                <w:b/>
                <w:bCs/>
                <w:szCs w:val="24"/>
                <w:lang w:val="fr-CH"/>
              </w:rPr>
              <w:t xml:space="preserve"> des radiocommunications (</w:t>
            </w:r>
            <w:r>
              <w:rPr>
                <w:b/>
                <w:bCs/>
                <w:lang w:val="fr-CH"/>
              </w:rPr>
              <w:t>Services par satellite</w:t>
            </w:r>
            <w:r w:rsidR="004A0B55" w:rsidRPr="004A0B55">
              <w:rPr>
                <w:b/>
                <w:bCs/>
                <w:szCs w:val="24"/>
                <w:lang w:val="fr-CH"/>
              </w:rPr>
              <w:t>)</w:t>
            </w:r>
          </w:p>
          <w:p w:rsidR="004A0B55" w:rsidRPr="004A0B55" w:rsidRDefault="004A0B55" w:rsidP="00862EBC">
            <w:pPr>
              <w:tabs>
                <w:tab w:val="clear" w:pos="794"/>
                <w:tab w:val="clear" w:pos="1191"/>
                <w:tab w:val="clear" w:pos="1588"/>
                <w:tab w:val="left" w:pos="459"/>
                <w:tab w:val="left" w:pos="742"/>
                <w:tab w:val="left" w:pos="1560"/>
              </w:tabs>
              <w:spacing w:before="80" w:line="240" w:lineRule="auto"/>
              <w:ind w:left="459" w:hanging="459"/>
              <w:jc w:val="left"/>
              <w:rPr>
                <w:b/>
                <w:bCs/>
                <w:szCs w:val="24"/>
                <w:lang w:val="fr-CH"/>
              </w:rPr>
            </w:pPr>
            <w:r w:rsidRPr="004A0B55">
              <w:rPr>
                <w:b/>
                <w:bCs/>
                <w:szCs w:val="24"/>
                <w:lang w:val="fr-CH"/>
              </w:rPr>
              <w:t>–</w:t>
            </w:r>
            <w:r w:rsidRPr="004A0B55">
              <w:rPr>
                <w:b/>
                <w:bCs/>
                <w:szCs w:val="24"/>
                <w:lang w:val="fr-CH"/>
              </w:rPr>
              <w:tab/>
              <w:t>Proposition d'a</w:t>
            </w:r>
            <w:r w:rsidR="003B681B">
              <w:rPr>
                <w:b/>
                <w:bCs/>
                <w:szCs w:val="24"/>
                <w:lang w:val="fr-CH"/>
              </w:rPr>
              <w:t>pprobation</w:t>
            </w:r>
            <w:r w:rsidR="00862EBC">
              <w:rPr>
                <w:b/>
                <w:bCs/>
                <w:szCs w:val="24"/>
                <w:lang w:val="fr-CH"/>
              </w:rPr>
              <w:t xml:space="preserve"> d'un</w:t>
            </w:r>
            <w:r w:rsidRPr="004A0B55">
              <w:rPr>
                <w:b/>
                <w:bCs/>
                <w:szCs w:val="24"/>
                <w:lang w:val="fr-CH"/>
              </w:rPr>
              <w:t xml:space="preserve"> projet de nouv</w:t>
            </w:r>
            <w:r w:rsidR="00862EBC">
              <w:rPr>
                <w:b/>
                <w:bCs/>
                <w:szCs w:val="24"/>
                <w:lang w:val="fr-CH"/>
              </w:rPr>
              <w:t>elle Recommandation UIT-R et d'un</w:t>
            </w:r>
            <w:r w:rsidRPr="004A0B55">
              <w:rPr>
                <w:b/>
                <w:bCs/>
                <w:szCs w:val="24"/>
                <w:lang w:val="fr-CH"/>
              </w:rPr>
              <w:t xml:space="preserve"> projet de Recommandation UIT-R révisée</w:t>
            </w:r>
          </w:p>
        </w:tc>
      </w:tr>
      <w:tr w:rsidR="00E53DCE" w:rsidRPr="00882970" w:rsidTr="006160CB">
        <w:tc>
          <w:tcPr>
            <w:tcW w:w="1526" w:type="dxa"/>
            <w:shd w:val="clear" w:color="auto" w:fill="auto"/>
          </w:tcPr>
          <w:p w:rsidR="00E53DCE" w:rsidRPr="004A0B55"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A0B55" w:rsidRDefault="00E53DCE" w:rsidP="006160CB">
            <w:pPr>
              <w:tabs>
                <w:tab w:val="clear" w:pos="1588"/>
                <w:tab w:val="left" w:pos="1560"/>
              </w:tabs>
              <w:spacing w:before="0"/>
              <w:rPr>
                <w:b/>
                <w:bCs/>
                <w:szCs w:val="24"/>
                <w:lang w:val="fr-CH"/>
              </w:rPr>
            </w:pPr>
          </w:p>
        </w:tc>
      </w:tr>
      <w:tr w:rsidR="00E53DCE" w:rsidRPr="00882970" w:rsidTr="006160CB">
        <w:tc>
          <w:tcPr>
            <w:tcW w:w="1526" w:type="dxa"/>
            <w:shd w:val="clear" w:color="auto" w:fill="auto"/>
          </w:tcPr>
          <w:p w:rsidR="00E53DCE" w:rsidRPr="004A0B55"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A0B55" w:rsidRDefault="00E53DCE" w:rsidP="006160CB">
            <w:pPr>
              <w:tabs>
                <w:tab w:val="clear" w:pos="1588"/>
                <w:tab w:val="left" w:pos="1560"/>
              </w:tabs>
              <w:spacing w:before="0"/>
              <w:rPr>
                <w:b/>
                <w:bCs/>
                <w:szCs w:val="24"/>
                <w:lang w:val="fr-CH"/>
              </w:rPr>
            </w:pPr>
          </w:p>
        </w:tc>
      </w:tr>
      <w:tr w:rsidR="00E53DCE" w:rsidRPr="00882970" w:rsidTr="006160CB">
        <w:tc>
          <w:tcPr>
            <w:tcW w:w="9889" w:type="dxa"/>
            <w:gridSpan w:val="3"/>
            <w:shd w:val="clear" w:color="auto" w:fill="auto"/>
          </w:tcPr>
          <w:p w:rsidR="00E53DCE" w:rsidRPr="004A0B55" w:rsidRDefault="00E53DCE" w:rsidP="00E53DCE">
            <w:pPr>
              <w:tabs>
                <w:tab w:val="clear" w:pos="1588"/>
                <w:tab w:val="left" w:pos="1560"/>
              </w:tabs>
              <w:spacing w:before="0"/>
              <w:jc w:val="left"/>
              <w:rPr>
                <w:szCs w:val="24"/>
                <w:lang w:val="fr-CH"/>
              </w:rPr>
            </w:pPr>
          </w:p>
        </w:tc>
      </w:tr>
      <w:tr w:rsidR="00E53DCE" w:rsidRPr="00882970" w:rsidTr="006160CB">
        <w:tc>
          <w:tcPr>
            <w:tcW w:w="9889" w:type="dxa"/>
            <w:gridSpan w:val="3"/>
            <w:shd w:val="clear" w:color="auto" w:fill="auto"/>
          </w:tcPr>
          <w:p w:rsidR="00E53DCE" w:rsidRPr="004A0B55" w:rsidRDefault="00E53DCE" w:rsidP="006160CB">
            <w:pPr>
              <w:spacing w:before="0"/>
              <w:jc w:val="left"/>
              <w:rPr>
                <w:b/>
                <w:bCs/>
                <w:szCs w:val="24"/>
                <w:lang w:val="fr-CH"/>
              </w:rPr>
            </w:pPr>
          </w:p>
        </w:tc>
      </w:tr>
    </w:tbl>
    <w:p w:rsidR="009132C0" w:rsidRPr="009132C0" w:rsidRDefault="00862EBC" w:rsidP="00862EBC">
      <w:pPr>
        <w:tabs>
          <w:tab w:val="clear" w:pos="1191"/>
          <w:tab w:val="left" w:pos="1418"/>
        </w:tabs>
        <w:rPr>
          <w:lang w:val="fr-CH"/>
        </w:rPr>
      </w:pPr>
      <w:r>
        <w:rPr>
          <w:lang w:val="fr-CH"/>
        </w:rPr>
        <w:t>A sa réunion tenue le 11 octobre</w:t>
      </w:r>
      <w:r w:rsidR="009132C0" w:rsidRPr="009132C0">
        <w:rPr>
          <w:lang w:val="fr-CH"/>
        </w:rPr>
        <w:t xml:space="preserve"> 201</w:t>
      </w:r>
      <w:r w:rsidR="009132C0">
        <w:rPr>
          <w:lang w:val="fr-CH"/>
        </w:rPr>
        <w:t>3</w:t>
      </w:r>
      <w:r w:rsidR="009132C0" w:rsidRPr="009132C0">
        <w:rPr>
          <w:lang w:val="fr-CH"/>
        </w:rPr>
        <w:t xml:space="preserve">, la Commission d'études </w:t>
      </w:r>
      <w:r>
        <w:rPr>
          <w:lang w:val="fr-CH"/>
        </w:rPr>
        <w:t>4</w:t>
      </w:r>
      <w:r w:rsidR="009132C0" w:rsidRPr="009132C0">
        <w:rPr>
          <w:lang w:val="fr-CH"/>
        </w:rPr>
        <w:t xml:space="preserve"> des radiocommunications a dé</w:t>
      </w:r>
      <w:r>
        <w:rPr>
          <w:lang w:val="fr-CH"/>
        </w:rPr>
        <w:t>cidé de demander l'adoption d'un</w:t>
      </w:r>
      <w:r w:rsidR="009132C0" w:rsidRPr="009132C0">
        <w:rPr>
          <w:lang w:val="fr-CH"/>
        </w:rPr>
        <w:t xml:space="preserve"> projet de nouvelle Recommandation</w:t>
      </w:r>
      <w:r w:rsidR="009132C0">
        <w:rPr>
          <w:lang w:val="fr-CH"/>
        </w:rPr>
        <w:t xml:space="preserve"> UIT-R</w:t>
      </w:r>
      <w:r>
        <w:rPr>
          <w:lang w:val="fr-CH"/>
        </w:rPr>
        <w:t xml:space="preserve"> et d'un</w:t>
      </w:r>
      <w:r w:rsidR="009132C0" w:rsidRPr="009132C0">
        <w:rPr>
          <w:lang w:val="fr-CH"/>
        </w:rPr>
        <w:t xml:space="preserve"> projet de Recommandation</w:t>
      </w:r>
      <w:r w:rsidR="009132C0">
        <w:rPr>
          <w:lang w:val="fr-CH"/>
        </w:rPr>
        <w:t xml:space="preserve"> UIT-R</w:t>
      </w:r>
      <w:r w:rsidR="009132C0" w:rsidRPr="009132C0">
        <w:rPr>
          <w:lang w:val="fr-CH"/>
        </w:rPr>
        <w:t xml:space="preserve"> révisée</w:t>
      </w:r>
      <w:r w:rsidR="005A503D">
        <w:rPr>
          <w:lang w:val="fr-CH"/>
        </w:rPr>
        <w:t xml:space="preserve"> par correspondance</w:t>
      </w:r>
      <w:r w:rsidR="009132C0" w:rsidRPr="009132C0">
        <w:rPr>
          <w:lang w:val="fr-CH"/>
        </w:rPr>
        <w:t xml:space="preserve">, conformément au § 10.2.3 de la </w:t>
      </w:r>
      <w:r w:rsidR="005A503D">
        <w:rPr>
          <w:lang w:val="fr-CH"/>
        </w:rPr>
        <w:br/>
      </w:r>
      <w:r w:rsidR="009132C0" w:rsidRPr="009132C0">
        <w:rPr>
          <w:lang w:val="fr-CH"/>
        </w:rPr>
        <w:t xml:space="preserve">Résolution UIT-R 1-6. </w:t>
      </w:r>
    </w:p>
    <w:p w:rsidR="009132C0" w:rsidRPr="009132C0" w:rsidRDefault="009132C0" w:rsidP="00862EBC">
      <w:pPr>
        <w:rPr>
          <w:lang w:val="fr-CH"/>
        </w:rPr>
      </w:pPr>
      <w:r w:rsidRPr="009132C0">
        <w:rPr>
          <w:lang w:val="fr-CH"/>
        </w:rPr>
        <w:t>Comme indiqué d</w:t>
      </w:r>
      <w:r w:rsidR="005C749F">
        <w:rPr>
          <w:lang w:val="fr-CH"/>
        </w:rPr>
        <w:t>a</w:t>
      </w:r>
      <w:r w:rsidRPr="009132C0">
        <w:rPr>
          <w:lang w:val="fr-CH"/>
        </w:rPr>
        <w:t>ns la Ci</w:t>
      </w:r>
      <w:r w:rsidR="00862EBC">
        <w:rPr>
          <w:lang w:val="fr-CH"/>
        </w:rPr>
        <w:t>rculaire administrative CACE/638</w:t>
      </w:r>
      <w:r w:rsidRPr="009132C0">
        <w:rPr>
          <w:lang w:val="fr-CH"/>
        </w:rPr>
        <w:t xml:space="preserve"> en date du </w:t>
      </w:r>
      <w:r w:rsidR="00862EBC">
        <w:rPr>
          <w:lang w:val="fr-CH"/>
        </w:rPr>
        <w:t>28 octobre</w:t>
      </w:r>
      <w:r w:rsidRPr="009132C0">
        <w:rPr>
          <w:lang w:val="fr-CH"/>
        </w:rPr>
        <w:t xml:space="preserve"> 201</w:t>
      </w:r>
      <w:r>
        <w:rPr>
          <w:lang w:val="fr-CH"/>
        </w:rPr>
        <w:t>3</w:t>
      </w:r>
      <w:r w:rsidRPr="009132C0">
        <w:rPr>
          <w:lang w:val="fr-CH"/>
        </w:rPr>
        <w:t>, la période de con</w:t>
      </w:r>
      <w:r w:rsidR="00862EBC">
        <w:rPr>
          <w:lang w:val="fr-CH"/>
        </w:rPr>
        <w:t>sultation pour l'adoption d</w:t>
      </w:r>
      <w:r w:rsidRPr="009132C0">
        <w:rPr>
          <w:lang w:val="fr-CH"/>
        </w:rPr>
        <w:t xml:space="preserve">es Recommandations a pris fin le </w:t>
      </w:r>
      <w:r w:rsidR="00862EBC">
        <w:rPr>
          <w:lang w:val="fr-CH"/>
        </w:rPr>
        <w:t>28 décembre</w:t>
      </w:r>
      <w:r w:rsidRPr="009132C0">
        <w:rPr>
          <w:lang w:val="fr-CH"/>
        </w:rPr>
        <w:t xml:space="preserve"> 201</w:t>
      </w:r>
      <w:r>
        <w:rPr>
          <w:lang w:val="fr-CH"/>
        </w:rPr>
        <w:t>3</w:t>
      </w:r>
      <w:r w:rsidRPr="009132C0">
        <w:rPr>
          <w:lang w:val="fr-CH"/>
        </w:rPr>
        <w:t>.</w:t>
      </w:r>
    </w:p>
    <w:p w:rsidR="009132C0" w:rsidRDefault="00FF59B2" w:rsidP="00FF59B2">
      <w:pPr>
        <w:rPr>
          <w:lang w:val="fr-CH"/>
        </w:rPr>
      </w:pPr>
      <w:r w:rsidRPr="00FF59B2">
        <w:rPr>
          <w:szCs w:val="24"/>
          <w:lang w:val="fr-CH"/>
        </w:rPr>
        <w:t>Le projet de révision de la Recommandation UIT</w:t>
      </w:r>
      <w:r w:rsidRPr="00FF59B2">
        <w:rPr>
          <w:rFonts w:asciiTheme="minorHAnsi" w:hAnsiTheme="minorHAnsi" w:cstheme="minorHAnsi"/>
          <w:szCs w:val="24"/>
          <w:lang w:val="fr-CH"/>
        </w:rPr>
        <w:t>-R BO.1443-2</w:t>
      </w:r>
      <w:r w:rsidRPr="00FF59B2">
        <w:rPr>
          <w:lang w:val="fr-CH"/>
        </w:rPr>
        <w:t xml:space="preserve"> </w:t>
      </w:r>
      <w:r>
        <w:rPr>
          <w:lang w:val="fr-CH"/>
        </w:rPr>
        <w:t>a été maintenant été adopté</w:t>
      </w:r>
      <w:r w:rsidR="00862EBC">
        <w:rPr>
          <w:lang w:val="fr-CH"/>
        </w:rPr>
        <w:t xml:space="preserve"> par la Commission d'études 4</w:t>
      </w:r>
      <w:r w:rsidR="009132C0" w:rsidRPr="009132C0">
        <w:rPr>
          <w:lang w:val="fr-CH"/>
        </w:rPr>
        <w:t xml:space="preserve"> et la procédure d'approbation prévue au § 10.4 de la Résolution UIT-R 1-6 sera appliquée. </w:t>
      </w:r>
      <w:r w:rsidR="00862EBC">
        <w:rPr>
          <w:lang w:val="fr-CH"/>
        </w:rPr>
        <w:t>L</w:t>
      </w:r>
      <w:r w:rsidR="000B6382">
        <w:rPr>
          <w:lang w:val="fr-CH"/>
        </w:rPr>
        <w:t>e titre</w:t>
      </w:r>
      <w:r w:rsidR="00862EBC">
        <w:rPr>
          <w:lang w:val="fr-CH"/>
        </w:rPr>
        <w:t xml:space="preserve"> et résumé</w:t>
      </w:r>
      <w:r>
        <w:rPr>
          <w:lang w:val="fr-CH"/>
        </w:rPr>
        <w:t xml:space="preserve"> du</w:t>
      </w:r>
      <w:r w:rsidR="009132C0" w:rsidRPr="00A12B99">
        <w:rPr>
          <w:lang w:val="fr-CH"/>
        </w:rPr>
        <w:t xml:space="preserve"> projet de Recommandation </w:t>
      </w:r>
      <w:r w:rsidR="009132C0">
        <w:rPr>
          <w:lang w:val="fr-CH"/>
        </w:rPr>
        <w:t xml:space="preserve">sont donnés </w:t>
      </w:r>
      <w:r w:rsidR="00862EBC">
        <w:rPr>
          <w:lang w:val="fr-CH"/>
        </w:rPr>
        <w:t>dans l'Annexe</w:t>
      </w:r>
      <w:r w:rsidR="009132C0" w:rsidRPr="00A12B99">
        <w:rPr>
          <w:lang w:val="fr-CH"/>
        </w:rPr>
        <w:t xml:space="preserve">. </w:t>
      </w:r>
    </w:p>
    <w:p w:rsidR="000B6382" w:rsidRPr="000B6382" w:rsidRDefault="000B6382" w:rsidP="000B6382">
      <w:pPr>
        <w:rPr>
          <w:lang w:val="fr-CH"/>
        </w:rPr>
      </w:pPr>
      <w:r w:rsidRPr="000B6382">
        <w:rPr>
          <w:lang w:val="fr-CH"/>
        </w:rPr>
        <w:t xml:space="preserve">Le projet de nouvelle Recommandation </w:t>
      </w:r>
      <w:r w:rsidRPr="000B6382">
        <w:rPr>
          <w:rFonts w:asciiTheme="minorHAnsi" w:hAnsiTheme="minorHAnsi" w:cstheme="minorHAnsi"/>
          <w:szCs w:val="24"/>
          <w:lang w:val="fr-CH"/>
        </w:rPr>
        <w:t xml:space="preserve">ITU-R M.[AMS(R)S.METHODOLOGY]-0 </w:t>
      </w:r>
      <w:r w:rsidRPr="000B6382">
        <w:rPr>
          <w:lang w:val="fr-CH"/>
        </w:rPr>
        <w:t>n'a pas été adopté et sera renvoyé au Groupe de travail 4</w:t>
      </w:r>
      <w:r>
        <w:rPr>
          <w:lang w:val="fr-CH"/>
        </w:rPr>
        <w:t>C</w:t>
      </w:r>
      <w:r w:rsidRPr="000B6382">
        <w:rPr>
          <w:lang w:val="fr-CH"/>
        </w:rPr>
        <w:t xml:space="preserve"> pour un nouvel examen.</w:t>
      </w:r>
    </w:p>
    <w:p w:rsidR="009132C0" w:rsidRPr="009132C0" w:rsidRDefault="009132C0" w:rsidP="000B6382">
      <w:pPr>
        <w:rPr>
          <w:lang w:val="fr-CH"/>
        </w:rPr>
      </w:pPr>
      <w:r w:rsidRPr="009132C0">
        <w:rPr>
          <w:lang w:val="fr-CH"/>
        </w:rPr>
        <w:t>Compte tenu des dispositions du § 10.4 de la Résolution UIT-R 1-6, les Etats Membres sont priés de faire savoir au Secrétariat (</w:t>
      </w:r>
      <w:hyperlink r:id="rId9" w:history="1">
        <w:r w:rsidRPr="009132C0">
          <w:rPr>
            <w:rStyle w:val="Hyperlink"/>
            <w:lang w:val="fr-CH"/>
          </w:rPr>
          <w:t>brsgd@itu.int</w:t>
        </w:r>
      </w:hyperlink>
      <w:r w:rsidRPr="009132C0">
        <w:rPr>
          <w:lang w:val="fr-CH"/>
        </w:rPr>
        <w:t xml:space="preserve">), au plus tard le </w:t>
      </w:r>
      <w:r w:rsidR="000B6382">
        <w:rPr>
          <w:u w:val="single"/>
          <w:lang w:val="fr-CH"/>
        </w:rPr>
        <w:t>12 juillet</w:t>
      </w:r>
      <w:r w:rsidRPr="009132C0">
        <w:rPr>
          <w:u w:val="single"/>
          <w:lang w:val="fr-CH"/>
        </w:rPr>
        <w:t xml:space="preserve"> 201</w:t>
      </w:r>
      <w:r w:rsidR="00862EBC">
        <w:rPr>
          <w:u w:val="single"/>
          <w:lang w:val="fr-CH"/>
        </w:rPr>
        <w:t>4</w:t>
      </w:r>
      <w:r w:rsidRPr="009132C0">
        <w:rPr>
          <w:lang w:val="fr-CH"/>
        </w:rPr>
        <w:t>, s'ils acceptent ou non les propositions ci-dessus.</w:t>
      </w:r>
    </w:p>
    <w:p w:rsidR="009132C0" w:rsidRPr="009132C0" w:rsidRDefault="009132C0" w:rsidP="009132C0">
      <w:pPr>
        <w:rPr>
          <w:lang w:val="fr-CH"/>
        </w:rPr>
      </w:pPr>
      <w:r w:rsidRPr="009132C0">
        <w:rPr>
          <w:lang w:val="fr-CH"/>
        </w:rPr>
        <w:t>Un Etat Membre qui soulève une objection au sujet de l'approbation d'un projet de Recommandation est prié d'informer le Directeur et le Président de la Commission d'études des raisons de cette objection.</w:t>
      </w:r>
    </w:p>
    <w:p w:rsidR="009132C0" w:rsidRPr="009132C0" w:rsidRDefault="009132C0" w:rsidP="009132C0">
      <w:pPr>
        <w:rPr>
          <w:lang w:val="fr-CH"/>
        </w:rPr>
      </w:pPr>
      <w:r w:rsidRPr="009132C0">
        <w:rPr>
          <w:lang w:val="fr-CH"/>
        </w:rPr>
        <w:t xml:space="preserve">Après la date limite mentionnée ci-dessus, les résultats de la présente consultation seront communiqués dans une circulaire administrative et la/les Recommandation(s) approuvée(s) sera/seront publiée(s) dans les meilleurs délais (voir: </w:t>
      </w:r>
      <w:hyperlink r:id="rId10" w:history="1">
        <w:r w:rsidRPr="009132C0">
          <w:rPr>
            <w:rStyle w:val="Hyperlink"/>
            <w:lang w:val="fr-CH"/>
          </w:rPr>
          <w:t>http://www.itu.int/pub/R-REC</w:t>
        </w:r>
      </w:hyperlink>
      <w:r w:rsidRPr="009132C0">
        <w:rPr>
          <w:u w:val="single"/>
          <w:lang w:val="fr-CH"/>
        </w:rPr>
        <w:t>)</w:t>
      </w:r>
      <w:r w:rsidRPr="009132C0">
        <w:rPr>
          <w:lang w:val="fr-CH"/>
        </w:rPr>
        <w:t>.</w:t>
      </w:r>
    </w:p>
    <w:p w:rsidR="00862EBC" w:rsidRDefault="00862EBC">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9132C0" w:rsidRPr="009132C0" w:rsidRDefault="009132C0" w:rsidP="009403E4">
      <w:pPr>
        <w:keepNext/>
        <w:keepLines/>
        <w:rPr>
          <w:lang w:val="fr-CH"/>
        </w:rPr>
      </w:pPr>
      <w:r w:rsidRPr="009132C0">
        <w:rPr>
          <w:lang w:val="fr-CH"/>
        </w:rPr>
        <w:lastRenderedPageBreak/>
        <w:t xml:space="preserve">Toute organisation membre de l'UIT ayant connaissance d'un brevet détenu en son sein ou par d'autres organismes, et susceptible de se rapporter complètement ou en partie à des éléments </w:t>
      </w:r>
      <w:r w:rsidR="009B3C1E">
        <w:rPr>
          <w:lang w:val="fr-CH"/>
        </w:rPr>
        <w:t>(</w:t>
      </w:r>
      <w:r w:rsidRPr="009132C0">
        <w:rPr>
          <w:lang w:val="fr-CH"/>
        </w:rPr>
        <w:t>d'un ou</w:t>
      </w:r>
      <w:r w:rsidR="009B3C1E">
        <w:rPr>
          <w:lang w:val="fr-CH"/>
        </w:rPr>
        <w:t>)</w:t>
      </w:r>
      <w:r w:rsidRPr="009132C0">
        <w:rPr>
          <w:lang w:val="fr-CH"/>
        </w:rPr>
        <w:t xml:space="preserve"> des projets de Recommandation mentionnés dans la présente lettre, est priée de transmettre lesdites informations au Secrétariat dans les meilleurs délais. La politique commune en matière de brevets de l'UIT-T/UIT-R/ISO/CEI est disponible à l'adresse: </w:t>
      </w:r>
      <w:r w:rsidRPr="009132C0">
        <w:rPr>
          <w:lang w:val="fr-CH"/>
        </w:rPr>
        <w:br/>
      </w:r>
      <w:hyperlink r:id="rId11" w:history="1">
        <w:r w:rsidRPr="0049662D">
          <w:rPr>
            <w:rStyle w:val="Hyperlink"/>
            <w:szCs w:val="24"/>
            <w:lang w:val="fr-CH"/>
          </w:rPr>
          <w:t>http://www.itu.int/en/ITU-T/ipr/Pages/policy.aspx</w:t>
        </w:r>
      </w:hyperlink>
      <w:r w:rsidRPr="009132C0">
        <w:rPr>
          <w:lang w:val="fr-CH"/>
        </w:rPr>
        <w:t>.</w:t>
      </w:r>
    </w:p>
    <w:p w:rsidR="009132C0" w:rsidRPr="009132C0" w:rsidRDefault="009132C0" w:rsidP="009132C0">
      <w:pPr>
        <w:rPr>
          <w:lang w:val="fr-CH"/>
        </w:rPr>
      </w:pPr>
    </w:p>
    <w:p w:rsidR="009132C0" w:rsidRPr="009132C0" w:rsidRDefault="009132C0" w:rsidP="009132C0">
      <w:pPr>
        <w:rPr>
          <w:lang w:val="fr-CH"/>
        </w:rPr>
      </w:pPr>
    </w:p>
    <w:p w:rsidR="009132C0" w:rsidRPr="009132C0" w:rsidRDefault="009132C0" w:rsidP="009132C0">
      <w:pPr>
        <w:rPr>
          <w:lang w:val="fr-CH"/>
        </w:rPr>
      </w:pPr>
    </w:p>
    <w:p w:rsidR="009132C0" w:rsidRDefault="009132C0" w:rsidP="009132C0">
      <w:pPr>
        <w:spacing w:before="0" w:line="240" w:lineRule="auto"/>
        <w:jc w:val="left"/>
        <w:rPr>
          <w:szCs w:val="24"/>
          <w:lang w:val="fr-FR"/>
        </w:rPr>
      </w:pPr>
      <w:r w:rsidRPr="00773F7E">
        <w:rPr>
          <w:szCs w:val="24"/>
          <w:lang w:val="fr-FR"/>
        </w:rPr>
        <w:t>François Rancy</w:t>
      </w:r>
      <w:r w:rsidRPr="00773F7E">
        <w:rPr>
          <w:szCs w:val="24"/>
          <w:lang w:val="fr-FR"/>
        </w:rPr>
        <w:br/>
        <w:t xml:space="preserve">Directeur </w:t>
      </w:r>
    </w:p>
    <w:p w:rsidR="009132C0" w:rsidRPr="00CC2DCD" w:rsidRDefault="009132C0" w:rsidP="009132C0">
      <w:pPr>
        <w:rPr>
          <w:lang w:val="fr-CH"/>
        </w:rPr>
      </w:pPr>
    </w:p>
    <w:p w:rsidR="009132C0" w:rsidRPr="00CC2DCD" w:rsidRDefault="009132C0" w:rsidP="009132C0">
      <w:pPr>
        <w:rPr>
          <w:lang w:val="fr-CH"/>
        </w:rPr>
      </w:pPr>
    </w:p>
    <w:p w:rsidR="009132C0" w:rsidRDefault="009132C0" w:rsidP="004222C6">
      <w:pPr>
        <w:tabs>
          <w:tab w:val="clear" w:pos="1191"/>
          <w:tab w:val="clear" w:pos="1588"/>
          <w:tab w:val="clear" w:pos="1985"/>
          <w:tab w:val="left" w:pos="1276"/>
          <w:tab w:val="left" w:pos="1701"/>
        </w:tabs>
        <w:rPr>
          <w:lang w:val="fr-CH"/>
        </w:rPr>
      </w:pPr>
      <w:r>
        <w:rPr>
          <w:b/>
          <w:bCs/>
          <w:lang w:val="fr-CH"/>
        </w:rPr>
        <w:t>Annexe</w:t>
      </w:r>
      <w:r>
        <w:rPr>
          <w:lang w:val="fr-CH"/>
        </w:rPr>
        <w:t>:</w:t>
      </w:r>
      <w:r>
        <w:rPr>
          <w:lang w:val="fr-CH"/>
        </w:rPr>
        <w:tab/>
      </w:r>
      <w:r w:rsidR="009403E4">
        <w:rPr>
          <w:lang w:val="fr-CH"/>
        </w:rPr>
        <w:tab/>
        <w:t>Titre et résumé d</w:t>
      </w:r>
      <w:r w:rsidR="00882970">
        <w:rPr>
          <w:lang w:val="fr-CH"/>
        </w:rPr>
        <w:t>u projet</w:t>
      </w:r>
      <w:r>
        <w:rPr>
          <w:lang w:val="fr-CH"/>
        </w:rPr>
        <w:t xml:space="preserve"> de Recommandation</w:t>
      </w:r>
    </w:p>
    <w:p w:rsidR="009403E4" w:rsidRDefault="009403E4" w:rsidP="009403E4">
      <w:pPr>
        <w:tabs>
          <w:tab w:val="clear" w:pos="1191"/>
          <w:tab w:val="clear" w:pos="1588"/>
          <w:tab w:val="clear" w:pos="1985"/>
          <w:tab w:val="left" w:pos="1276"/>
          <w:tab w:val="left" w:pos="1701"/>
        </w:tabs>
        <w:rPr>
          <w:lang w:val="fr-CH"/>
        </w:rPr>
      </w:pPr>
    </w:p>
    <w:p w:rsidR="009403E4" w:rsidRDefault="00882970" w:rsidP="003C7172">
      <w:pPr>
        <w:tabs>
          <w:tab w:val="clear" w:pos="1191"/>
          <w:tab w:val="clear" w:pos="1588"/>
          <w:tab w:val="left" w:pos="1134"/>
          <w:tab w:val="left" w:pos="1418"/>
          <w:tab w:val="left" w:pos="1701"/>
          <w:tab w:val="center" w:pos="7939"/>
          <w:tab w:val="right" w:pos="8505"/>
        </w:tabs>
        <w:rPr>
          <w:lang w:val="fr-CH"/>
        </w:rPr>
      </w:pPr>
      <w:r>
        <w:rPr>
          <w:b/>
          <w:bCs/>
          <w:lang w:val="fr-CH"/>
        </w:rPr>
        <w:t>Document</w:t>
      </w:r>
      <w:r w:rsidR="009403E4" w:rsidRPr="008D19AC">
        <w:rPr>
          <w:b/>
          <w:bCs/>
          <w:lang w:val="fr-CH"/>
        </w:rPr>
        <w:t>:</w:t>
      </w:r>
      <w:r w:rsidR="009403E4" w:rsidRPr="008D19AC">
        <w:rPr>
          <w:lang w:val="fr-CH"/>
        </w:rPr>
        <w:t xml:space="preserve">  </w:t>
      </w:r>
      <w:r w:rsidR="009403E4">
        <w:rPr>
          <w:lang w:val="fr-CH"/>
        </w:rPr>
        <w:tab/>
      </w:r>
      <w:r w:rsidR="009403E4">
        <w:rPr>
          <w:lang w:val="fr-CH"/>
        </w:rPr>
        <w:tab/>
      </w:r>
      <w:r w:rsidR="009403E4" w:rsidRPr="008D19AC">
        <w:rPr>
          <w:bCs/>
          <w:lang w:val="fr-CH"/>
        </w:rPr>
        <w:t>Document</w:t>
      </w:r>
      <w:r w:rsidR="009403E4" w:rsidRPr="008D19AC">
        <w:rPr>
          <w:lang w:val="fr-CH"/>
        </w:rPr>
        <w:t xml:space="preserve"> 4/BL/4</w:t>
      </w:r>
    </w:p>
    <w:p w:rsidR="009403E4" w:rsidRDefault="009403E4" w:rsidP="009403E4">
      <w:pPr>
        <w:tabs>
          <w:tab w:val="clear" w:pos="1191"/>
          <w:tab w:val="clear" w:pos="1588"/>
          <w:tab w:val="clear" w:pos="1985"/>
          <w:tab w:val="left" w:pos="1276"/>
          <w:tab w:val="left" w:pos="1701"/>
        </w:tabs>
        <w:rPr>
          <w:lang w:val="fr-CH"/>
        </w:rPr>
      </w:pPr>
    </w:p>
    <w:p w:rsidR="009132C0" w:rsidRDefault="009132C0" w:rsidP="00882970">
      <w:pPr>
        <w:tabs>
          <w:tab w:val="clear" w:pos="1985"/>
          <w:tab w:val="left" w:pos="1701"/>
        </w:tabs>
        <w:jc w:val="left"/>
        <w:rPr>
          <w:szCs w:val="24"/>
          <w:lang w:val="fr-CH"/>
        </w:rPr>
      </w:pPr>
      <w:r>
        <w:rPr>
          <w:lang w:val="fr-CH"/>
        </w:rPr>
        <w:t>C</w:t>
      </w:r>
      <w:r w:rsidRPr="00BD2CD3">
        <w:rPr>
          <w:lang w:val="fr-CH"/>
        </w:rPr>
        <w:t>e document</w:t>
      </w:r>
      <w:r w:rsidR="00882970">
        <w:rPr>
          <w:lang w:val="fr-CH"/>
        </w:rPr>
        <w:t xml:space="preserve"> est</w:t>
      </w:r>
      <w:r w:rsidRPr="00BD2CD3">
        <w:rPr>
          <w:lang w:val="fr-CH"/>
        </w:rPr>
        <w:t xml:space="preserve"> disponible en format électronique à l'adresse</w:t>
      </w:r>
      <w:r>
        <w:rPr>
          <w:lang w:val="fr-CH"/>
        </w:rPr>
        <w:t>:</w:t>
      </w:r>
      <w:r w:rsidR="009403E4">
        <w:rPr>
          <w:lang w:val="fr-CH"/>
        </w:rPr>
        <w:br/>
      </w:r>
      <w:hyperlink r:id="rId12" w:history="1">
        <w:r w:rsidR="005A503D" w:rsidRPr="002A2173">
          <w:rPr>
            <w:rStyle w:val="Hyperlink"/>
            <w:szCs w:val="24"/>
            <w:lang w:val="fr-CH"/>
          </w:rPr>
          <w:t>http://www.itu.int/rec/R-REC-BO/fr</w:t>
        </w:r>
      </w:hyperlink>
      <w:r w:rsidR="005A503D">
        <w:rPr>
          <w:szCs w:val="24"/>
          <w:lang w:val="fr-CH"/>
        </w:rPr>
        <w:t xml:space="preserve"> et </w:t>
      </w:r>
      <w:hyperlink r:id="rId13" w:history="1">
        <w:r w:rsidR="005A503D" w:rsidRPr="002A2173">
          <w:rPr>
            <w:rStyle w:val="Hyperlink"/>
            <w:szCs w:val="24"/>
            <w:lang w:val="fr-CH"/>
          </w:rPr>
          <w:t>http://www.itu.int/rec/R-REC-M/fr</w:t>
        </w:r>
      </w:hyperlink>
    </w:p>
    <w:p w:rsidR="005A503D" w:rsidRPr="005A503D" w:rsidRDefault="005A503D" w:rsidP="005A503D">
      <w:pPr>
        <w:tabs>
          <w:tab w:val="clear" w:pos="1985"/>
          <w:tab w:val="left" w:pos="1701"/>
        </w:tabs>
        <w:jc w:val="left"/>
        <w:rPr>
          <w:szCs w:val="24"/>
          <w:lang w:val="fr-CH"/>
        </w:rPr>
      </w:pPr>
    </w:p>
    <w:p w:rsidR="009132C0" w:rsidRDefault="009132C0" w:rsidP="009132C0">
      <w:pPr>
        <w:rPr>
          <w:lang w:val="fr-CH"/>
        </w:rPr>
      </w:pPr>
    </w:p>
    <w:p w:rsidR="009132C0" w:rsidRDefault="009132C0" w:rsidP="009132C0">
      <w:pPr>
        <w:rPr>
          <w:lang w:val="fr-CH"/>
        </w:rPr>
      </w:pPr>
    </w:p>
    <w:p w:rsidR="009132C0" w:rsidRDefault="009132C0" w:rsidP="009132C0">
      <w:pPr>
        <w:rPr>
          <w:lang w:val="fr-CH"/>
        </w:rPr>
      </w:pPr>
    </w:p>
    <w:p w:rsidR="009132C0" w:rsidRDefault="009132C0" w:rsidP="009132C0">
      <w:pPr>
        <w:rPr>
          <w:lang w:val="fr-CH"/>
        </w:rPr>
      </w:pPr>
    </w:p>
    <w:p w:rsidR="009132C0" w:rsidRDefault="009132C0" w:rsidP="009132C0">
      <w:pPr>
        <w:rPr>
          <w:lang w:val="fr-CH"/>
        </w:rPr>
      </w:pPr>
    </w:p>
    <w:p w:rsidR="009132C0" w:rsidRDefault="009132C0" w:rsidP="009132C0">
      <w:pPr>
        <w:tabs>
          <w:tab w:val="left" w:pos="284"/>
          <w:tab w:val="left" w:pos="568"/>
        </w:tabs>
        <w:spacing w:before="240" w:after="120"/>
        <w:rPr>
          <w:b/>
          <w:bCs/>
          <w:sz w:val="18"/>
          <w:szCs w:val="18"/>
          <w:lang w:val="fr-CH"/>
        </w:rPr>
      </w:pPr>
      <w:r w:rsidRPr="009132C0">
        <w:rPr>
          <w:b/>
          <w:bCs/>
          <w:sz w:val="18"/>
          <w:szCs w:val="18"/>
          <w:lang w:val="fr-CH"/>
        </w:rPr>
        <w:t>Distribution:</w:t>
      </w:r>
    </w:p>
    <w:p w:rsidR="009132C0" w:rsidRPr="00317319" w:rsidRDefault="009132C0" w:rsidP="00734CFF">
      <w:pPr>
        <w:spacing w:before="0" w:line="240" w:lineRule="auto"/>
        <w:ind w:left="567" w:hanging="567"/>
        <w:rPr>
          <w:sz w:val="18"/>
          <w:szCs w:val="18"/>
          <w:lang w:val="fr-CH"/>
        </w:rPr>
      </w:pPr>
      <w:r w:rsidRPr="009132C0">
        <w:rPr>
          <w:sz w:val="18"/>
          <w:szCs w:val="18"/>
          <w:lang w:val="fr-CH"/>
        </w:rPr>
        <w:t>–</w:t>
      </w:r>
      <w:r w:rsidRPr="009132C0">
        <w:rPr>
          <w:sz w:val="18"/>
          <w:szCs w:val="18"/>
          <w:lang w:val="fr-CH"/>
        </w:rPr>
        <w:tab/>
      </w:r>
      <w:r w:rsidRPr="00317319">
        <w:rPr>
          <w:sz w:val="18"/>
          <w:szCs w:val="18"/>
          <w:lang w:val="fr-CH"/>
        </w:rPr>
        <w:t>Administrations des Etats Membres de l'UIT et Membres du Secteur des radiocommunications participant aux tra</w:t>
      </w:r>
      <w:r w:rsidR="00E5305D">
        <w:rPr>
          <w:sz w:val="18"/>
          <w:szCs w:val="18"/>
          <w:lang w:val="fr-CH"/>
        </w:rPr>
        <w:t>vaux de la Commission d'études 4</w:t>
      </w:r>
      <w:r w:rsidRPr="00317319">
        <w:rPr>
          <w:sz w:val="18"/>
          <w:szCs w:val="18"/>
          <w:lang w:val="fr-CH"/>
        </w:rPr>
        <w:t xml:space="preserve"> des radiocommunications</w:t>
      </w:r>
    </w:p>
    <w:p w:rsidR="009132C0" w:rsidRPr="00317319" w:rsidRDefault="009132C0" w:rsidP="00734CFF">
      <w:pPr>
        <w:spacing w:before="0" w:line="240" w:lineRule="auto"/>
        <w:ind w:left="567" w:hanging="567"/>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E5305D">
        <w:rPr>
          <w:sz w:val="18"/>
          <w:szCs w:val="18"/>
          <w:lang w:val="fr-CH"/>
        </w:rPr>
        <w:t>4</w:t>
      </w:r>
      <w:r w:rsidRPr="00317319">
        <w:rPr>
          <w:sz w:val="18"/>
          <w:szCs w:val="18"/>
          <w:lang w:val="fr-CH"/>
        </w:rPr>
        <w:t xml:space="preserve"> des radiocommunications</w:t>
      </w:r>
    </w:p>
    <w:p w:rsidR="009132C0" w:rsidRDefault="009132C0" w:rsidP="00734CFF">
      <w:pPr>
        <w:tabs>
          <w:tab w:val="clear" w:pos="794"/>
          <w:tab w:val="left" w:pos="851"/>
        </w:tabs>
        <w:spacing w:before="0" w:line="240" w:lineRule="auto"/>
        <w:ind w:left="567" w:hanging="567"/>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9132C0" w:rsidRDefault="009132C0" w:rsidP="00734CFF">
      <w:pPr>
        <w:tabs>
          <w:tab w:val="clear" w:pos="794"/>
          <w:tab w:val="left" w:pos="709"/>
        </w:tabs>
        <w:spacing w:before="0" w:line="240" w:lineRule="auto"/>
        <w:ind w:left="567" w:hanging="567"/>
        <w:rPr>
          <w:sz w:val="18"/>
          <w:szCs w:val="18"/>
          <w:lang w:val="fr-CH"/>
        </w:rPr>
      </w:pPr>
      <w:r w:rsidRPr="00317319">
        <w:rPr>
          <w:sz w:val="18"/>
          <w:szCs w:val="18"/>
          <w:lang w:val="fr-CH"/>
        </w:rPr>
        <w:t>–</w:t>
      </w:r>
      <w:r w:rsidRPr="00317319">
        <w:rPr>
          <w:sz w:val="18"/>
          <w:szCs w:val="18"/>
          <w:lang w:val="fr-CH"/>
        </w:rPr>
        <w:tab/>
      </w:r>
      <w:r>
        <w:rPr>
          <w:sz w:val="18"/>
          <w:szCs w:val="18"/>
          <w:lang w:val="fr-CH"/>
        </w:rPr>
        <w:t>Président et Vice-Présidents de la Réunion de préparation à la Conférence</w:t>
      </w:r>
    </w:p>
    <w:p w:rsidR="009132C0" w:rsidRPr="00475B8F" w:rsidRDefault="009132C0" w:rsidP="00734CFF">
      <w:pPr>
        <w:tabs>
          <w:tab w:val="clear" w:pos="794"/>
          <w:tab w:val="left" w:pos="709"/>
        </w:tabs>
        <w:spacing w:before="0" w:line="240" w:lineRule="auto"/>
        <w:ind w:left="567" w:hanging="567"/>
        <w:rPr>
          <w:sz w:val="18"/>
          <w:szCs w:val="18"/>
          <w:lang w:val="fr-CH"/>
        </w:rPr>
      </w:pPr>
      <w:r w:rsidRPr="00317319">
        <w:rPr>
          <w:sz w:val="18"/>
          <w:szCs w:val="18"/>
          <w:lang w:val="fr-CH"/>
        </w:rPr>
        <w:t>–</w:t>
      </w:r>
      <w:r w:rsidRPr="00317319">
        <w:rPr>
          <w:sz w:val="18"/>
          <w:szCs w:val="18"/>
          <w:lang w:val="fr-CH"/>
        </w:rPr>
        <w:tab/>
      </w:r>
      <w:r>
        <w:rPr>
          <w:sz w:val="18"/>
          <w:szCs w:val="18"/>
          <w:lang w:val="fr-CH"/>
        </w:rPr>
        <w:t>Membres du Comité du Règlement des radiocommunications</w:t>
      </w:r>
    </w:p>
    <w:p w:rsidR="009132C0" w:rsidRPr="009132C0" w:rsidRDefault="009132C0" w:rsidP="00734CFF">
      <w:pPr>
        <w:tabs>
          <w:tab w:val="left" w:pos="567"/>
        </w:tabs>
        <w:spacing w:before="0" w:after="120" w:line="240" w:lineRule="auto"/>
        <w:ind w:left="567" w:hanging="567"/>
        <w:rPr>
          <w:sz w:val="18"/>
          <w:szCs w:val="18"/>
          <w:lang w:val="fr-CH"/>
        </w:rPr>
      </w:pPr>
      <w:r w:rsidRPr="00317319">
        <w:rPr>
          <w:sz w:val="18"/>
          <w:szCs w:val="18"/>
          <w:lang w:val="fr-CH"/>
        </w:rPr>
        <w:t>–</w:t>
      </w:r>
      <w:r w:rsidRPr="00317319">
        <w:rPr>
          <w:sz w:val="18"/>
          <w:szCs w:val="18"/>
          <w:lang w:val="fr-CH"/>
        </w:rPr>
        <w:tab/>
        <w:t xml:space="preserve">Secrétaire général de l'UIT, Directeur du Bureau de </w:t>
      </w:r>
      <w:r>
        <w:rPr>
          <w:sz w:val="18"/>
          <w:szCs w:val="18"/>
          <w:lang w:val="fr-CH"/>
        </w:rPr>
        <w:t xml:space="preserve">la </w:t>
      </w:r>
      <w:r w:rsidRPr="00317319">
        <w:rPr>
          <w:sz w:val="18"/>
          <w:szCs w:val="18"/>
          <w:lang w:val="fr-CH"/>
        </w:rPr>
        <w:t>normalisation des télécommunications, Directeur du Bureau de développement des télécommunications</w:t>
      </w:r>
    </w:p>
    <w:p w:rsidR="004A0B55" w:rsidRPr="004A0B55" w:rsidRDefault="004A0B55" w:rsidP="004A0B55">
      <w:pPr>
        <w:jc w:val="left"/>
        <w:rPr>
          <w:lang w:val="fr-CH"/>
        </w:rPr>
      </w:pPr>
      <w:r w:rsidRPr="004A0B55">
        <w:rPr>
          <w:lang w:val="fr-CH"/>
        </w:rPr>
        <w:br w:type="page"/>
      </w:r>
    </w:p>
    <w:p w:rsidR="00882970" w:rsidRPr="00882970" w:rsidRDefault="00882970" w:rsidP="00882970">
      <w:pPr>
        <w:pStyle w:val="AnnexNotitle0"/>
        <w:rPr>
          <w:rFonts w:asciiTheme="minorHAnsi" w:hAnsiTheme="minorHAnsi"/>
          <w:lang w:val="fr-CH"/>
        </w:rPr>
      </w:pPr>
      <w:r w:rsidRPr="00882970">
        <w:rPr>
          <w:rFonts w:asciiTheme="minorHAnsi" w:hAnsiTheme="minorHAnsi"/>
          <w:lang w:val="fr-CH"/>
        </w:rPr>
        <w:lastRenderedPageBreak/>
        <w:t>Annexe</w:t>
      </w:r>
    </w:p>
    <w:p w:rsidR="00882970" w:rsidRDefault="00882970" w:rsidP="00882970">
      <w:pPr>
        <w:pStyle w:val="AnnexNotitle0"/>
        <w:spacing w:before="240"/>
        <w:rPr>
          <w:rFonts w:asciiTheme="minorHAnsi" w:hAnsiTheme="minorHAnsi"/>
          <w:lang w:val="fr-CH"/>
        </w:rPr>
      </w:pPr>
      <w:r w:rsidRPr="00882970">
        <w:rPr>
          <w:rFonts w:asciiTheme="minorHAnsi" w:hAnsiTheme="minorHAnsi"/>
          <w:lang w:val="fr-CH"/>
        </w:rPr>
        <w:t xml:space="preserve">Titre et résumé du projet de Recommandation </w:t>
      </w:r>
      <w:r w:rsidRPr="00882970">
        <w:rPr>
          <w:rFonts w:asciiTheme="minorHAnsi" w:hAnsiTheme="minorHAnsi"/>
          <w:lang w:val="fr-CH"/>
        </w:rPr>
        <w:br/>
        <w:t>adopté par la Commission d'études 4 des radiocommunications</w:t>
      </w:r>
    </w:p>
    <w:p w:rsidR="00C14335" w:rsidRPr="00C14335" w:rsidRDefault="00C14335" w:rsidP="00C14335">
      <w:pPr>
        <w:pStyle w:val="Normalaftertitle"/>
        <w:rPr>
          <w:lang w:val="fr-CH"/>
        </w:rPr>
      </w:pPr>
    </w:p>
    <w:p w:rsidR="00882970" w:rsidRPr="00882970" w:rsidRDefault="00882970" w:rsidP="00C14335">
      <w:pPr>
        <w:tabs>
          <w:tab w:val="right" w:pos="9639"/>
        </w:tabs>
        <w:rPr>
          <w:rStyle w:val="href"/>
          <w:rFonts w:asciiTheme="minorHAnsi" w:hAnsiTheme="minorHAnsi" w:cstheme="majorBidi"/>
          <w:lang w:val="fr-CH"/>
        </w:rPr>
      </w:pPr>
      <w:r w:rsidRPr="00882970">
        <w:rPr>
          <w:rFonts w:asciiTheme="minorHAnsi" w:hAnsiTheme="minorHAnsi" w:cstheme="majorBidi"/>
          <w:u w:val="single"/>
          <w:lang w:val="fr-CH"/>
        </w:rPr>
        <w:t xml:space="preserve">Projet de révision de la Recommandation UIT-R </w:t>
      </w:r>
      <w:r w:rsidRPr="00882970">
        <w:rPr>
          <w:rStyle w:val="href"/>
          <w:rFonts w:asciiTheme="minorHAnsi" w:hAnsiTheme="minorHAnsi" w:cstheme="majorBidi"/>
          <w:u w:val="single"/>
          <w:lang w:val="fr-CH"/>
        </w:rPr>
        <w:t>BO.1443-2</w:t>
      </w:r>
      <w:r w:rsidRPr="00882970">
        <w:rPr>
          <w:rStyle w:val="href"/>
          <w:rFonts w:asciiTheme="minorHAnsi" w:hAnsiTheme="minorHAnsi" w:cstheme="majorBidi"/>
          <w:lang w:val="fr-CH"/>
        </w:rPr>
        <w:tab/>
        <w:t>Doc. 4/BL/4</w:t>
      </w:r>
    </w:p>
    <w:p w:rsidR="00882970" w:rsidRPr="00882970" w:rsidRDefault="00882970" w:rsidP="00882970">
      <w:pPr>
        <w:pStyle w:val="Rectitle"/>
        <w:rPr>
          <w:lang w:val="fr-CH"/>
        </w:rPr>
      </w:pPr>
      <w:r w:rsidRPr="00882970">
        <w:rPr>
          <w:lang w:val="fr-CH"/>
        </w:rPr>
        <w:t xml:space="preserve">Diagrammes de référence des antennes de stations terriennes du service de radiodiffusion par satellite à utiliser pour l'évaluation des brouillages faisant intervenir des satellites non géostationnaires dans les bandes </w:t>
      </w:r>
      <w:r w:rsidRPr="00882970">
        <w:rPr>
          <w:lang w:val="fr-CH"/>
        </w:rPr>
        <w:br/>
        <w:t>de fréquences visées à l'Appendice 30 du RR</w:t>
      </w:r>
    </w:p>
    <w:p w:rsidR="00882970" w:rsidRPr="00882970" w:rsidRDefault="00882970" w:rsidP="00882970">
      <w:pPr>
        <w:pStyle w:val="Normalaftertitle"/>
        <w:jc w:val="left"/>
        <w:rPr>
          <w:rFonts w:asciiTheme="minorHAnsi" w:hAnsiTheme="minorHAnsi"/>
          <w:lang w:val="fr-CH"/>
        </w:rPr>
      </w:pPr>
      <w:r w:rsidRPr="00882970">
        <w:rPr>
          <w:rFonts w:asciiTheme="minorHAnsi" w:hAnsiTheme="minorHAnsi"/>
          <w:lang w:val="fr-CH"/>
        </w:rPr>
        <w:t xml:space="preserve">La Recommandation </w:t>
      </w:r>
      <w:r w:rsidRPr="00B14373">
        <w:rPr>
          <w:rFonts w:asciiTheme="minorHAnsi" w:eastAsia="SimSun" w:hAnsiTheme="minorHAnsi" w:cstheme="majorBidi"/>
          <w:lang w:val="fr-CH"/>
        </w:rPr>
        <w:t>UIT-R BO.1443</w:t>
      </w:r>
      <w:r w:rsidRPr="00882970">
        <w:rPr>
          <w:rFonts w:asciiTheme="minorHAnsi" w:hAnsiTheme="minorHAnsi" w:cstheme="majorBidi"/>
          <w:lang w:val="fr-CH"/>
        </w:rPr>
        <w:t xml:space="preserve"> </w:t>
      </w:r>
      <w:r w:rsidRPr="00882970">
        <w:rPr>
          <w:rFonts w:asciiTheme="minorHAnsi" w:hAnsiTheme="minorHAnsi"/>
          <w:lang w:val="fr-CH"/>
        </w:rPr>
        <w:t xml:space="preserve">définit un diagramme de gain d'antenne pour les stations terriennes du SRS à utiliser dans les évaluations des brouillages faisant intervenir des satellites non OSG. Ce diagramme est utilisé, entre autres, pour vérifier que les réseaux à satellite non OSG du SFS respectent les limites d'epfd spécifiées dans l'Article </w:t>
      </w:r>
      <w:r w:rsidRPr="00882970">
        <w:rPr>
          <w:rFonts w:asciiTheme="minorHAnsi" w:hAnsiTheme="minorHAnsi"/>
          <w:b/>
          <w:bCs/>
          <w:lang w:val="fr-CH"/>
        </w:rPr>
        <w:t>22</w:t>
      </w:r>
      <w:r w:rsidRPr="00882970">
        <w:rPr>
          <w:rFonts w:asciiTheme="minorHAnsi" w:hAnsiTheme="minorHAnsi"/>
          <w:lang w:val="fr-CH"/>
        </w:rPr>
        <w:t xml:space="preserve"> du Règlement des radiocommunications. L'algorithme de base servant à calculer les valeurs d'epfd à utiliser pour l'analyse au titre de l'Article </w:t>
      </w:r>
      <w:r w:rsidRPr="00882970">
        <w:rPr>
          <w:rFonts w:asciiTheme="minorHAnsi" w:hAnsiTheme="minorHAnsi"/>
          <w:b/>
          <w:bCs/>
          <w:lang w:val="fr-CH"/>
        </w:rPr>
        <w:t>22</w:t>
      </w:r>
      <w:r w:rsidRPr="00882970">
        <w:rPr>
          <w:rFonts w:asciiTheme="minorHAnsi" w:hAnsiTheme="minorHAnsi"/>
          <w:lang w:val="fr-CH"/>
        </w:rPr>
        <w:t xml:space="preserve"> est défini dans la </w:t>
      </w:r>
      <w:r w:rsidRPr="00882970">
        <w:rPr>
          <w:rFonts w:asciiTheme="minorHAnsi" w:hAnsiTheme="minorHAnsi" w:cstheme="majorBidi"/>
          <w:lang w:val="fr-CH"/>
        </w:rPr>
        <w:t xml:space="preserve">Recommandation </w:t>
      </w:r>
      <w:bookmarkStart w:id="0" w:name="_GoBack"/>
      <w:bookmarkEnd w:id="0"/>
      <w:r w:rsidRPr="00B14373">
        <w:rPr>
          <w:rFonts w:asciiTheme="minorHAnsi" w:eastAsia="SimSun" w:hAnsiTheme="minorHAnsi" w:cstheme="majorBidi"/>
          <w:lang w:val="fr-CH"/>
        </w:rPr>
        <w:t>UIT-R S.1503</w:t>
      </w:r>
      <w:r w:rsidRPr="00882970">
        <w:rPr>
          <w:rFonts w:asciiTheme="minorHAnsi" w:hAnsiTheme="minorHAnsi"/>
          <w:lang w:val="fr-CH"/>
        </w:rPr>
        <w:t xml:space="preserve"> qui fait référence à des diagrammes de gain dans d'autres Recommandations, par exemple la Recommandation </w:t>
      </w:r>
      <w:r w:rsidR="00C14335">
        <w:rPr>
          <w:rFonts w:asciiTheme="minorHAnsi" w:hAnsiTheme="minorHAnsi"/>
          <w:lang w:val="fr-CH"/>
        </w:rPr>
        <w:br/>
      </w:r>
      <w:r w:rsidRPr="00882970">
        <w:rPr>
          <w:rFonts w:asciiTheme="minorHAnsi" w:hAnsiTheme="minorHAnsi"/>
          <w:lang w:val="fr-CH"/>
        </w:rPr>
        <w:t>UIT-R BO.1443.</w:t>
      </w:r>
    </w:p>
    <w:p w:rsidR="00882970" w:rsidRPr="00882970" w:rsidRDefault="00882970" w:rsidP="00882970">
      <w:pPr>
        <w:jc w:val="left"/>
        <w:rPr>
          <w:rFonts w:asciiTheme="minorHAnsi" w:hAnsiTheme="minorHAnsi"/>
          <w:lang w:val="fr-CH"/>
        </w:rPr>
      </w:pPr>
      <w:r w:rsidRPr="00882970">
        <w:rPr>
          <w:rFonts w:asciiTheme="minorHAnsi" w:hAnsiTheme="minorHAnsi"/>
          <w:lang w:val="fr-CH"/>
        </w:rPr>
        <w:t xml:space="preserve">Au cours de l'exécution du logiciel pour mettre en oeuvre la Recommandation UIT-R S.1503, </w:t>
      </w:r>
      <w:r w:rsidR="00C14335">
        <w:rPr>
          <w:rFonts w:asciiTheme="minorHAnsi" w:hAnsiTheme="minorHAnsi"/>
          <w:lang w:val="fr-CH"/>
        </w:rPr>
        <w:br/>
      </w:r>
      <w:r w:rsidRPr="00882970">
        <w:rPr>
          <w:rFonts w:asciiTheme="minorHAnsi" w:hAnsiTheme="minorHAnsi"/>
          <w:lang w:val="fr-CH"/>
        </w:rPr>
        <w:t xml:space="preserve">des erreurs d'ordre rédactionnel ont été relevées dans la Recommandation UIT-R BO.1443-2 et </w:t>
      </w:r>
      <w:r w:rsidR="00C14335">
        <w:rPr>
          <w:rFonts w:asciiTheme="minorHAnsi" w:hAnsiTheme="minorHAnsi"/>
          <w:lang w:val="fr-CH"/>
        </w:rPr>
        <w:br/>
      </w:r>
      <w:r w:rsidRPr="00882970">
        <w:rPr>
          <w:rFonts w:asciiTheme="minorHAnsi" w:hAnsiTheme="minorHAnsi"/>
          <w:lang w:val="fr-CH"/>
        </w:rPr>
        <w:t>on a estimé qu'il serait très utile de corriger ces erreurs. En particulier, il a été noté que, dans la Figure 1 de l'Annexe 2, les angles sphériques a et b ont été inversés.</w:t>
      </w:r>
    </w:p>
    <w:p w:rsidR="00882970" w:rsidRDefault="00882970" w:rsidP="0032202E">
      <w:pPr>
        <w:pStyle w:val="Reasons"/>
      </w:pPr>
    </w:p>
    <w:p w:rsidR="00882970" w:rsidRDefault="00882970" w:rsidP="00C14335">
      <w:pPr>
        <w:spacing w:before="600"/>
        <w:jc w:val="center"/>
      </w:pPr>
      <w:r>
        <w:t>______________</w:t>
      </w:r>
    </w:p>
    <w:p w:rsidR="004A0B55" w:rsidRPr="00773F7E" w:rsidRDefault="004A0B55" w:rsidP="00EE1A57">
      <w:pPr>
        <w:spacing w:before="0" w:line="240" w:lineRule="auto"/>
        <w:jc w:val="left"/>
        <w:rPr>
          <w:rFonts w:asciiTheme="minorHAnsi" w:hAnsiTheme="minorHAnsi" w:cstheme="minorHAnsi"/>
          <w:sz w:val="28"/>
          <w:szCs w:val="28"/>
          <w:lang w:val="fr-FR"/>
        </w:rPr>
      </w:pPr>
    </w:p>
    <w:sectPr w:rsidR="004A0B55" w:rsidRPr="00773F7E" w:rsidSect="00031E64">
      <w:headerReference w:type="even" r:id="rId14"/>
      <w:headerReference w:type="default" r:id="rId15"/>
      <w:foot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B55" w:rsidRDefault="004A0B55">
      <w:r>
        <w:separator/>
      </w:r>
    </w:p>
  </w:endnote>
  <w:endnote w:type="continuationSeparator" w:id="0">
    <w:p w:rsidR="004A0B55" w:rsidRDefault="004A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71" w:rsidRPr="00F52871" w:rsidRDefault="00F52871" w:rsidP="00F52871">
    <w:pPr>
      <w:pStyle w:val="Footer"/>
      <w:tabs>
        <w:tab w:val="clear" w:pos="4320"/>
        <w:tab w:val="clear" w:pos="8640"/>
        <w:tab w:val="center" w:pos="5954"/>
        <w:tab w:val="right" w:pos="9356"/>
      </w:tabs>
      <w:rPr>
        <w:sz w:val="16"/>
        <w:szCs w:val="16"/>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B55" w:rsidRDefault="004A0B55">
      <w:r>
        <w:t>____________________</w:t>
      </w:r>
    </w:p>
  </w:footnote>
  <w:footnote w:type="continuationSeparator" w:id="0">
    <w:p w:rsidR="004A0B55" w:rsidRDefault="004A0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A0D2B" w:rsidRDefault="00E5305D" w:rsidP="00CA0D2B">
    <w:pPr>
      <w:pStyle w:val="Header"/>
      <w:jc w:val="center"/>
      <w:rPr>
        <w:sz w:val="18"/>
        <w:szCs w:val="18"/>
      </w:rPr>
    </w:pPr>
    <w:r>
      <w:rPr>
        <w:rStyle w:val="PageNumber"/>
        <w:sz w:val="18"/>
        <w:szCs w:val="18"/>
      </w:rPr>
      <w:t xml:space="preserve">- </w:t>
    </w:r>
    <w:r w:rsidR="001B42C9" w:rsidRPr="00CA0D2B">
      <w:rPr>
        <w:rStyle w:val="PageNumber"/>
        <w:sz w:val="18"/>
        <w:szCs w:val="18"/>
      </w:rPr>
      <w:fldChar w:fldCharType="begin"/>
    </w:r>
    <w:r w:rsidR="00E915AF" w:rsidRPr="00CA0D2B">
      <w:rPr>
        <w:rStyle w:val="PageNumber"/>
        <w:sz w:val="18"/>
        <w:szCs w:val="18"/>
      </w:rPr>
      <w:instrText xml:space="preserve"> PAGE </w:instrText>
    </w:r>
    <w:r w:rsidR="001B42C9" w:rsidRPr="00CA0D2B">
      <w:rPr>
        <w:rStyle w:val="PageNumber"/>
        <w:sz w:val="18"/>
        <w:szCs w:val="18"/>
      </w:rPr>
      <w:fldChar w:fldCharType="separate"/>
    </w:r>
    <w:r w:rsidR="00B14373">
      <w:rPr>
        <w:rStyle w:val="PageNumber"/>
        <w:noProof/>
        <w:sz w:val="18"/>
        <w:szCs w:val="18"/>
      </w:rPr>
      <w:t>2</w:t>
    </w:r>
    <w:r w:rsidR="001B42C9" w:rsidRPr="00CA0D2B">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D2B" w:rsidRPr="00CA0D2B" w:rsidRDefault="00E5305D" w:rsidP="00CA0D2B">
    <w:pPr>
      <w:pStyle w:val="Header"/>
      <w:jc w:val="center"/>
      <w:rPr>
        <w:sz w:val="18"/>
        <w:szCs w:val="18"/>
      </w:rPr>
    </w:pPr>
    <w:r>
      <w:rPr>
        <w:rStyle w:val="PageNumber"/>
        <w:sz w:val="18"/>
        <w:szCs w:val="18"/>
      </w:rPr>
      <w:t xml:space="preserve">- </w:t>
    </w:r>
    <w:r w:rsidR="00CA0D2B" w:rsidRPr="00CA0D2B">
      <w:rPr>
        <w:rStyle w:val="PageNumber"/>
        <w:sz w:val="18"/>
        <w:szCs w:val="18"/>
      </w:rPr>
      <w:fldChar w:fldCharType="begin"/>
    </w:r>
    <w:r w:rsidR="00CA0D2B" w:rsidRPr="00CA0D2B">
      <w:rPr>
        <w:rStyle w:val="PageNumber"/>
        <w:sz w:val="18"/>
        <w:szCs w:val="18"/>
      </w:rPr>
      <w:instrText xml:space="preserve"> PAGE </w:instrText>
    </w:r>
    <w:r w:rsidR="00CA0D2B" w:rsidRPr="00CA0D2B">
      <w:rPr>
        <w:rStyle w:val="PageNumber"/>
        <w:sz w:val="18"/>
        <w:szCs w:val="18"/>
      </w:rPr>
      <w:fldChar w:fldCharType="separate"/>
    </w:r>
    <w:r w:rsidR="00B14373">
      <w:rPr>
        <w:rStyle w:val="PageNumber"/>
        <w:noProof/>
        <w:sz w:val="18"/>
        <w:szCs w:val="18"/>
      </w:rPr>
      <w:t>3</w:t>
    </w:r>
    <w:r w:rsidR="00CA0D2B" w:rsidRPr="00CA0D2B">
      <w:rPr>
        <w:rStyle w:val="PageNumber"/>
        <w:sz w:val="18"/>
        <w:szCs w:val="18"/>
      </w:rPr>
      <w:fldChar w:fldCharType="end"/>
    </w:r>
    <w:r>
      <w:rPr>
        <w:rStyle w:val="PageNumber"/>
        <w:sz w:val="18"/>
        <w:szCs w:val="18"/>
      </w:rPr>
      <w:t xml:space="preserve"> -</w:t>
    </w:r>
  </w:p>
  <w:p w:rsidR="00E915AF" w:rsidRPr="00CA0D2B" w:rsidRDefault="00E915AF" w:rsidP="00CA0D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A0B5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6382"/>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51FA"/>
    <w:rsid w:val="00257A5F"/>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67DDC"/>
    <w:rsid w:val="0037309C"/>
    <w:rsid w:val="00380A6E"/>
    <w:rsid w:val="003836D4"/>
    <w:rsid w:val="003A1F49"/>
    <w:rsid w:val="003A55ED"/>
    <w:rsid w:val="003A5D52"/>
    <w:rsid w:val="003B2BDA"/>
    <w:rsid w:val="003B55EC"/>
    <w:rsid w:val="003B681B"/>
    <w:rsid w:val="003C2EA7"/>
    <w:rsid w:val="003C4471"/>
    <w:rsid w:val="003C7172"/>
    <w:rsid w:val="003C7D41"/>
    <w:rsid w:val="003D4418"/>
    <w:rsid w:val="003D4A69"/>
    <w:rsid w:val="003E504F"/>
    <w:rsid w:val="003E78D6"/>
    <w:rsid w:val="00400573"/>
    <w:rsid w:val="004007A3"/>
    <w:rsid w:val="00406D71"/>
    <w:rsid w:val="00411CB3"/>
    <w:rsid w:val="004222C6"/>
    <w:rsid w:val="004326DB"/>
    <w:rsid w:val="0043682E"/>
    <w:rsid w:val="00447ECB"/>
    <w:rsid w:val="004623F7"/>
    <w:rsid w:val="004809B3"/>
    <w:rsid w:val="00480F51"/>
    <w:rsid w:val="00481124"/>
    <w:rsid w:val="004815EB"/>
    <w:rsid w:val="00487569"/>
    <w:rsid w:val="00496864"/>
    <w:rsid w:val="00496920"/>
    <w:rsid w:val="004A0B55"/>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503D"/>
    <w:rsid w:val="005A79E9"/>
    <w:rsid w:val="005B214C"/>
    <w:rsid w:val="005B4CDA"/>
    <w:rsid w:val="005B62F0"/>
    <w:rsid w:val="005C749F"/>
    <w:rsid w:val="005D3669"/>
    <w:rsid w:val="005E5EB3"/>
    <w:rsid w:val="005F3CB6"/>
    <w:rsid w:val="005F657C"/>
    <w:rsid w:val="00602D53"/>
    <w:rsid w:val="006047E5"/>
    <w:rsid w:val="0064371D"/>
    <w:rsid w:val="00650543"/>
    <w:rsid w:val="00650B2A"/>
    <w:rsid w:val="00651777"/>
    <w:rsid w:val="006550F8"/>
    <w:rsid w:val="00665C64"/>
    <w:rsid w:val="006829F3"/>
    <w:rsid w:val="006A518B"/>
    <w:rsid w:val="006B0590"/>
    <w:rsid w:val="006B49DA"/>
    <w:rsid w:val="006C53F8"/>
    <w:rsid w:val="006C7CDE"/>
    <w:rsid w:val="007234B1"/>
    <w:rsid w:val="00723D08"/>
    <w:rsid w:val="00725FDA"/>
    <w:rsid w:val="00727816"/>
    <w:rsid w:val="00730B9A"/>
    <w:rsid w:val="00734CFF"/>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00EA"/>
    <w:rsid w:val="00854131"/>
    <w:rsid w:val="0085652D"/>
    <w:rsid w:val="00862EBC"/>
    <w:rsid w:val="0087694B"/>
    <w:rsid w:val="00880F4D"/>
    <w:rsid w:val="00882970"/>
    <w:rsid w:val="008B3046"/>
    <w:rsid w:val="008B35A3"/>
    <w:rsid w:val="008B37E1"/>
    <w:rsid w:val="008B45F8"/>
    <w:rsid w:val="008C2E74"/>
    <w:rsid w:val="008D5409"/>
    <w:rsid w:val="008E006D"/>
    <w:rsid w:val="008E38B4"/>
    <w:rsid w:val="008F4F21"/>
    <w:rsid w:val="00904D4A"/>
    <w:rsid w:val="009076D7"/>
    <w:rsid w:val="009132C0"/>
    <w:rsid w:val="009151BA"/>
    <w:rsid w:val="00925023"/>
    <w:rsid w:val="009277BC"/>
    <w:rsid w:val="00927D57"/>
    <w:rsid w:val="00931A51"/>
    <w:rsid w:val="009403E4"/>
    <w:rsid w:val="009445EF"/>
    <w:rsid w:val="00947185"/>
    <w:rsid w:val="009518B3"/>
    <w:rsid w:val="00963D9D"/>
    <w:rsid w:val="0098013E"/>
    <w:rsid w:val="00981B54"/>
    <w:rsid w:val="009842C3"/>
    <w:rsid w:val="009A009A"/>
    <w:rsid w:val="009A6BB6"/>
    <w:rsid w:val="009B284B"/>
    <w:rsid w:val="009B3C1E"/>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E7A0D"/>
    <w:rsid w:val="00AF3325"/>
    <w:rsid w:val="00AF34D9"/>
    <w:rsid w:val="00AF70DA"/>
    <w:rsid w:val="00B019D3"/>
    <w:rsid w:val="00B1437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4335"/>
    <w:rsid w:val="00C16FD2"/>
    <w:rsid w:val="00C4008B"/>
    <w:rsid w:val="00C4395E"/>
    <w:rsid w:val="00C47FFD"/>
    <w:rsid w:val="00C51E92"/>
    <w:rsid w:val="00C57E2C"/>
    <w:rsid w:val="00C608B7"/>
    <w:rsid w:val="00C66F24"/>
    <w:rsid w:val="00C76D7F"/>
    <w:rsid w:val="00C813AA"/>
    <w:rsid w:val="00C9291E"/>
    <w:rsid w:val="00CA0D2B"/>
    <w:rsid w:val="00CA3F44"/>
    <w:rsid w:val="00CA4E58"/>
    <w:rsid w:val="00CB3771"/>
    <w:rsid w:val="00CB44BF"/>
    <w:rsid w:val="00CB5153"/>
    <w:rsid w:val="00CE076A"/>
    <w:rsid w:val="00CE2B01"/>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5D"/>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871"/>
    <w:rsid w:val="00F52F39"/>
    <w:rsid w:val="00F6184F"/>
    <w:rsid w:val="00F8310E"/>
    <w:rsid w:val="00F914DD"/>
    <w:rsid w:val="00F9405E"/>
    <w:rsid w:val="00FA2358"/>
    <w:rsid w:val="00FB2592"/>
    <w:rsid w:val="00FB2810"/>
    <w:rsid w:val="00FB3A5C"/>
    <w:rsid w:val="00FB7A2C"/>
    <w:rsid w:val="00FC2947"/>
    <w:rsid w:val="00FE0818"/>
    <w:rsid w:val="00FE6FB1"/>
    <w:rsid w:val="00FF33EF"/>
    <w:rsid w:val="00FF59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4A0B5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4A0B5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rsid w:val="00E5305D"/>
    <w:rPr>
      <w:b/>
      <w:sz w:val="28"/>
      <w:szCs w:val="22"/>
      <w:lang w:val="en-US" w:eastAsia="en-US"/>
    </w:rPr>
  </w:style>
  <w:style w:type="character" w:styleId="FollowedHyperlink">
    <w:name w:val="FollowedHyperlink"/>
    <w:basedOn w:val="DefaultParagraphFont"/>
    <w:rsid w:val="005A50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4A0B5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4A0B5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rsid w:val="00E5305D"/>
    <w:rPr>
      <w:b/>
      <w:sz w:val="28"/>
      <w:szCs w:val="22"/>
      <w:lang w:val="en-US" w:eastAsia="en-US"/>
    </w:rPr>
  </w:style>
  <w:style w:type="character" w:styleId="FollowedHyperlink">
    <w:name w:val="FollowedHyperlink"/>
    <w:basedOn w:val="DefaultParagraphFont"/>
    <w:rsid w:val="005A50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R-REC-M/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BO/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pub/R-RE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BCB57-16DC-4B20-B82F-ADA276F0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37</TotalTime>
  <Pages>3</Pages>
  <Words>713</Words>
  <Characters>4632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ITU</cp:lastModifiedBy>
  <cp:revision>16</cp:revision>
  <cp:lastPrinted>2013-10-29T12:25:00Z</cp:lastPrinted>
  <dcterms:created xsi:type="dcterms:W3CDTF">2014-01-06T14:22:00Z</dcterms:created>
  <dcterms:modified xsi:type="dcterms:W3CDTF">2014-05-09T11:30:00Z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