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384"/>
        <w:gridCol w:w="142"/>
        <w:gridCol w:w="3543"/>
        <w:gridCol w:w="284"/>
        <w:gridCol w:w="4536"/>
      </w:tblGrid>
      <w:tr w:rsidR="00EA15B3" w:rsidRPr="00F42C8C" w:rsidTr="00EA15B3">
        <w:tc>
          <w:tcPr>
            <w:tcW w:w="9889" w:type="dxa"/>
            <w:gridSpan w:val="5"/>
          </w:tcPr>
          <w:p w:rsidR="00EA15B3" w:rsidRPr="00D2339B" w:rsidRDefault="00C764BA" w:rsidP="00F914DD">
            <w:pPr>
              <w:jc w:val="left"/>
              <w:rPr>
                <w:rFonts w:cs="Times New Roman Bold"/>
                <w:b/>
                <w:bCs/>
                <w:color w:val="808080"/>
                <w:sz w:val="28"/>
                <w:szCs w:val="28"/>
              </w:rPr>
            </w:pPr>
            <w:bookmarkStart w:id="0" w:name="Logo"/>
            <w:bookmarkStart w:id="1" w:name="Origine"/>
            <w:bookmarkEnd w:id="0"/>
            <w:bookmarkEnd w:id="1"/>
            <w:r w:rsidRPr="0054055F">
              <w:rPr>
                <w:rFonts w:cstheme="minorHAnsi"/>
                <w:b/>
                <w:bCs/>
                <w:color w:val="808080"/>
                <w:sz w:val="28"/>
                <w:szCs w:val="28"/>
              </w:rPr>
              <w:t>Oficina de Radiocomunicaciones (BR)</w:t>
            </w:r>
          </w:p>
        </w:tc>
      </w:tr>
      <w:tr w:rsidR="00EA15B3" w:rsidRPr="00F42C8C" w:rsidTr="00EA15B3">
        <w:tc>
          <w:tcPr>
            <w:tcW w:w="9889" w:type="dxa"/>
            <w:gridSpan w:val="5"/>
          </w:tcPr>
          <w:p w:rsidR="00EA15B3" w:rsidRPr="00F42C8C" w:rsidRDefault="00EA15B3" w:rsidP="00EA15B3">
            <w:pPr>
              <w:jc w:val="left"/>
            </w:pPr>
          </w:p>
        </w:tc>
      </w:tr>
      <w:tr w:rsidR="00651777" w:rsidRPr="009B5679" w:rsidTr="00651777">
        <w:tc>
          <w:tcPr>
            <w:tcW w:w="5353" w:type="dxa"/>
            <w:gridSpan w:val="4"/>
          </w:tcPr>
          <w:p w:rsidR="00651777" w:rsidRPr="009B5679" w:rsidRDefault="00CD0E47" w:rsidP="00A74631">
            <w:pPr>
              <w:tabs>
                <w:tab w:val="left" w:pos="7513"/>
              </w:tabs>
              <w:jc w:val="left"/>
              <w:rPr>
                <w:sz w:val="24"/>
                <w:szCs w:val="24"/>
              </w:rPr>
            </w:pPr>
            <w:r w:rsidRPr="009B5679">
              <w:rPr>
                <w:sz w:val="24"/>
                <w:szCs w:val="24"/>
              </w:rPr>
              <w:t>Circular Administrativa</w:t>
            </w:r>
            <w:r w:rsidRPr="009B5679">
              <w:rPr>
                <w:sz w:val="24"/>
                <w:szCs w:val="24"/>
              </w:rPr>
              <w:br/>
            </w:r>
            <w:bookmarkStart w:id="2" w:name="dnum"/>
            <w:bookmarkEnd w:id="2"/>
            <w:r w:rsidRPr="009B5679">
              <w:rPr>
                <w:b/>
                <w:bCs/>
                <w:sz w:val="24"/>
                <w:szCs w:val="24"/>
              </w:rPr>
              <w:t>CACE/</w:t>
            </w:r>
            <w:r w:rsidR="00A74631" w:rsidRPr="009B5679">
              <w:rPr>
                <w:b/>
                <w:bCs/>
                <w:sz w:val="24"/>
                <w:szCs w:val="24"/>
              </w:rPr>
              <w:t>658</w:t>
            </w:r>
          </w:p>
        </w:tc>
        <w:tc>
          <w:tcPr>
            <w:tcW w:w="4536" w:type="dxa"/>
          </w:tcPr>
          <w:p w:rsidR="00651777" w:rsidRPr="009B5679" w:rsidRDefault="00A74631" w:rsidP="00E20591">
            <w:pPr>
              <w:jc w:val="right"/>
              <w:rPr>
                <w:sz w:val="24"/>
                <w:szCs w:val="24"/>
              </w:rPr>
            </w:pPr>
            <w:r w:rsidRPr="009B5679">
              <w:rPr>
                <w:bCs/>
                <w:sz w:val="24"/>
                <w:szCs w:val="24"/>
                <w:lang w:val="es-ES"/>
              </w:rPr>
              <w:t>1</w:t>
            </w:r>
            <w:r w:rsidR="00E20591" w:rsidRPr="009B5679">
              <w:rPr>
                <w:bCs/>
                <w:sz w:val="24"/>
                <w:szCs w:val="24"/>
                <w:lang w:val="es-ES"/>
              </w:rPr>
              <w:t>3</w:t>
            </w:r>
            <w:r w:rsidRPr="009B5679">
              <w:rPr>
                <w:bCs/>
                <w:sz w:val="24"/>
                <w:szCs w:val="24"/>
                <w:lang w:val="es-ES"/>
              </w:rPr>
              <w:t xml:space="preserve"> de enero de</w:t>
            </w:r>
            <w:r w:rsidR="0029081F" w:rsidRPr="009B5679">
              <w:rPr>
                <w:bCs/>
                <w:sz w:val="24"/>
                <w:szCs w:val="24"/>
                <w:lang w:val="es-ES"/>
              </w:rPr>
              <w:t xml:space="preserve"> 2014</w:t>
            </w:r>
          </w:p>
        </w:tc>
      </w:tr>
      <w:tr w:rsidR="00D2339B" w:rsidRPr="009B5679" w:rsidTr="00D2339B">
        <w:tc>
          <w:tcPr>
            <w:tcW w:w="1384" w:type="dxa"/>
          </w:tcPr>
          <w:p w:rsidR="00D2339B" w:rsidRPr="009B5679" w:rsidRDefault="00D2339B" w:rsidP="00651777">
            <w:pPr>
              <w:spacing w:before="0"/>
              <w:jc w:val="left"/>
              <w:rPr>
                <w:sz w:val="24"/>
                <w:szCs w:val="24"/>
              </w:rPr>
            </w:pPr>
          </w:p>
        </w:tc>
        <w:tc>
          <w:tcPr>
            <w:tcW w:w="3685" w:type="dxa"/>
            <w:gridSpan w:val="2"/>
          </w:tcPr>
          <w:p w:rsidR="00D2339B" w:rsidRPr="009B5679" w:rsidRDefault="00D2339B" w:rsidP="00651777">
            <w:pPr>
              <w:spacing w:before="0"/>
              <w:jc w:val="left"/>
              <w:rPr>
                <w:sz w:val="24"/>
                <w:szCs w:val="24"/>
              </w:rPr>
            </w:pPr>
          </w:p>
        </w:tc>
        <w:tc>
          <w:tcPr>
            <w:tcW w:w="284" w:type="dxa"/>
          </w:tcPr>
          <w:p w:rsidR="00D2339B" w:rsidRPr="009B5679" w:rsidRDefault="00D2339B" w:rsidP="00651777">
            <w:pPr>
              <w:spacing w:before="0"/>
              <w:rPr>
                <w:sz w:val="24"/>
                <w:szCs w:val="24"/>
              </w:rPr>
            </w:pPr>
          </w:p>
        </w:tc>
        <w:tc>
          <w:tcPr>
            <w:tcW w:w="4536" w:type="dxa"/>
          </w:tcPr>
          <w:p w:rsidR="00D2339B" w:rsidRPr="009B5679" w:rsidRDefault="00D2339B" w:rsidP="00651777">
            <w:pPr>
              <w:spacing w:before="0"/>
              <w:rPr>
                <w:sz w:val="24"/>
                <w:szCs w:val="24"/>
              </w:rPr>
            </w:pPr>
          </w:p>
        </w:tc>
      </w:tr>
      <w:tr w:rsidR="00D2339B" w:rsidRPr="009B5679" w:rsidTr="00EA15B3">
        <w:tc>
          <w:tcPr>
            <w:tcW w:w="9889" w:type="dxa"/>
            <w:gridSpan w:val="5"/>
          </w:tcPr>
          <w:p w:rsidR="00D2339B" w:rsidRPr="009B5679" w:rsidRDefault="00CD0E47" w:rsidP="00A74631">
            <w:pPr>
              <w:jc w:val="left"/>
              <w:rPr>
                <w:b/>
                <w:sz w:val="24"/>
                <w:szCs w:val="24"/>
              </w:rPr>
            </w:pPr>
            <w:r w:rsidRPr="009B5679">
              <w:rPr>
                <w:b/>
                <w:sz w:val="24"/>
                <w:szCs w:val="24"/>
              </w:rPr>
              <w:t>A las Administraciones de los Estados Miembros de la UIT, a los Miembros</w:t>
            </w:r>
            <w:r w:rsidR="00246864" w:rsidRPr="009B5679">
              <w:rPr>
                <w:b/>
                <w:sz w:val="24"/>
                <w:szCs w:val="24"/>
              </w:rPr>
              <w:t xml:space="preserve"> </w:t>
            </w:r>
            <w:r w:rsidRPr="009B5679">
              <w:rPr>
                <w:b/>
                <w:sz w:val="24"/>
                <w:szCs w:val="24"/>
              </w:rPr>
              <w:t>del Sector de Radiocomunicaciones y a los Asociados del UIT-R que participan</w:t>
            </w:r>
            <w:r w:rsidR="00246864" w:rsidRPr="009B5679">
              <w:rPr>
                <w:b/>
                <w:sz w:val="24"/>
                <w:szCs w:val="24"/>
              </w:rPr>
              <w:t xml:space="preserve"> </w:t>
            </w:r>
            <w:r w:rsidRPr="009B5679">
              <w:rPr>
                <w:b/>
                <w:sz w:val="24"/>
                <w:szCs w:val="24"/>
              </w:rPr>
              <w:t xml:space="preserve">en los trabajos de la </w:t>
            </w:r>
            <w:r w:rsidR="00246864" w:rsidRPr="009B5679">
              <w:rPr>
                <w:b/>
                <w:sz w:val="24"/>
                <w:szCs w:val="24"/>
              </w:rPr>
              <w:br/>
            </w:r>
            <w:r w:rsidRPr="009B5679">
              <w:rPr>
                <w:b/>
                <w:sz w:val="24"/>
                <w:szCs w:val="24"/>
              </w:rPr>
              <w:t xml:space="preserve">Comisión de Estudio </w:t>
            </w:r>
            <w:r w:rsidR="00A74631" w:rsidRPr="009B5679">
              <w:rPr>
                <w:b/>
                <w:sz w:val="24"/>
                <w:szCs w:val="24"/>
              </w:rPr>
              <w:t>4</w:t>
            </w:r>
            <w:r w:rsidRPr="009B5679">
              <w:rPr>
                <w:b/>
                <w:sz w:val="24"/>
                <w:szCs w:val="24"/>
              </w:rPr>
              <w:t xml:space="preserve"> de </w:t>
            </w:r>
            <w:r w:rsidR="006C04E0" w:rsidRPr="009B5679">
              <w:rPr>
                <w:b/>
                <w:sz w:val="24"/>
                <w:szCs w:val="24"/>
              </w:rPr>
              <w:t>Radiocomunicaciones</w:t>
            </w:r>
          </w:p>
          <w:p w:rsidR="00CD0E47" w:rsidRPr="009B5679" w:rsidRDefault="00CD0E47" w:rsidP="00CD0E47">
            <w:pPr>
              <w:jc w:val="left"/>
              <w:rPr>
                <w:sz w:val="24"/>
                <w:szCs w:val="24"/>
              </w:rPr>
            </w:pPr>
          </w:p>
        </w:tc>
      </w:tr>
      <w:tr w:rsidR="00CD0E47" w:rsidRPr="009B5679" w:rsidTr="00471EDA">
        <w:tc>
          <w:tcPr>
            <w:tcW w:w="1526" w:type="dxa"/>
            <w:gridSpan w:val="2"/>
            <w:shd w:val="clear" w:color="auto" w:fill="auto"/>
          </w:tcPr>
          <w:p w:rsidR="00CD0E47" w:rsidRPr="009B5679" w:rsidRDefault="00CD0E47" w:rsidP="006C04E0">
            <w:pPr>
              <w:spacing w:before="0"/>
              <w:jc w:val="left"/>
              <w:rPr>
                <w:sz w:val="24"/>
                <w:szCs w:val="24"/>
              </w:rPr>
            </w:pPr>
            <w:bookmarkStart w:id="3" w:name="Formula"/>
            <w:bookmarkStart w:id="4" w:name="MainStory"/>
            <w:bookmarkStart w:id="5" w:name="CurrentLocation"/>
            <w:bookmarkEnd w:id="3"/>
            <w:bookmarkEnd w:id="4"/>
            <w:bookmarkEnd w:id="5"/>
            <w:r w:rsidRPr="009B5679">
              <w:rPr>
                <w:sz w:val="24"/>
                <w:szCs w:val="24"/>
              </w:rPr>
              <w:t>Objeto</w:t>
            </w:r>
            <w:r w:rsidR="006C04E0" w:rsidRPr="009B5679">
              <w:rPr>
                <w:sz w:val="24"/>
                <w:szCs w:val="24"/>
              </w:rPr>
              <w:t>:</w:t>
            </w:r>
          </w:p>
        </w:tc>
        <w:tc>
          <w:tcPr>
            <w:tcW w:w="8363" w:type="dxa"/>
            <w:gridSpan w:val="3"/>
            <w:vMerge w:val="restart"/>
            <w:shd w:val="clear" w:color="auto" w:fill="auto"/>
          </w:tcPr>
          <w:p w:rsidR="00CD0E47" w:rsidRPr="009B5679" w:rsidRDefault="00CD0E47" w:rsidP="00A74631">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9B5679">
              <w:rPr>
                <w:b/>
                <w:bCs/>
                <w:sz w:val="24"/>
                <w:szCs w:val="24"/>
              </w:rPr>
              <w:t xml:space="preserve">Comisión de Estudio </w:t>
            </w:r>
            <w:r w:rsidR="00A74631" w:rsidRPr="009B5679">
              <w:rPr>
                <w:b/>
                <w:bCs/>
                <w:sz w:val="24"/>
                <w:szCs w:val="24"/>
              </w:rPr>
              <w:t>4</w:t>
            </w:r>
            <w:r w:rsidRPr="009B5679">
              <w:rPr>
                <w:b/>
                <w:bCs/>
                <w:sz w:val="24"/>
                <w:szCs w:val="24"/>
              </w:rPr>
              <w:t xml:space="preserve"> de Radiocomunicaciones </w:t>
            </w:r>
            <w:r w:rsidR="00A74631" w:rsidRPr="009B5679">
              <w:rPr>
                <w:b/>
                <w:bCs/>
                <w:sz w:val="24"/>
                <w:szCs w:val="24"/>
              </w:rPr>
              <w:t>(</w:t>
            </w:r>
            <w:r w:rsidR="00A74631" w:rsidRPr="009B5679">
              <w:rPr>
                <w:b/>
                <w:sz w:val="24"/>
                <w:szCs w:val="24"/>
              </w:rPr>
              <w:t>Servicios por satélite)</w:t>
            </w:r>
          </w:p>
          <w:p w:rsidR="00CD0E47" w:rsidRPr="009B5679" w:rsidRDefault="00CD0E47" w:rsidP="009B5679">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9B5679">
              <w:rPr>
                <w:sz w:val="24"/>
                <w:szCs w:val="24"/>
              </w:rPr>
              <w:t>–</w:t>
            </w:r>
            <w:r w:rsidRPr="009B5679">
              <w:rPr>
                <w:b/>
                <w:bCs/>
                <w:sz w:val="24"/>
                <w:szCs w:val="24"/>
              </w:rPr>
              <w:tab/>
              <w:t xml:space="preserve">Adopción de </w:t>
            </w:r>
            <w:r w:rsidR="00A74631" w:rsidRPr="009B5679">
              <w:rPr>
                <w:b/>
                <w:bCs/>
                <w:sz w:val="24"/>
                <w:szCs w:val="24"/>
              </w:rPr>
              <w:t>2</w:t>
            </w:r>
            <w:r w:rsidRPr="009B5679">
              <w:rPr>
                <w:b/>
                <w:bCs/>
                <w:sz w:val="24"/>
                <w:szCs w:val="24"/>
              </w:rPr>
              <w:t xml:space="preserve"> </w:t>
            </w:r>
            <w:r w:rsidR="00DF0A6C" w:rsidRPr="009B5679">
              <w:rPr>
                <w:b/>
                <w:sz w:val="24"/>
                <w:szCs w:val="24"/>
              </w:rPr>
              <w:t>nuevas</w:t>
            </w:r>
            <w:r w:rsidR="00DF0A6C" w:rsidRPr="009B5679">
              <w:rPr>
                <w:b/>
                <w:bCs/>
                <w:sz w:val="24"/>
                <w:szCs w:val="24"/>
              </w:rPr>
              <w:t xml:space="preserve"> </w:t>
            </w:r>
            <w:r w:rsidRPr="009B5679">
              <w:rPr>
                <w:b/>
                <w:bCs/>
                <w:sz w:val="24"/>
                <w:szCs w:val="24"/>
              </w:rPr>
              <w:t>Recomendaci</w:t>
            </w:r>
            <w:r w:rsidR="009B5679">
              <w:rPr>
                <w:b/>
                <w:bCs/>
                <w:sz w:val="24"/>
                <w:szCs w:val="24"/>
              </w:rPr>
              <w:t>o</w:t>
            </w:r>
            <w:r w:rsidRPr="009B5679">
              <w:rPr>
                <w:b/>
                <w:bCs/>
                <w:sz w:val="24"/>
                <w:szCs w:val="24"/>
              </w:rPr>
              <w:t xml:space="preserve">nes </w:t>
            </w:r>
            <w:r w:rsidR="00DF0A6C" w:rsidRPr="009B5679">
              <w:rPr>
                <w:b/>
                <w:bCs/>
                <w:sz w:val="24"/>
                <w:szCs w:val="24"/>
              </w:rPr>
              <w:t xml:space="preserve">UIT-R </w:t>
            </w:r>
            <w:r w:rsidRPr="009B5679">
              <w:rPr>
                <w:b/>
                <w:bCs/>
                <w:sz w:val="24"/>
                <w:szCs w:val="24"/>
              </w:rPr>
              <w:t xml:space="preserve">y </w:t>
            </w:r>
            <w:r w:rsidR="00A74631" w:rsidRPr="009B5679">
              <w:rPr>
                <w:b/>
                <w:bCs/>
                <w:sz w:val="24"/>
                <w:szCs w:val="24"/>
              </w:rPr>
              <w:t>3</w:t>
            </w:r>
            <w:r w:rsidRPr="009B5679">
              <w:rPr>
                <w:b/>
                <w:bCs/>
                <w:sz w:val="24"/>
                <w:szCs w:val="24"/>
              </w:rPr>
              <w:t xml:space="preserve"> Recomendaci</w:t>
            </w:r>
            <w:r w:rsidR="009B5679">
              <w:rPr>
                <w:b/>
                <w:bCs/>
                <w:sz w:val="24"/>
                <w:szCs w:val="24"/>
              </w:rPr>
              <w:t>o</w:t>
            </w:r>
            <w:r w:rsidRPr="009B5679">
              <w:rPr>
                <w:b/>
                <w:bCs/>
                <w:sz w:val="24"/>
                <w:szCs w:val="24"/>
              </w:rPr>
              <w:t xml:space="preserve">nes </w:t>
            </w:r>
            <w:r w:rsidR="00246864" w:rsidRPr="009B5679">
              <w:rPr>
                <w:b/>
                <w:bCs/>
                <w:sz w:val="24"/>
                <w:szCs w:val="24"/>
              </w:rPr>
              <w:t xml:space="preserve">UIT-R </w:t>
            </w:r>
            <w:r w:rsidRPr="009B5679">
              <w:rPr>
                <w:b/>
                <w:bCs/>
                <w:sz w:val="24"/>
                <w:szCs w:val="24"/>
              </w:rPr>
              <w:t>revisadas y su aprobación simultánea por correspondencia de conformidad con el § 10.3 de la Resolución UIT-R 1-6 (Procedimiento de adopción y aprobación simultáneas por correspondencia)</w:t>
            </w:r>
          </w:p>
        </w:tc>
      </w:tr>
      <w:tr w:rsidR="00CD0E47" w:rsidRPr="009B5679" w:rsidTr="00471EDA">
        <w:tc>
          <w:tcPr>
            <w:tcW w:w="1526" w:type="dxa"/>
            <w:gridSpan w:val="2"/>
            <w:shd w:val="clear" w:color="auto" w:fill="auto"/>
          </w:tcPr>
          <w:p w:rsidR="00CD0E47" w:rsidRPr="009B5679" w:rsidRDefault="00CD0E47" w:rsidP="00CD0E47">
            <w:pPr>
              <w:spacing w:before="0"/>
              <w:jc w:val="left"/>
              <w:rPr>
                <w:b/>
                <w:bCs/>
                <w:sz w:val="24"/>
                <w:szCs w:val="24"/>
              </w:rPr>
            </w:pPr>
          </w:p>
        </w:tc>
        <w:tc>
          <w:tcPr>
            <w:tcW w:w="8363" w:type="dxa"/>
            <w:gridSpan w:val="3"/>
            <w:vMerge/>
            <w:shd w:val="clear" w:color="auto" w:fill="auto"/>
          </w:tcPr>
          <w:p w:rsidR="00CD0E47" w:rsidRPr="009B5679" w:rsidRDefault="00CD0E47" w:rsidP="00CD0E47">
            <w:pPr>
              <w:spacing w:before="0"/>
              <w:rPr>
                <w:b/>
                <w:bCs/>
                <w:sz w:val="24"/>
                <w:szCs w:val="24"/>
              </w:rPr>
            </w:pPr>
          </w:p>
        </w:tc>
      </w:tr>
      <w:tr w:rsidR="00CD0E47" w:rsidRPr="009B5679" w:rsidTr="00471EDA">
        <w:tc>
          <w:tcPr>
            <w:tcW w:w="1526" w:type="dxa"/>
            <w:gridSpan w:val="2"/>
            <w:shd w:val="clear" w:color="auto" w:fill="auto"/>
          </w:tcPr>
          <w:p w:rsidR="00CD0E47" w:rsidRPr="009B5679" w:rsidRDefault="00CD0E47" w:rsidP="00CD0E47">
            <w:pPr>
              <w:spacing w:before="0"/>
              <w:jc w:val="left"/>
              <w:rPr>
                <w:b/>
                <w:bCs/>
                <w:sz w:val="24"/>
                <w:szCs w:val="24"/>
              </w:rPr>
            </w:pPr>
          </w:p>
        </w:tc>
        <w:tc>
          <w:tcPr>
            <w:tcW w:w="8363" w:type="dxa"/>
            <w:gridSpan w:val="3"/>
            <w:vMerge/>
            <w:shd w:val="clear" w:color="auto" w:fill="auto"/>
          </w:tcPr>
          <w:p w:rsidR="00CD0E47" w:rsidRPr="009B5679" w:rsidRDefault="00CD0E47" w:rsidP="00CD0E47">
            <w:pPr>
              <w:spacing w:before="0"/>
              <w:rPr>
                <w:b/>
                <w:bCs/>
                <w:sz w:val="24"/>
                <w:szCs w:val="24"/>
              </w:rPr>
            </w:pPr>
          </w:p>
        </w:tc>
      </w:tr>
      <w:tr w:rsidR="00CD0E47" w:rsidRPr="009B5679" w:rsidTr="00471EDA">
        <w:tc>
          <w:tcPr>
            <w:tcW w:w="9889" w:type="dxa"/>
            <w:gridSpan w:val="5"/>
            <w:shd w:val="clear" w:color="auto" w:fill="auto"/>
          </w:tcPr>
          <w:p w:rsidR="00CD0E47" w:rsidRPr="009B5679" w:rsidRDefault="00CD0E47" w:rsidP="00CD0E47">
            <w:pPr>
              <w:spacing w:before="0"/>
              <w:jc w:val="left"/>
              <w:rPr>
                <w:b/>
                <w:bCs/>
                <w:sz w:val="24"/>
                <w:szCs w:val="24"/>
              </w:rPr>
            </w:pPr>
          </w:p>
        </w:tc>
      </w:tr>
    </w:tbl>
    <w:p w:rsidR="00CD0E47" w:rsidRPr="009B5679" w:rsidRDefault="00CD0E47" w:rsidP="00997459">
      <w:pPr>
        <w:pStyle w:val="Normalaftertitle"/>
        <w:rPr>
          <w:sz w:val="24"/>
          <w:szCs w:val="24"/>
        </w:rPr>
      </w:pPr>
      <w:r w:rsidRPr="009B5679">
        <w:rPr>
          <w:sz w:val="24"/>
          <w:szCs w:val="24"/>
        </w:rPr>
        <w:t>Mediante la Circular Administrativa CACE/</w:t>
      </w:r>
      <w:r w:rsidR="00A74631" w:rsidRPr="009B5679">
        <w:rPr>
          <w:sz w:val="24"/>
          <w:szCs w:val="24"/>
        </w:rPr>
        <w:t>637</w:t>
      </w:r>
      <w:r w:rsidRPr="009B5679">
        <w:rPr>
          <w:sz w:val="24"/>
          <w:szCs w:val="24"/>
        </w:rPr>
        <w:t xml:space="preserve"> de </w:t>
      </w:r>
      <w:r w:rsidR="00A74631" w:rsidRPr="009B5679">
        <w:rPr>
          <w:bCs/>
          <w:sz w:val="24"/>
          <w:szCs w:val="24"/>
        </w:rPr>
        <w:t>28 de octubre de 2013</w:t>
      </w:r>
      <w:r w:rsidRPr="009B5679">
        <w:rPr>
          <w:sz w:val="24"/>
          <w:szCs w:val="24"/>
        </w:rPr>
        <w:t>, se presentaron para adopción y aprobación simultáneas por correspondencia (PAAS), con arreglo al procedimiento de la Resolución</w:t>
      </w:r>
      <w:r w:rsidR="002E1472" w:rsidRPr="009B5679">
        <w:rPr>
          <w:sz w:val="24"/>
          <w:szCs w:val="24"/>
        </w:rPr>
        <w:t> </w:t>
      </w:r>
      <w:r w:rsidRPr="009B5679">
        <w:rPr>
          <w:sz w:val="24"/>
          <w:szCs w:val="24"/>
        </w:rPr>
        <w:t>UIT</w:t>
      </w:r>
      <w:r w:rsidR="00251766" w:rsidRPr="009B5679">
        <w:rPr>
          <w:sz w:val="24"/>
          <w:szCs w:val="24"/>
        </w:rPr>
        <w:noBreakHyphen/>
      </w:r>
      <w:r w:rsidRPr="009B5679">
        <w:rPr>
          <w:sz w:val="24"/>
          <w:szCs w:val="24"/>
        </w:rPr>
        <w:t>R 1</w:t>
      </w:r>
      <w:r w:rsidR="00251766" w:rsidRPr="009B5679">
        <w:rPr>
          <w:sz w:val="24"/>
          <w:szCs w:val="24"/>
        </w:rPr>
        <w:noBreakHyphen/>
      </w:r>
      <w:r w:rsidRPr="009B5679">
        <w:rPr>
          <w:sz w:val="24"/>
          <w:szCs w:val="24"/>
        </w:rPr>
        <w:t xml:space="preserve">6 (§ 10.3), </w:t>
      </w:r>
      <w:r w:rsidR="00A74631" w:rsidRPr="009B5679">
        <w:rPr>
          <w:sz w:val="24"/>
          <w:szCs w:val="24"/>
        </w:rPr>
        <w:t>2</w:t>
      </w:r>
      <w:r w:rsidRPr="009B5679">
        <w:rPr>
          <w:sz w:val="24"/>
          <w:szCs w:val="24"/>
        </w:rPr>
        <w:t xml:space="preserve"> proyectos de nueva Recomendación </w:t>
      </w:r>
      <w:r w:rsidR="00DF0A6C" w:rsidRPr="009B5679">
        <w:rPr>
          <w:sz w:val="24"/>
          <w:szCs w:val="24"/>
        </w:rPr>
        <w:t xml:space="preserve">UIT-R </w:t>
      </w:r>
      <w:r w:rsidRPr="009B5679">
        <w:rPr>
          <w:sz w:val="24"/>
          <w:szCs w:val="24"/>
        </w:rPr>
        <w:t xml:space="preserve">y </w:t>
      </w:r>
      <w:r w:rsidR="00A74631" w:rsidRPr="009B5679">
        <w:rPr>
          <w:sz w:val="24"/>
          <w:szCs w:val="24"/>
        </w:rPr>
        <w:t>3</w:t>
      </w:r>
      <w:r w:rsidRPr="009B5679">
        <w:rPr>
          <w:sz w:val="24"/>
          <w:szCs w:val="24"/>
        </w:rPr>
        <w:t xml:space="preserve"> proyectos de Recomendación </w:t>
      </w:r>
      <w:r w:rsidR="00DF0A6C" w:rsidRPr="009B5679">
        <w:rPr>
          <w:sz w:val="24"/>
          <w:szCs w:val="24"/>
        </w:rPr>
        <w:t xml:space="preserve">UIT-R </w:t>
      </w:r>
      <w:r w:rsidRPr="009B5679">
        <w:rPr>
          <w:sz w:val="24"/>
          <w:szCs w:val="24"/>
        </w:rPr>
        <w:t>revisada</w:t>
      </w:r>
      <w:r w:rsidR="00230597" w:rsidRPr="009B5679">
        <w:rPr>
          <w:sz w:val="24"/>
          <w:szCs w:val="24"/>
        </w:rPr>
        <w:t>s</w:t>
      </w:r>
      <w:r w:rsidRPr="009B5679">
        <w:rPr>
          <w:sz w:val="24"/>
          <w:szCs w:val="24"/>
        </w:rPr>
        <w:t xml:space="preserve">. </w:t>
      </w:r>
      <w:bookmarkStart w:id="6" w:name="_GoBack"/>
      <w:bookmarkEnd w:id="6"/>
    </w:p>
    <w:p w:rsidR="00CD0E47" w:rsidRPr="009B5679" w:rsidRDefault="00CD0E47" w:rsidP="00997459">
      <w:pPr>
        <w:rPr>
          <w:sz w:val="24"/>
          <w:szCs w:val="24"/>
        </w:rPr>
      </w:pPr>
      <w:r w:rsidRPr="009B5679">
        <w:rPr>
          <w:sz w:val="24"/>
          <w:szCs w:val="24"/>
        </w:rPr>
        <w:t xml:space="preserve">Las condiciones que determinan este procedimiento se cumplieron el </w:t>
      </w:r>
      <w:r w:rsidR="00A74631" w:rsidRPr="009B5679">
        <w:rPr>
          <w:sz w:val="24"/>
          <w:szCs w:val="24"/>
        </w:rPr>
        <w:t>28 de diciembre de 2013.</w:t>
      </w:r>
    </w:p>
    <w:p w:rsidR="00CD0E47" w:rsidRPr="009B5679" w:rsidRDefault="00CD0E47" w:rsidP="00997459">
      <w:pPr>
        <w:rPr>
          <w:sz w:val="24"/>
          <w:szCs w:val="24"/>
        </w:rPr>
      </w:pPr>
      <w:r w:rsidRPr="009B5679">
        <w:rPr>
          <w:sz w:val="24"/>
          <w:szCs w:val="24"/>
        </w:rPr>
        <w:t>Las Recomendaci</w:t>
      </w:r>
      <w:r w:rsidR="00230597" w:rsidRPr="009B5679">
        <w:rPr>
          <w:sz w:val="24"/>
          <w:szCs w:val="24"/>
        </w:rPr>
        <w:t>o</w:t>
      </w:r>
      <w:r w:rsidRPr="009B5679">
        <w:rPr>
          <w:sz w:val="24"/>
          <w:szCs w:val="24"/>
        </w:rPr>
        <w:t>nes aprobadas serán publicadas por la UIT, y en el Anexo a la presente Circular figuran sus títulos, con sus números asignados.</w:t>
      </w:r>
    </w:p>
    <w:p w:rsidR="002E1472" w:rsidRPr="009B5679" w:rsidRDefault="00CD0E47" w:rsidP="00230597">
      <w:pPr>
        <w:pStyle w:val="BodyTextIndent2"/>
        <w:tabs>
          <w:tab w:val="clear" w:pos="794"/>
          <w:tab w:val="clear" w:pos="1191"/>
          <w:tab w:val="clear" w:pos="1588"/>
          <w:tab w:val="clear" w:pos="1985"/>
          <w:tab w:val="clear" w:pos="4820"/>
        </w:tabs>
        <w:spacing w:before="1418"/>
        <w:ind w:left="0"/>
        <w:jc w:val="left"/>
        <w:rPr>
          <w:rFonts w:asciiTheme="minorHAnsi" w:hAnsiTheme="minorHAnsi"/>
          <w:szCs w:val="24"/>
          <w:lang w:val="es-ES_tradnl"/>
        </w:rPr>
      </w:pPr>
      <w:r w:rsidRPr="009B5679">
        <w:rPr>
          <w:rFonts w:asciiTheme="minorHAnsi" w:hAnsiTheme="minorHAnsi"/>
          <w:szCs w:val="24"/>
          <w:lang w:val="es-ES_tradnl"/>
        </w:rPr>
        <w:t>François Rancy</w:t>
      </w:r>
      <w:r w:rsidRPr="009B5679">
        <w:rPr>
          <w:rFonts w:asciiTheme="minorHAnsi" w:hAnsiTheme="minorHAnsi"/>
          <w:szCs w:val="24"/>
          <w:lang w:val="es-ES_tradnl"/>
        </w:rPr>
        <w:br/>
        <w:t>Director</w:t>
      </w:r>
      <w:r w:rsidR="002E1472" w:rsidRPr="009B5679">
        <w:rPr>
          <w:rFonts w:asciiTheme="minorHAnsi" w:hAnsiTheme="minorHAnsi"/>
          <w:szCs w:val="24"/>
          <w:lang w:val="es-ES_tradnl"/>
        </w:rPr>
        <w:br/>
      </w:r>
    </w:p>
    <w:p w:rsidR="00CD0E47" w:rsidRPr="009B5679" w:rsidRDefault="00CD0E47" w:rsidP="00230597">
      <w:pPr>
        <w:tabs>
          <w:tab w:val="left" w:pos="4820"/>
        </w:tabs>
        <w:spacing w:before="0"/>
        <w:rPr>
          <w:bCs/>
          <w:sz w:val="24"/>
          <w:szCs w:val="24"/>
        </w:rPr>
      </w:pPr>
      <w:r w:rsidRPr="009B5679">
        <w:rPr>
          <w:b/>
          <w:sz w:val="24"/>
          <w:szCs w:val="24"/>
        </w:rPr>
        <w:t>Anexo</w:t>
      </w:r>
      <w:r w:rsidRPr="009B5679">
        <w:rPr>
          <w:bCs/>
          <w:sz w:val="24"/>
          <w:szCs w:val="24"/>
        </w:rPr>
        <w:t xml:space="preserve">: </w:t>
      </w:r>
      <w:r w:rsidR="00230597" w:rsidRPr="009B5679">
        <w:rPr>
          <w:bCs/>
          <w:sz w:val="24"/>
          <w:szCs w:val="24"/>
        </w:rPr>
        <w:t>1</w:t>
      </w:r>
    </w:p>
    <w:p w:rsidR="00CD0E47" w:rsidRPr="00D43B9C" w:rsidRDefault="00CD0E47" w:rsidP="00CD0E47">
      <w:pPr>
        <w:tabs>
          <w:tab w:val="left" w:pos="6237"/>
        </w:tabs>
        <w:rPr>
          <w:b/>
          <w:bCs/>
          <w:sz w:val="18"/>
          <w:szCs w:val="18"/>
          <w:lang w:val="es-ES"/>
        </w:rPr>
      </w:pPr>
      <w:r w:rsidRPr="00D43B9C">
        <w:rPr>
          <w:b/>
          <w:bCs/>
          <w:sz w:val="18"/>
          <w:szCs w:val="18"/>
          <w:lang w:val="es-ES"/>
        </w:rPr>
        <w:t>Distribución:</w:t>
      </w:r>
    </w:p>
    <w:p w:rsidR="00CD0E47" w:rsidRPr="00D43B9C" w:rsidRDefault="00CD0E47" w:rsidP="00230597">
      <w:pPr>
        <w:tabs>
          <w:tab w:val="left" w:pos="6237"/>
        </w:tabs>
        <w:spacing w:before="120" w:line="240" w:lineRule="auto"/>
        <w:ind w:left="284" w:hanging="284"/>
        <w:jc w:val="left"/>
        <w:rPr>
          <w:sz w:val="18"/>
          <w:szCs w:val="18"/>
          <w:lang w:val="es-ES"/>
        </w:rPr>
      </w:pPr>
      <w:r w:rsidRPr="00D43B9C">
        <w:rPr>
          <w:sz w:val="18"/>
          <w:szCs w:val="18"/>
          <w:lang w:val="es-ES"/>
        </w:rPr>
        <w:t>–</w:t>
      </w:r>
      <w:r w:rsidRPr="00D43B9C">
        <w:rPr>
          <w:sz w:val="18"/>
          <w:szCs w:val="18"/>
          <w:lang w:val="es-ES"/>
        </w:rPr>
        <w:tab/>
        <w:t xml:space="preserve">Administraciones de los Estados Miembros de la UIT y Miembros del Sector de Radiocomunicaciones que participan en los trabajos de la Comisión de Estudio </w:t>
      </w:r>
      <w:r w:rsidR="00230597">
        <w:rPr>
          <w:sz w:val="18"/>
          <w:szCs w:val="18"/>
          <w:lang w:val="es-ES"/>
        </w:rPr>
        <w:t>4</w:t>
      </w:r>
      <w:r w:rsidRPr="00D43B9C">
        <w:rPr>
          <w:sz w:val="18"/>
          <w:szCs w:val="18"/>
          <w:lang w:val="es-ES"/>
        </w:rPr>
        <w:t xml:space="preserve"> de Radiocomunicaciones</w:t>
      </w:r>
    </w:p>
    <w:p w:rsidR="00CD0E47" w:rsidRPr="00D43B9C" w:rsidRDefault="00CD0E47" w:rsidP="00230597">
      <w:pPr>
        <w:tabs>
          <w:tab w:val="left" w:pos="6237"/>
        </w:tabs>
        <w:spacing w:before="0" w:line="240" w:lineRule="auto"/>
        <w:ind w:left="284" w:hanging="284"/>
        <w:jc w:val="left"/>
        <w:rPr>
          <w:sz w:val="18"/>
          <w:szCs w:val="18"/>
          <w:lang w:val="es-ES"/>
        </w:rPr>
      </w:pPr>
      <w:r w:rsidRPr="00D43B9C">
        <w:rPr>
          <w:sz w:val="18"/>
          <w:szCs w:val="18"/>
          <w:lang w:val="es-ES"/>
        </w:rPr>
        <w:t>–</w:t>
      </w:r>
      <w:r w:rsidRPr="00D43B9C">
        <w:rPr>
          <w:sz w:val="18"/>
          <w:szCs w:val="18"/>
          <w:lang w:val="es-ES"/>
        </w:rPr>
        <w:tab/>
        <w:t xml:space="preserve">Asociados del UIT-R que participan en los trabajos de la Comisión de Estudio </w:t>
      </w:r>
      <w:r w:rsidR="00230597">
        <w:rPr>
          <w:sz w:val="18"/>
          <w:szCs w:val="18"/>
          <w:lang w:val="es-ES"/>
        </w:rPr>
        <w:t>4</w:t>
      </w:r>
      <w:r w:rsidRPr="00D43B9C">
        <w:rPr>
          <w:sz w:val="18"/>
          <w:szCs w:val="18"/>
          <w:lang w:val="es-ES"/>
        </w:rPr>
        <w:t xml:space="preserve"> de Radiocomunicaciones</w:t>
      </w:r>
    </w:p>
    <w:p w:rsidR="00CD0E47" w:rsidRPr="00D43B9C" w:rsidRDefault="00CD0E47" w:rsidP="00230597">
      <w:pPr>
        <w:tabs>
          <w:tab w:val="left" w:pos="6237"/>
        </w:tabs>
        <w:spacing w:before="0" w:line="240" w:lineRule="auto"/>
        <w:ind w:left="284" w:hanging="284"/>
        <w:jc w:val="left"/>
        <w:rPr>
          <w:sz w:val="18"/>
          <w:szCs w:val="18"/>
          <w:lang w:val="es-ES"/>
        </w:rPr>
      </w:pPr>
      <w:r w:rsidRPr="00D43B9C">
        <w:rPr>
          <w:sz w:val="18"/>
          <w:szCs w:val="18"/>
          <w:lang w:val="es-ES"/>
        </w:rPr>
        <w:t>–</w:t>
      </w:r>
      <w:r w:rsidRPr="00D43B9C">
        <w:rPr>
          <w:sz w:val="18"/>
          <w:szCs w:val="18"/>
          <w:lang w:val="es-ES"/>
        </w:rPr>
        <w:tab/>
        <w:t>Presidentes y Vicepresidentes de las Comisiones de Estudio de Radiocomunicaciones y Comisión Especial para asuntos reglamentarios y de procedimiento</w:t>
      </w:r>
    </w:p>
    <w:p w:rsidR="00CD0E47" w:rsidRPr="00D43B9C" w:rsidRDefault="00CD0E47" w:rsidP="00230597">
      <w:pPr>
        <w:tabs>
          <w:tab w:val="left" w:pos="6237"/>
        </w:tabs>
        <w:spacing w:before="0" w:line="240" w:lineRule="auto"/>
        <w:ind w:left="284" w:hanging="284"/>
        <w:jc w:val="left"/>
        <w:rPr>
          <w:sz w:val="18"/>
          <w:szCs w:val="18"/>
          <w:lang w:val="es-ES"/>
        </w:rPr>
      </w:pPr>
      <w:r w:rsidRPr="00D43B9C">
        <w:rPr>
          <w:sz w:val="18"/>
          <w:szCs w:val="18"/>
          <w:lang w:val="es-ES"/>
        </w:rPr>
        <w:t>–</w:t>
      </w:r>
      <w:r w:rsidRPr="00D43B9C">
        <w:rPr>
          <w:sz w:val="18"/>
          <w:szCs w:val="18"/>
          <w:lang w:val="es-ES"/>
        </w:rPr>
        <w:tab/>
        <w:t>Presidente y Vicepresidentes de la Reunión Preparatoria de la Conferencia</w:t>
      </w:r>
    </w:p>
    <w:p w:rsidR="00CD0E47" w:rsidRPr="00D43B9C" w:rsidRDefault="00CD0E47" w:rsidP="00230597">
      <w:pPr>
        <w:tabs>
          <w:tab w:val="left" w:pos="6237"/>
        </w:tabs>
        <w:spacing w:before="0" w:line="240" w:lineRule="auto"/>
        <w:ind w:left="284" w:hanging="284"/>
        <w:jc w:val="left"/>
        <w:rPr>
          <w:sz w:val="18"/>
          <w:szCs w:val="18"/>
          <w:lang w:val="es-ES"/>
        </w:rPr>
      </w:pPr>
      <w:r w:rsidRPr="00D43B9C">
        <w:rPr>
          <w:sz w:val="18"/>
          <w:szCs w:val="18"/>
          <w:lang w:val="es-ES"/>
        </w:rPr>
        <w:t>–</w:t>
      </w:r>
      <w:r w:rsidRPr="00D43B9C">
        <w:rPr>
          <w:sz w:val="18"/>
          <w:szCs w:val="18"/>
          <w:lang w:val="es-ES"/>
        </w:rPr>
        <w:tab/>
        <w:t>Miembros de la Junta del Reglamento de Radiocomunicaciones</w:t>
      </w:r>
    </w:p>
    <w:p w:rsidR="00CD0E47" w:rsidRPr="00D43B9C" w:rsidRDefault="00CD0E47" w:rsidP="00230597">
      <w:pPr>
        <w:tabs>
          <w:tab w:val="left" w:pos="6237"/>
        </w:tabs>
        <w:spacing w:before="0" w:line="240" w:lineRule="auto"/>
        <w:ind w:left="284" w:hanging="284"/>
        <w:jc w:val="left"/>
        <w:rPr>
          <w:sz w:val="18"/>
          <w:szCs w:val="18"/>
          <w:lang w:val="es-ES"/>
        </w:rPr>
      </w:pPr>
      <w:r w:rsidRPr="00D43B9C">
        <w:rPr>
          <w:sz w:val="18"/>
          <w:szCs w:val="18"/>
          <w:lang w:val="es-ES"/>
        </w:rPr>
        <w:t>–</w:t>
      </w:r>
      <w:r w:rsidRPr="00D43B9C">
        <w:rPr>
          <w:sz w:val="18"/>
          <w:szCs w:val="18"/>
          <w:lang w:val="es-ES"/>
        </w:rPr>
        <w:tab/>
        <w:t>Secretario General de la UIT, Director de la Oficina de Normalización de las Telecomunicaciones, Director de la Oficina de Desarrollo de Telecomunicaciones</w:t>
      </w:r>
    </w:p>
    <w:p w:rsidR="00CD0E47" w:rsidRPr="00230597" w:rsidRDefault="00CD0E47" w:rsidP="00230597">
      <w:pPr>
        <w:pStyle w:val="AnnexNoTitle"/>
        <w:spacing w:before="240"/>
        <w:rPr>
          <w:sz w:val="28"/>
          <w:szCs w:val="28"/>
        </w:rPr>
      </w:pPr>
      <w:r w:rsidRPr="00230597">
        <w:rPr>
          <w:sz w:val="28"/>
          <w:szCs w:val="28"/>
        </w:rPr>
        <w:lastRenderedPageBreak/>
        <w:t>Anexo</w:t>
      </w:r>
      <w:r w:rsidRPr="00230597">
        <w:rPr>
          <w:sz w:val="28"/>
          <w:szCs w:val="28"/>
        </w:rPr>
        <w:br/>
      </w:r>
      <w:r w:rsidRPr="00230597">
        <w:rPr>
          <w:sz w:val="28"/>
          <w:szCs w:val="28"/>
        </w:rPr>
        <w:br/>
        <w:t>Títulos de las Recomendaci</w:t>
      </w:r>
      <w:r w:rsidR="00230597">
        <w:rPr>
          <w:sz w:val="28"/>
          <w:szCs w:val="28"/>
        </w:rPr>
        <w:t>o</w:t>
      </w:r>
      <w:r w:rsidRPr="00230597">
        <w:rPr>
          <w:sz w:val="28"/>
          <w:szCs w:val="28"/>
        </w:rPr>
        <w:t>nes UIT-R aprobadas</w:t>
      </w:r>
    </w:p>
    <w:p w:rsidR="00CD0E47" w:rsidRPr="00C25420" w:rsidRDefault="00CD0E47" w:rsidP="00CD0E47">
      <w:pPr>
        <w:rPr>
          <w:sz w:val="24"/>
          <w:szCs w:val="24"/>
        </w:rPr>
      </w:pPr>
    </w:p>
    <w:p w:rsidR="00230597" w:rsidRPr="004574E8" w:rsidRDefault="00230597" w:rsidP="00230597">
      <w:pPr>
        <w:tabs>
          <w:tab w:val="right" w:pos="9639"/>
        </w:tabs>
        <w:spacing w:before="360"/>
        <w:rPr>
          <w:sz w:val="24"/>
          <w:szCs w:val="24"/>
          <w:lang w:val="es-ES"/>
        </w:rPr>
      </w:pPr>
      <w:r w:rsidRPr="004574E8">
        <w:rPr>
          <w:sz w:val="24"/>
          <w:szCs w:val="24"/>
          <w:u w:val="single"/>
          <w:lang w:val="es-ES"/>
        </w:rPr>
        <w:t>Recomendación UIT-R M.</w:t>
      </w:r>
      <w:r>
        <w:rPr>
          <w:sz w:val="24"/>
          <w:szCs w:val="24"/>
          <w:u w:val="single"/>
          <w:lang w:val="es-ES"/>
        </w:rPr>
        <w:t>2046</w:t>
      </w:r>
      <w:r w:rsidRPr="004574E8">
        <w:rPr>
          <w:sz w:val="24"/>
          <w:szCs w:val="24"/>
          <w:u w:val="single"/>
          <w:lang w:val="es-ES"/>
        </w:rPr>
        <w:t>-0</w:t>
      </w:r>
      <w:r w:rsidRPr="004574E8">
        <w:rPr>
          <w:sz w:val="24"/>
          <w:szCs w:val="24"/>
          <w:lang w:val="es-ES"/>
        </w:rPr>
        <w:tab/>
        <w:t>Doc. 4/37(Rev.1)</w:t>
      </w:r>
    </w:p>
    <w:p w:rsidR="00230597" w:rsidRPr="004574E8" w:rsidRDefault="00230597" w:rsidP="00230597">
      <w:pPr>
        <w:keepNext/>
        <w:keepLines/>
        <w:tabs>
          <w:tab w:val="right" w:pos="9639"/>
        </w:tabs>
        <w:spacing w:before="360" w:line="240" w:lineRule="auto"/>
        <w:jc w:val="center"/>
        <w:rPr>
          <w:rFonts w:asciiTheme="minorHAnsi" w:hAnsiTheme="minorHAnsi" w:cstheme="minorHAnsi"/>
          <w:b/>
          <w:sz w:val="28"/>
          <w:szCs w:val="20"/>
          <w:lang w:val="es-ES"/>
        </w:rPr>
      </w:pPr>
      <w:r w:rsidRPr="004574E8">
        <w:rPr>
          <w:rFonts w:asciiTheme="minorHAnsi" w:hAnsiTheme="minorHAnsi" w:cstheme="minorHAnsi"/>
          <w:b/>
          <w:sz w:val="28"/>
          <w:szCs w:val="20"/>
          <w:lang w:val="es-ES"/>
        </w:rPr>
        <w:t>Características y criterios de protección para los sistemas del servicio móvil por satélite no geoestacionario que operan en la banda 399,9-400,05 MHz</w:t>
      </w:r>
    </w:p>
    <w:p w:rsidR="00230597" w:rsidRPr="00230597" w:rsidRDefault="00230597" w:rsidP="00230597">
      <w:pPr>
        <w:tabs>
          <w:tab w:val="right" w:pos="9639"/>
        </w:tabs>
        <w:spacing w:before="360"/>
        <w:rPr>
          <w:sz w:val="24"/>
          <w:szCs w:val="20"/>
        </w:rPr>
      </w:pPr>
      <w:r w:rsidRPr="00230597">
        <w:rPr>
          <w:sz w:val="24"/>
          <w:szCs w:val="20"/>
          <w:u w:val="single"/>
        </w:rPr>
        <w:t>Recomendación UIT-R M.2047-0</w:t>
      </w:r>
      <w:r w:rsidRPr="00230597">
        <w:rPr>
          <w:sz w:val="24"/>
          <w:szCs w:val="20"/>
        </w:rPr>
        <w:tab/>
        <w:t>Doc. 4/40(Rev.1)</w:t>
      </w:r>
    </w:p>
    <w:p w:rsidR="00230597" w:rsidRPr="004574E8" w:rsidRDefault="00230597" w:rsidP="00230597">
      <w:pPr>
        <w:tabs>
          <w:tab w:val="right" w:pos="9639"/>
        </w:tabs>
        <w:spacing w:before="360" w:line="240" w:lineRule="auto"/>
        <w:jc w:val="center"/>
        <w:rPr>
          <w:rFonts w:asciiTheme="minorHAnsi" w:hAnsiTheme="minorHAnsi" w:cstheme="minorHAnsi"/>
          <w:b/>
          <w:sz w:val="28"/>
          <w:szCs w:val="20"/>
          <w:lang w:val="es-ES"/>
        </w:rPr>
      </w:pPr>
      <w:r w:rsidRPr="004574E8">
        <w:rPr>
          <w:rFonts w:asciiTheme="minorHAnsi" w:hAnsiTheme="minorHAnsi" w:cstheme="minorHAnsi"/>
          <w:b/>
          <w:sz w:val="28"/>
          <w:szCs w:val="20"/>
          <w:lang w:val="es-ES"/>
        </w:rPr>
        <w:t>Especificaciones detalladas de las interfaces radioeléctricas de satélite de las telecomunicaciones móviles internacionales-avanzadas (IMT-Avanzadas)</w:t>
      </w:r>
    </w:p>
    <w:p w:rsidR="00230597" w:rsidRPr="004574E8" w:rsidRDefault="00230597" w:rsidP="00230597">
      <w:pPr>
        <w:tabs>
          <w:tab w:val="right" w:pos="9639"/>
        </w:tabs>
        <w:spacing w:before="360"/>
        <w:rPr>
          <w:sz w:val="24"/>
          <w:szCs w:val="20"/>
          <w:lang w:val="es-ES" w:eastAsia="ko-KR"/>
        </w:rPr>
      </w:pPr>
      <w:r w:rsidRPr="004574E8">
        <w:rPr>
          <w:sz w:val="24"/>
          <w:szCs w:val="20"/>
          <w:u w:val="single"/>
          <w:lang w:val="es-ES"/>
        </w:rPr>
        <w:t xml:space="preserve">Recomendación UIT-R </w:t>
      </w:r>
      <w:r w:rsidRPr="004574E8">
        <w:rPr>
          <w:sz w:val="24"/>
          <w:szCs w:val="20"/>
          <w:u w:val="single"/>
          <w:lang w:val="es-ES" w:eastAsia="ko-KR"/>
        </w:rPr>
        <w:t>SF.674-</w:t>
      </w:r>
      <w:r>
        <w:rPr>
          <w:sz w:val="24"/>
          <w:szCs w:val="20"/>
          <w:u w:val="single"/>
          <w:lang w:val="es-ES" w:eastAsia="ko-KR"/>
        </w:rPr>
        <w:t>3</w:t>
      </w:r>
      <w:r w:rsidRPr="004574E8">
        <w:rPr>
          <w:sz w:val="24"/>
          <w:szCs w:val="20"/>
          <w:lang w:val="es-ES" w:eastAsia="ko-KR"/>
        </w:rPr>
        <w:tab/>
        <w:t>Doc. 4/28(Rev.1)</w:t>
      </w:r>
    </w:p>
    <w:p w:rsidR="00230597" w:rsidRPr="004574E8" w:rsidRDefault="00E20591" w:rsidP="00E20591">
      <w:pPr>
        <w:pStyle w:val="Rectitle"/>
        <w:rPr>
          <w:rFonts w:asciiTheme="minorHAnsi" w:hAnsiTheme="minorHAnsi" w:cstheme="minorHAnsi"/>
          <w:szCs w:val="20"/>
          <w:lang w:val="es-ES"/>
        </w:rPr>
      </w:pPr>
      <w:r w:rsidRPr="00153904">
        <w:t>Determinación del impacto en el servicio fijo que funciona en la banda 11,7</w:t>
      </w:r>
      <w:r w:rsidRPr="00153904">
        <w:noBreakHyphen/>
        <w:t xml:space="preserve">12,2 GHz cuando redes del servicio fijo por satélite con satélites geoestacionarios en la Región 2 rebasan los umbrales de densidad </w:t>
      </w:r>
      <w:r w:rsidRPr="00153904">
        <w:br/>
        <w:t xml:space="preserve">de flujo de potencia </w:t>
      </w:r>
      <w:r>
        <w:t>a efectos de coordinación</w:t>
      </w:r>
    </w:p>
    <w:p w:rsidR="00230597" w:rsidRPr="004574E8" w:rsidRDefault="00230597" w:rsidP="00230597">
      <w:pPr>
        <w:tabs>
          <w:tab w:val="right" w:pos="9639"/>
        </w:tabs>
        <w:spacing w:before="360"/>
        <w:rPr>
          <w:rFonts w:asciiTheme="minorHAnsi" w:hAnsiTheme="minorHAnsi" w:cstheme="minorHAnsi"/>
          <w:sz w:val="24"/>
          <w:szCs w:val="20"/>
          <w:lang w:val="es-ES" w:eastAsia="ko-KR"/>
        </w:rPr>
      </w:pPr>
      <w:r w:rsidRPr="004574E8">
        <w:rPr>
          <w:rFonts w:asciiTheme="minorHAnsi" w:hAnsiTheme="minorHAnsi" w:cstheme="minorHAnsi"/>
          <w:sz w:val="24"/>
          <w:szCs w:val="20"/>
          <w:u w:val="single"/>
          <w:lang w:val="es-ES"/>
        </w:rPr>
        <w:t xml:space="preserve">Recomendación UIT-R </w:t>
      </w:r>
      <w:r w:rsidRPr="004574E8">
        <w:rPr>
          <w:rFonts w:asciiTheme="minorHAnsi" w:hAnsiTheme="minorHAnsi" w:cstheme="minorHAnsi"/>
          <w:sz w:val="24"/>
          <w:szCs w:val="20"/>
          <w:u w:val="single"/>
          <w:lang w:val="es-ES" w:eastAsia="ko-KR"/>
        </w:rPr>
        <w:t>M.1901-</w:t>
      </w:r>
      <w:r>
        <w:rPr>
          <w:rFonts w:asciiTheme="minorHAnsi" w:hAnsiTheme="minorHAnsi" w:cstheme="minorHAnsi"/>
          <w:sz w:val="24"/>
          <w:szCs w:val="20"/>
          <w:u w:val="single"/>
          <w:lang w:val="es-ES" w:eastAsia="ko-KR"/>
        </w:rPr>
        <w:t>1</w:t>
      </w:r>
      <w:r w:rsidRPr="004574E8">
        <w:rPr>
          <w:rFonts w:asciiTheme="minorHAnsi" w:hAnsiTheme="minorHAnsi" w:cstheme="minorHAnsi"/>
          <w:sz w:val="24"/>
          <w:szCs w:val="20"/>
          <w:lang w:val="es-ES" w:eastAsia="ko-KR"/>
        </w:rPr>
        <w:tab/>
        <w:t>Doc. 4/38(Rev.1)</w:t>
      </w:r>
    </w:p>
    <w:p w:rsidR="00230597" w:rsidRPr="004574E8" w:rsidRDefault="00230597" w:rsidP="00230597">
      <w:pPr>
        <w:keepNext/>
        <w:keepLines/>
        <w:tabs>
          <w:tab w:val="right" w:pos="9639"/>
        </w:tabs>
        <w:spacing w:before="360" w:line="240" w:lineRule="auto"/>
        <w:jc w:val="center"/>
        <w:rPr>
          <w:rFonts w:asciiTheme="minorHAnsi" w:hAnsiTheme="minorHAnsi" w:cstheme="minorHAnsi"/>
          <w:b/>
          <w:sz w:val="28"/>
          <w:szCs w:val="20"/>
          <w:lang w:val="es-ES"/>
        </w:rPr>
      </w:pPr>
      <w:r w:rsidRPr="004574E8">
        <w:rPr>
          <w:rFonts w:asciiTheme="minorHAnsi" w:hAnsiTheme="minorHAnsi" w:cstheme="minorHAnsi"/>
          <w:b/>
          <w:sz w:val="28"/>
          <w:szCs w:val="20"/>
          <w:lang w:val="es-ES"/>
        </w:rPr>
        <w:t xml:space="preserve">Directrices sobre Recomendaciones del UIT-R relativas a sistemas y redes del servicio de radionavegación por satélite que funcionan en las bandas de frecuencias 1 164-1 215 MHz, 1 215-1 </w:t>
      </w:r>
      <w:r>
        <w:rPr>
          <w:rFonts w:asciiTheme="minorHAnsi" w:hAnsiTheme="minorHAnsi" w:cstheme="minorHAnsi"/>
          <w:b/>
          <w:sz w:val="28"/>
          <w:szCs w:val="20"/>
          <w:lang w:val="es-ES"/>
        </w:rPr>
        <w:t>300 MHz, 1 559-1 610 MHz,</w:t>
      </w:r>
      <w:r>
        <w:rPr>
          <w:rFonts w:asciiTheme="minorHAnsi" w:hAnsiTheme="minorHAnsi" w:cstheme="minorHAnsi"/>
          <w:b/>
          <w:sz w:val="28"/>
          <w:szCs w:val="20"/>
          <w:lang w:val="es-ES"/>
        </w:rPr>
        <w:br/>
        <w:t>5 000-</w:t>
      </w:r>
      <w:r w:rsidRPr="004574E8">
        <w:rPr>
          <w:rFonts w:asciiTheme="minorHAnsi" w:hAnsiTheme="minorHAnsi" w:cstheme="minorHAnsi"/>
          <w:b/>
          <w:sz w:val="28"/>
          <w:szCs w:val="20"/>
          <w:lang w:val="es-ES"/>
        </w:rPr>
        <w:t>5 010 MHz y 5 010-5 030 MHz</w:t>
      </w:r>
    </w:p>
    <w:p w:rsidR="00230597" w:rsidRPr="004574E8" w:rsidRDefault="00230597" w:rsidP="00230597">
      <w:pPr>
        <w:tabs>
          <w:tab w:val="right" w:pos="9639"/>
        </w:tabs>
        <w:spacing w:before="360"/>
        <w:rPr>
          <w:rFonts w:asciiTheme="minorHAnsi" w:hAnsiTheme="minorHAnsi" w:cstheme="minorHAnsi"/>
          <w:sz w:val="24"/>
          <w:szCs w:val="20"/>
          <w:lang w:val="es-ES" w:eastAsia="ko-KR"/>
        </w:rPr>
      </w:pPr>
      <w:r w:rsidRPr="004574E8">
        <w:rPr>
          <w:rFonts w:asciiTheme="minorHAnsi" w:hAnsiTheme="minorHAnsi" w:cstheme="minorHAnsi"/>
          <w:sz w:val="24"/>
          <w:szCs w:val="20"/>
          <w:u w:val="single"/>
          <w:lang w:val="es-ES"/>
        </w:rPr>
        <w:t>Recomendación UIT-R S.1503-</w:t>
      </w:r>
      <w:r>
        <w:rPr>
          <w:rFonts w:asciiTheme="minorHAnsi" w:hAnsiTheme="minorHAnsi" w:cstheme="minorHAnsi"/>
          <w:sz w:val="24"/>
          <w:szCs w:val="20"/>
          <w:u w:val="single"/>
          <w:lang w:val="es-ES"/>
        </w:rPr>
        <w:t>2</w:t>
      </w:r>
      <w:r w:rsidRPr="004574E8">
        <w:rPr>
          <w:rFonts w:asciiTheme="minorHAnsi" w:hAnsiTheme="minorHAnsi" w:cstheme="minorHAnsi"/>
          <w:sz w:val="24"/>
          <w:szCs w:val="20"/>
          <w:lang w:val="es-ES" w:eastAsia="ko-KR"/>
        </w:rPr>
        <w:tab/>
        <w:t>Doc. 4/43(Rev.1)</w:t>
      </w:r>
    </w:p>
    <w:p w:rsidR="00230597" w:rsidRPr="004574E8" w:rsidRDefault="00230597" w:rsidP="00230597">
      <w:pPr>
        <w:tabs>
          <w:tab w:val="right" w:pos="9639"/>
        </w:tabs>
        <w:spacing w:before="360" w:line="240" w:lineRule="auto"/>
        <w:jc w:val="center"/>
        <w:rPr>
          <w:rFonts w:asciiTheme="minorHAnsi" w:hAnsiTheme="minorHAnsi" w:cstheme="minorHAnsi"/>
          <w:b/>
          <w:sz w:val="28"/>
          <w:szCs w:val="20"/>
          <w:lang w:val="es-ES"/>
        </w:rPr>
      </w:pPr>
      <w:r w:rsidRPr="004574E8">
        <w:rPr>
          <w:rFonts w:asciiTheme="minorHAnsi" w:hAnsiTheme="minorHAnsi" w:cstheme="minorHAnsi"/>
          <w:b/>
          <w:sz w:val="28"/>
          <w:szCs w:val="20"/>
          <w:lang w:val="es-ES"/>
        </w:rPr>
        <w:t xml:space="preserve">Descripción funcional que ha de utilizarse en el desarrollo de herramientas informáticas para determinar la conformidad de las redes de sistemas de satélites de la órbita de satélites no geoestacionarios del servicio fijo por </w:t>
      </w:r>
      <w:r w:rsidRPr="004574E8">
        <w:rPr>
          <w:rFonts w:asciiTheme="minorHAnsi" w:hAnsiTheme="minorHAnsi" w:cstheme="minorHAnsi"/>
          <w:b/>
          <w:sz w:val="28"/>
          <w:szCs w:val="20"/>
          <w:lang w:val="es-ES"/>
        </w:rPr>
        <w:br/>
        <w:t>satélite con los límites contenidos en el Artículo 22 del Reglamento de Radiocomunicaciones</w:t>
      </w:r>
    </w:p>
    <w:p w:rsidR="00CD0E47" w:rsidRPr="00230597" w:rsidRDefault="00CD0E47" w:rsidP="00CD0E47">
      <w:pPr>
        <w:pStyle w:val="Reasons"/>
        <w:rPr>
          <w:lang w:val="es-ES"/>
        </w:rPr>
      </w:pPr>
    </w:p>
    <w:p w:rsidR="00CD0E47" w:rsidRDefault="00CD0E47" w:rsidP="00CD0E47">
      <w:pPr>
        <w:jc w:val="center"/>
      </w:pPr>
      <w:r>
        <w:t>______________</w:t>
      </w:r>
    </w:p>
    <w:p w:rsidR="00CD0E47" w:rsidRPr="00731D64" w:rsidRDefault="00CD0E47" w:rsidP="00CD0E47"/>
    <w:p w:rsidR="000C03C7" w:rsidRPr="00F42C8C" w:rsidRDefault="000C03C7" w:rsidP="00CD0E47"/>
    <w:sectPr w:rsidR="000C03C7" w:rsidRPr="00F42C8C" w:rsidSect="00235A29">
      <w:headerReference w:type="even" r:id="rId8"/>
      <w:headerReference w:type="default" r:id="rId9"/>
      <w:headerReference w:type="first" r:id="rId10"/>
      <w:footerReference w:type="first" r:id="rId11"/>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E47" w:rsidRDefault="00CD0E47">
      <w:r>
        <w:separator/>
      </w:r>
    </w:p>
  </w:endnote>
  <w:endnote w:type="continuationSeparator" w:id="0">
    <w:p w:rsidR="00CD0E47" w:rsidRDefault="00CD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F42C8C" w:rsidRDefault="00F42C8C" w:rsidP="00F914DD">
    <w:pPr>
      <w:pStyle w:val="FirstFooter"/>
      <w:spacing w:line="240" w:lineRule="auto"/>
      <w:ind w:left="-397" w:right="-397"/>
      <w:jc w:val="center"/>
      <w:rPr>
        <w:sz w:val="18"/>
        <w:szCs w:val="18"/>
      </w:rPr>
    </w:pPr>
    <w:r w:rsidRPr="00F42C8C">
      <w:rPr>
        <w:sz w:val="18"/>
        <w:szCs w:val="18"/>
      </w:rPr>
      <w:t>Unión Internacional de Telecomunicaciones • Place des Nations • CH</w:t>
    </w:r>
    <w:r w:rsidRPr="00F42C8C">
      <w:rPr>
        <w:sz w:val="18"/>
        <w:szCs w:val="18"/>
      </w:rPr>
      <w:noBreakHyphen/>
      <w:t>1211 Ginebra 20 • Suiza</w:t>
    </w:r>
    <w:r w:rsidRPr="00F42C8C">
      <w:rPr>
        <w:sz w:val="18"/>
        <w:szCs w:val="18"/>
      </w:rPr>
      <w:br/>
      <w:t xml:space="preserve">Tel: +41 22 730 5111 • Fax: +41 22 733 7256 • Correo-e: </w:t>
    </w:r>
    <w:hyperlink r:id="rId1" w:history="1">
      <w:r w:rsidRPr="00F42C8C">
        <w:rPr>
          <w:rStyle w:val="Hyperlink"/>
          <w:rFonts w:cs="Calibri"/>
          <w:sz w:val="18"/>
          <w:szCs w:val="18"/>
        </w:rPr>
        <w:t>itumail@itu.int</w:t>
      </w:r>
    </w:hyperlink>
    <w:r w:rsidRPr="00F42C8C">
      <w:rPr>
        <w:sz w:val="18"/>
        <w:szCs w:val="18"/>
      </w:rPr>
      <w:t xml:space="preserve"> • </w:t>
    </w:r>
    <w:hyperlink r:id="rId2" w:history="1">
      <w:r w:rsidRPr="00F42C8C">
        <w:rPr>
          <w:rStyle w:val="Hyperlink"/>
          <w:rFonts w:cs="Calibri"/>
          <w:sz w:val="18"/>
          <w:szCs w:val="18"/>
        </w:rPr>
        <w:t>www.itu.int</w:t>
      </w:r>
    </w:hyperlink>
    <w:r w:rsidR="00F55EAB">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E47" w:rsidRDefault="00CD0E47">
      <w:r>
        <w:t>____________________</w:t>
      </w:r>
    </w:p>
  </w:footnote>
  <w:footnote w:type="continuationSeparator" w:id="0">
    <w:p w:rsidR="00CD0E47" w:rsidRDefault="00CD0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235A29" w:rsidRDefault="00026CF8" w:rsidP="000E2185">
    <w:pPr>
      <w:pStyle w:val="Header"/>
    </w:pPr>
    <w:r>
      <w:tab/>
    </w:r>
    <w:r>
      <w:tab/>
    </w:r>
    <w:r w:rsidR="000E2185">
      <w:t>-</w:t>
    </w:r>
    <w:r>
      <w:t xml:space="preserve"> </w:t>
    </w:r>
    <w:r>
      <w:rPr>
        <w:rStyle w:val="PageNumber"/>
        <w:rFonts w:cs="Calibri"/>
      </w:rPr>
      <w:fldChar w:fldCharType="begin"/>
    </w:r>
    <w:r>
      <w:rPr>
        <w:rStyle w:val="PageNumber"/>
        <w:rFonts w:cs="Calibri"/>
      </w:rPr>
      <w:instrText xml:space="preserve"> PAGE </w:instrText>
    </w:r>
    <w:r>
      <w:rPr>
        <w:rStyle w:val="PageNumber"/>
        <w:rFonts w:cs="Calibri"/>
      </w:rPr>
      <w:fldChar w:fldCharType="separate"/>
    </w:r>
    <w:r w:rsidR="00997459">
      <w:rPr>
        <w:rStyle w:val="PageNumber"/>
        <w:rFonts w:cs="Calibri"/>
        <w:noProof/>
      </w:rPr>
      <w:t>2</w:t>
    </w:r>
    <w:r>
      <w:rPr>
        <w:rStyle w:val="PageNumber"/>
        <w:rFonts w:cs="Calibri"/>
      </w:rPr>
      <w:fldChar w:fldCharType="end"/>
    </w:r>
    <w:r>
      <w:rPr>
        <w:rStyle w:val="PageNumber"/>
        <w:rFonts w:cs="Calibri"/>
      </w:rPr>
      <w:t xml:space="preserve"> </w:t>
    </w:r>
    <w:r w:rsidR="000E2185">
      <w:rPr>
        <w:rStyle w:val="PageNumber"/>
        <w:rFonts w:cs="Calibr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AF3325" w:rsidRDefault="00026CF8">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230597">
      <w:rPr>
        <w:i/>
        <w:noProof/>
      </w:rPr>
      <w:t>3</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EA15B3" w:rsidRDefault="00026CF8" w:rsidP="00EA15B3">
    <w:pPr>
      <w:pStyle w:val="Header"/>
      <w:spacing w:line="360" w:lineRule="auto"/>
    </w:pPr>
    <w:r>
      <w:tab/>
    </w:r>
    <w:r>
      <w:tab/>
    </w:r>
    <w:r w:rsidR="00976AAD">
      <w:rPr>
        <w:b/>
        <w:bCs/>
        <w:noProof/>
        <w:lang w:val="en-US" w:eastAsia="zh-CN"/>
      </w:rPr>
      <w:drawing>
        <wp:inline distT="0" distB="0" distL="0" distR="0">
          <wp:extent cx="62865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D0E47"/>
    <w:rsid w:val="00010E30"/>
    <w:rsid w:val="00026CF8"/>
    <w:rsid w:val="00031E64"/>
    <w:rsid w:val="00040DF5"/>
    <w:rsid w:val="00054534"/>
    <w:rsid w:val="000603DE"/>
    <w:rsid w:val="00070258"/>
    <w:rsid w:val="00072B9B"/>
    <w:rsid w:val="00072E16"/>
    <w:rsid w:val="0007323C"/>
    <w:rsid w:val="00086D03"/>
    <w:rsid w:val="000A7051"/>
    <w:rsid w:val="000C03C7"/>
    <w:rsid w:val="000D786F"/>
    <w:rsid w:val="000E2185"/>
    <w:rsid w:val="000E3DEE"/>
    <w:rsid w:val="00103C76"/>
    <w:rsid w:val="0011265F"/>
    <w:rsid w:val="00145AA2"/>
    <w:rsid w:val="0016308F"/>
    <w:rsid w:val="00196710"/>
    <w:rsid w:val="00197324"/>
    <w:rsid w:val="001B1CE8"/>
    <w:rsid w:val="001D7070"/>
    <w:rsid w:val="001F5A49"/>
    <w:rsid w:val="00200936"/>
    <w:rsid w:val="00201097"/>
    <w:rsid w:val="00201B6E"/>
    <w:rsid w:val="002240B2"/>
    <w:rsid w:val="00230597"/>
    <w:rsid w:val="00235A29"/>
    <w:rsid w:val="00246864"/>
    <w:rsid w:val="00251766"/>
    <w:rsid w:val="002861E6"/>
    <w:rsid w:val="0029081F"/>
    <w:rsid w:val="002A2700"/>
    <w:rsid w:val="002D6688"/>
    <w:rsid w:val="002E1472"/>
    <w:rsid w:val="002F0890"/>
    <w:rsid w:val="003370B8"/>
    <w:rsid w:val="003666FF"/>
    <w:rsid w:val="003741EE"/>
    <w:rsid w:val="003B2BDA"/>
    <w:rsid w:val="003B55EC"/>
    <w:rsid w:val="003C4471"/>
    <w:rsid w:val="003E504F"/>
    <w:rsid w:val="004326DB"/>
    <w:rsid w:val="0043682E"/>
    <w:rsid w:val="004815EB"/>
    <w:rsid w:val="00496920"/>
    <w:rsid w:val="004B7C9A"/>
    <w:rsid w:val="004E0DC4"/>
    <w:rsid w:val="004E0FB5"/>
    <w:rsid w:val="004E43BB"/>
    <w:rsid w:val="004F178E"/>
    <w:rsid w:val="004F6466"/>
    <w:rsid w:val="00505309"/>
    <w:rsid w:val="0050789B"/>
    <w:rsid w:val="00515771"/>
    <w:rsid w:val="005427C2"/>
    <w:rsid w:val="00542A47"/>
    <w:rsid w:val="00543DF8"/>
    <w:rsid w:val="00546101"/>
    <w:rsid w:val="00553DD7"/>
    <w:rsid w:val="0057469A"/>
    <w:rsid w:val="00580814"/>
    <w:rsid w:val="005A03A3"/>
    <w:rsid w:val="005B214C"/>
    <w:rsid w:val="00602D53"/>
    <w:rsid w:val="00651777"/>
    <w:rsid w:val="00674F4F"/>
    <w:rsid w:val="006B0590"/>
    <w:rsid w:val="006B49DA"/>
    <w:rsid w:val="006C04E0"/>
    <w:rsid w:val="00700636"/>
    <w:rsid w:val="00707216"/>
    <w:rsid w:val="007234B1"/>
    <w:rsid w:val="00730B9A"/>
    <w:rsid w:val="00783681"/>
    <w:rsid w:val="007921A7"/>
    <w:rsid w:val="007A5C27"/>
    <w:rsid w:val="007B3DB1"/>
    <w:rsid w:val="007D183E"/>
    <w:rsid w:val="007E304D"/>
    <w:rsid w:val="007E3F13"/>
    <w:rsid w:val="00800012"/>
    <w:rsid w:val="0081513E"/>
    <w:rsid w:val="00823210"/>
    <w:rsid w:val="00843445"/>
    <w:rsid w:val="00847D46"/>
    <w:rsid w:val="00854131"/>
    <w:rsid w:val="0085652D"/>
    <w:rsid w:val="0087694B"/>
    <w:rsid w:val="008E03C2"/>
    <w:rsid w:val="008F4F21"/>
    <w:rsid w:val="00904D4A"/>
    <w:rsid w:val="009151BA"/>
    <w:rsid w:val="009277BC"/>
    <w:rsid w:val="00927D57"/>
    <w:rsid w:val="00941D23"/>
    <w:rsid w:val="0095010C"/>
    <w:rsid w:val="00963D9D"/>
    <w:rsid w:val="00976AAD"/>
    <w:rsid w:val="00981B54"/>
    <w:rsid w:val="009842C3"/>
    <w:rsid w:val="00997459"/>
    <w:rsid w:val="009A6BB6"/>
    <w:rsid w:val="009B3F43"/>
    <w:rsid w:val="009B5679"/>
    <w:rsid w:val="009C161F"/>
    <w:rsid w:val="009E4AEC"/>
    <w:rsid w:val="009E5BD8"/>
    <w:rsid w:val="009E681E"/>
    <w:rsid w:val="00A34D6F"/>
    <w:rsid w:val="00A41F91"/>
    <w:rsid w:val="00A74631"/>
    <w:rsid w:val="00A963DF"/>
    <w:rsid w:val="00AC3896"/>
    <w:rsid w:val="00AE6CFA"/>
    <w:rsid w:val="00AF3325"/>
    <w:rsid w:val="00B34CF9"/>
    <w:rsid w:val="00B67004"/>
    <w:rsid w:val="00B90C45"/>
    <w:rsid w:val="00B933BE"/>
    <w:rsid w:val="00BB4069"/>
    <w:rsid w:val="00BD7E5E"/>
    <w:rsid w:val="00BE6574"/>
    <w:rsid w:val="00C25420"/>
    <w:rsid w:val="00C57E2C"/>
    <w:rsid w:val="00C608B7"/>
    <w:rsid w:val="00C66F24"/>
    <w:rsid w:val="00C764BA"/>
    <w:rsid w:val="00C9291E"/>
    <w:rsid w:val="00CA3F44"/>
    <w:rsid w:val="00CA4E58"/>
    <w:rsid w:val="00CA5FE6"/>
    <w:rsid w:val="00CB3771"/>
    <w:rsid w:val="00CB5153"/>
    <w:rsid w:val="00CC0DA0"/>
    <w:rsid w:val="00CD0E47"/>
    <w:rsid w:val="00CF6752"/>
    <w:rsid w:val="00D10BA0"/>
    <w:rsid w:val="00D2339B"/>
    <w:rsid w:val="00D24EB5"/>
    <w:rsid w:val="00D36C83"/>
    <w:rsid w:val="00D41571"/>
    <w:rsid w:val="00D416A0"/>
    <w:rsid w:val="00D47672"/>
    <w:rsid w:val="00D5123C"/>
    <w:rsid w:val="00D51C9E"/>
    <w:rsid w:val="00D55560"/>
    <w:rsid w:val="00D61C5A"/>
    <w:rsid w:val="00DB3A18"/>
    <w:rsid w:val="00DE66A5"/>
    <w:rsid w:val="00DF0A6C"/>
    <w:rsid w:val="00DF2B50"/>
    <w:rsid w:val="00E003F5"/>
    <w:rsid w:val="00E04C86"/>
    <w:rsid w:val="00E20591"/>
    <w:rsid w:val="00E20F30"/>
    <w:rsid w:val="00E27BBA"/>
    <w:rsid w:val="00E34CD1"/>
    <w:rsid w:val="00E35E8F"/>
    <w:rsid w:val="00E438E8"/>
    <w:rsid w:val="00E520E2"/>
    <w:rsid w:val="00E64254"/>
    <w:rsid w:val="00EA15B3"/>
    <w:rsid w:val="00EB2358"/>
    <w:rsid w:val="00EB3EB8"/>
    <w:rsid w:val="00F42C8C"/>
    <w:rsid w:val="00F468C5"/>
    <w:rsid w:val="00F52F39"/>
    <w:rsid w:val="00F55EAB"/>
    <w:rsid w:val="00F914DD"/>
    <w:rsid w:val="00F938C0"/>
    <w:rsid w:val="00FA2358"/>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CD0E4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CD0E47"/>
    <w:rPr>
      <w:rFonts w:ascii="Times New Roman" w:hAnsi="Times New Roman" w:cs="Times New Roman"/>
      <w:sz w:val="24"/>
      <w:lang w:val="en-US" w:eastAsia="en-US"/>
    </w:rPr>
  </w:style>
  <w:style w:type="paragraph" w:customStyle="1" w:styleId="Reasons">
    <w:name w:val="Reasons"/>
    <w:basedOn w:val="Normal"/>
    <w:qFormat/>
    <w:rsid w:val="00CD0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CD0E4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CD0E47"/>
    <w:rPr>
      <w:rFonts w:ascii="Times New Roman" w:hAnsi="Times New Roman" w:cs="Times New Roman"/>
      <w:sz w:val="24"/>
      <w:lang w:val="en-US" w:eastAsia="en-US"/>
    </w:rPr>
  </w:style>
  <w:style w:type="paragraph" w:customStyle="1" w:styleId="Reasons">
    <w:name w:val="Reasons"/>
    <w:basedOn w:val="Normal"/>
    <w:qFormat/>
    <w:rsid w:val="00CD0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 correspondence</Template>
  <TotalTime>25</TotalTime>
  <Pages>2</Pages>
  <Words>485</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Christe-Baldan, Susana</dc:creator>
  <cp:lastModifiedBy>Fernandez Virginia</cp:lastModifiedBy>
  <cp:revision>7</cp:revision>
  <cp:lastPrinted>2014-01-13T09:59:00Z</cp:lastPrinted>
  <dcterms:created xsi:type="dcterms:W3CDTF">2014-01-06T13:12:00Z</dcterms:created>
  <dcterms:modified xsi:type="dcterms:W3CDTF">2014-01-13T09:59:00Z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