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1526"/>
        <w:gridCol w:w="5528"/>
        <w:gridCol w:w="3119"/>
      </w:tblGrid>
      <w:tr w:rsidR="00E53DCE" w:rsidRPr="007B3DB1" w:rsidTr="00CA508F">
        <w:tc>
          <w:tcPr>
            <w:tcW w:w="10173"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CA508F">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CA508F">
              <w:rPr>
                <w:b/>
                <w:bCs/>
                <w:szCs w:val="24"/>
                <w:lang w:val="fr-CH"/>
              </w:rPr>
              <w:t>646</w:t>
            </w:r>
          </w:p>
        </w:tc>
        <w:tc>
          <w:tcPr>
            <w:tcW w:w="3119" w:type="dxa"/>
            <w:shd w:val="clear" w:color="auto" w:fill="auto"/>
          </w:tcPr>
          <w:p w:rsidR="00E53DCE" w:rsidRPr="00CA0D2B" w:rsidRDefault="00CA508F" w:rsidP="004A0B55">
            <w:pPr>
              <w:spacing w:before="0"/>
              <w:jc w:val="right"/>
              <w:rPr>
                <w:sz w:val="28"/>
                <w:szCs w:val="28"/>
                <w:lang w:val="en-GB"/>
              </w:rPr>
            </w:pPr>
            <w:r>
              <w:rPr>
                <w:szCs w:val="24"/>
              </w:rPr>
              <w:t xml:space="preserve">11 </w:t>
            </w:r>
            <w:proofErr w:type="spellStart"/>
            <w:r>
              <w:rPr>
                <w:szCs w:val="24"/>
              </w:rPr>
              <w:t>décembre</w:t>
            </w:r>
            <w:proofErr w:type="spellEnd"/>
            <w:r>
              <w:rPr>
                <w:szCs w:val="24"/>
              </w:rPr>
              <w:t xml:space="preserve"> 2013</w:t>
            </w:r>
          </w:p>
        </w:tc>
      </w:tr>
      <w:tr w:rsidR="00E53DCE" w:rsidRPr="00773F7E" w:rsidTr="00CA508F">
        <w:tc>
          <w:tcPr>
            <w:tcW w:w="10173"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CA508F">
        <w:tc>
          <w:tcPr>
            <w:tcW w:w="10173" w:type="dxa"/>
            <w:gridSpan w:val="3"/>
            <w:shd w:val="clear" w:color="auto" w:fill="auto"/>
          </w:tcPr>
          <w:p w:rsidR="00E53DCE" w:rsidRPr="00773F7E" w:rsidRDefault="00E53DCE" w:rsidP="006160CB">
            <w:pPr>
              <w:spacing w:before="0"/>
              <w:jc w:val="left"/>
              <w:rPr>
                <w:szCs w:val="24"/>
              </w:rPr>
            </w:pPr>
          </w:p>
        </w:tc>
      </w:tr>
      <w:tr w:rsidR="00E53DCE" w:rsidRPr="00320F2A" w:rsidTr="00CA508F">
        <w:tc>
          <w:tcPr>
            <w:tcW w:w="10173" w:type="dxa"/>
            <w:gridSpan w:val="3"/>
            <w:shd w:val="clear" w:color="auto" w:fill="auto"/>
          </w:tcPr>
          <w:p w:rsidR="00E53DCE" w:rsidRPr="00773F7E" w:rsidRDefault="004A0B55" w:rsidP="007E03CB">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00CA508F">
              <w:rPr>
                <w:b/>
                <w:bCs/>
                <w:lang w:val="fr-CH"/>
              </w:rPr>
              <w:t>UIT-</w:t>
            </w:r>
            <w:r w:rsidRPr="000D290C">
              <w:rPr>
                <w:b/>
                <w:bCs/>
                <w:lang w:val="fr-CH"/>
              </w:rPr>
              <w:t>R</w:t>
            </w:r>
            <w:r w:rsidRPr="000D290C">
              <w:rPr>
                <w:b/>
                <w:lang w:val="fr-CH"/>
              </w:rPr>
              <w:t xml:space="preserve"> participant aux tra</w:t>
            </w:r>
            <w:r>
              <w:rPr>
                <w:b/>
                <w:lang w:val="fr-CH"/>
              </w:rPr>
              <w:t>vaux</w:t>
            </w:r>
            <w:r w:rsidR="00CA508F">
              <w:rPr>
                <w:b/>
                <w:lang w:val="fr-CH"/>
              </w:rPr>
              <w:t xml:space="preserve"> </w:t>
            </w:r>
            <w:r w:rsidR="007E03CB">
              <w:rPr>
                <w:b/>
                <w:lang w:val="fr-CH"/>
              </w:rPr>
              <w:t>de la Commission </w:t>
            </w:r>
            <w:r>
              <w:rPr>
                <w:b/>
                <w:lang w:val="fr-CH"/>
              </w:rPr>
              <w:t>d'études </w:t>
            </w:r>
            <w:r w:rsidR="00CA508F">
              <w:rPr>
                <w:b/>
                <w:lang w:val="fr-CH"/>
              </w:rPr>
              <w:t>7</w:t>
            </w:r>
            <w:r w:rsidRPr="000D290C">
              <w:rPr>
                <w:b/>
                <w:lang w:val="fr-CH"/>
              </w:rPr>
              <w:t xml:space="preserve"> des radiocommunications</w:t>
            </w:r>
          </w:p>
        </w:tc>
      </w:tr>
      <w:tr w:rsidR="00E53DCE" w:rsidRPr="00320F2A" w:rsidTr="00CA508F">
        <w:tc>
          <w:tcPr>
            <w:tcW w:w="10173" w:type="dxa"/>
            <w:gridSpan w:val="3"/>
            <w:shd w:val="clear" w:color="auto" w:fill="auto"/>
          </w:tcPr>
          <w:p w:rsidR="00E53DCE" w:rsidRPr="00773F7E" w:rsidRDefault="00E53DCE" w:rsidP="006160CB">
            <w:pPr>
              <w:spacing w:before="0"/>
              <w:jc w:val="left"/>
              <w:rPr>
                <w:szCs w:val="24"/>
                <w:lang w:val="fr-CH"/>
              </w:rPr>
            </w:pPr>
          </w:p>
        </w:tc>
      </w:tr>
      <w:tr w:rsidR="00E53DCE" w:rsidRPr="00320F2A" w:rsidTr="00CA508F">
        <w:tc>
          <w:tcPr>
            <w:tcW w:w="10173" w:type="dxa"/>
            <w:gridSpan w:val="3"/>
            <w:shd w:val="clear" w:color="auto" w:fill="auto"/>
          </w:tcPr>
          <w:p w:rsidR="00E53DCE" w:rsidRPr="00773F7E" w:rsidRDefault="00E53DCE" w:rsidP="006160CB">
            <w:pPr>
              <w:spacing w:before="0"/>
              <w:jc w:val="left"/>
              <w:rPr>
                <w:szCs w:val="24"/>
                <w:lang w:val="fr-CH"/>
              </w:rPr>
            </w:pPr>
          </w:p>
        </w:tc>
      </w:tr>
      <w:tr w:rsidR="00E53DCE" w:rsidRPr="00320F2A" w:rsidTr="00CA508F">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647" w:type="dxa"/>
            <w:gridSpan w:val="2"/>
            <w:vMerge w:val="restart"/>
            <w:shd w:val="clear" w:color="auto" w:fill="auto"/>
          </w:tcPr>
          <w:p w:rsidR="004A0B55" w:rsidRDefault="004A0B55" w:rsidP="00CA508F">
            <w:pPr>
              <w:tabs>
                <w:tab w:val="clear" w:pos="1588"/>
                <w:tab w:val="left" w:pos="1560"/>
              </w:tabs>
              <w:spacing w:before="0"/>
              <w:jc w:val="left"/>
              <w:rPr>
                <w:b/>
                <w:bCs/>
                <w:szCs w:val="24"/>
                <w:lang w:val="fr-CH"/>
              </w:rPr>
            </w:pPr>
            <w:r w:rsidRPr="004A0B55">
              <w:rPr>
                <w:b/>
                <w:bCs/>
                <w:szCs w:val="24"/>
                <w:lang w:val="fr-CH"/>
              </w:rPr>
              <w:t xml:space="preserve">Commission d'études </w:t>
            </w:r>
            <w:r w:rsidR="00CA508F">
              <w:rPr>
                <w:b/>
                <w:bCs/>
                <w:szCs w:val="24"/>
                <w:lang w:val="fr-CH"/>
              </w:rPr>
              <w:t>7</w:t>
            </w:r>
            <w:r w:rsidRPr="004A0B55">
              <w:rPr>
                <w:b/>
                <w:bCs/>
                <w:szCs w:val="24"/>
                <w:lang w:val="fr-CH"/>
              </w:rPr>
              <w:t xml:space="preserve"> des radiocommunications (</w:t>
            </w:r>
            <w:r w:rsidR="00CA508F">
              <w:rPr>
                <w:b/>
                <w:bCs/>
                <w:szCs w:val="24"/>
                <w:lang w:val="fr-CH"/>
              </w:rPr>
              <w:t>Services scientifiques</w:t>
            </w:r>
            <w:r w:rsidRPr="004A0B55">
              <w:rPr>
                <w:b/>
                <w:bCs/>
                <w:szCs w:val="24"/>
                <w:lang w:val="fr-CH"/>
              </w:rPr>
              <w:t>)</w:t>
            </w:r>
          </w:p>
          <w:p w:rsidR="004A0B55" w:rsidRPr="004A0B55" w:rsidRDefault="004A0B55" w:rsidP="00CA508F">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Proposition d'a</w:t>
            </w:r>
            <w:r w:rsidR="00CA508F">
              <w:rPr>
                <w:b/>
                <w:bCs/>
                <w:szCs w:val="24"/>
                <w:lang w:val="fr-CH"/>
              </w:rPr>
              <w:t>pprobation</w:t>
            </w:r>
            <w:r w:rsidRPr="004A0B55">
              <w:rPr>
                <w:b/>
                <w:bCs/>
                <w:szCs w:val="24"/>
                <w:lang w:val="fr-CH"/>
              </w:rPr>
              <w:t xml:space="preserve"> de </w:t>
            </w:r>
            <w:r w:rsidR="00CA508F">
              <w:rPr>
                <w:b/>
                <w:bCs/>
                <w:szCs w:val="24"/>
                <w:lang w:val="fr-CH"/>
              </w:rPr>
              <w:t>deux</w:t>
            </w:r>
            <w:r w:rsidRPr="004A0B55">
              <w:rPr>
                <w:b/>
                <w:bCs/>
                <w:szCs w:val="24"/>
                <w:lang w:val="fr-CH"/>
              </w:rPr>
              <w:t xml:space="preserve"> projets de nouvelle Recommandation UIT-R</w:t>
            </w:r>
          </w:p>
        </w:tc>
      </w:tr>
      <w:tr w:rsidR="00E53DCE" w:rsidRPr="00320F2A" w:rsidTr="00CA508F">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647"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320F2A" w:rsidTr="00CA508F">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647"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320F2A" w:rsidTr="00CA508F">
        <w:tc>
          <w:tcPr>
            <w:tcW w:w="10173"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r w:rsidR="00E53DCE" w:rsidRPr="00320F2A" w:rsidTr="00CA508F">
        <w:tc>
          <w:tcPr>
            <w:tcW w:w="10173" w:type="dxa"/>
            <w:gridSpan w:val="3"/>
            <w:shd w:val="clear" w:color="auto" w:fill="auto"/>
          </w:tcPr>
          <w:p w:rsidR="00E53DCE" w:rsidRPr="004A0B55" w:rsidRDefault="00E53DCE" w:rsidP="006160CB">
            <w:pPr>
              <w:spacing w:before="0"/>
              <w:jc w:val="left"/>
              <w:rPr>
                <w:b/>
                <w:bCs/>
                <w:szCs w:val="24"/>
                <w:lang w:val="fr-CH"/>
              </w:rPr>
            </w:pPr>
          </w:p>
        </w:tc>
      </w:tr>
    </w:tbl>
    <w:p w:rsidR="00CA508F" w:rsidRDefault="00CA508F" w:rsidP="005C749F">
      <w:pPr>
        <w:tabs>
          <w:tab w:val="clear" w:pos="1191"/>
          <w:tab w:val="left" w:pos="1418"/>
        </w:tabs>
        <w:rPr>
          <w:lang w:val="fr-CH"/>
        </w:rPr>
      </w:pPr>
    </w:p>
    <w:p w:rsidR="009132C0" w:rsidRPr="009132C0" w:rsidRDefault="009132C0" w:rsidP="00CA508F">
      <w:pPr>
        <w:tabs>
          <w:tab w:val="clear" w:pos="1191"/>
          <w:tab w:val="left" w:pos="1418"/>
        </w:tabs>
        <w:rPr>
          <w:lang w:val="fr-CH"/>
        </w:rPr>
      </w:pPr>
      <w:r w:rsidRPr="009132C0">
        <w:rPr>
          <w:lang w:val="fr-CH"/>
        </w:rPr>
        <w:t xml:space="preserve">A sa réunion tenue </w:t>
      </w:r>
      <w:r w:rsidR="00CA508F">
        <w:rPr>
          <w:lang w:val="fr-CH"/>
        </w:rPr>
        <w:t>les</w:t>
      </w:r>
      <w:r w:rsidRPr="009132C0">
        <w:rPr>
          <w:lang w:val="fr-CH"/>
        </w:rPr>
        <w:t xml:space="preserve"> </w:t>
      </w:r>
      <w:r w:rsidR="00CA508F">
        <w:rPr>
          <w:lang w:val="fr-CH"/>
        </w:rPr>
        <w:t>10</w:t>
      </w:r>
      <w:r w:rsidRPr="009132C0">
        <w:rPr>
          <w:lang w:val="fr-CH"/>
        </w:rPr>
        <w:t xml:space="preserve"> </w:t>
      </w:r>
      <w:r w:rsidR="00CA508F">
        <w:rPr>
          <w:lang w:val="fr-CH"/>
        </w:rPr>
        <w:t>et</w:t>
      </w:r>
      <w:r w:rsidRPr="009132C0">
        <w:rPr>
          <w:lang w:val="fr-CH"/>
        </w:rPr>
        <w:t xml:space="preserve"> </w:t>
      </w:r>
      <w:r w:rsidR="00CA508F">
        <w:rPr>
          <w:lang w:val="fr-CH"/>
        </w:rPr>
        <w:t>18</w:t>
      </w:r>
      <w:r w:rsidRPr="009132C0">
        <w:rPr>
          <w:lang w:val="fr-CH"/>
        </w:rPr>
        <w:t xml:space="preserve"> </w:t>
      </w:r>
      <w:r w:rsidR="00CA508F">
        <w:rPr>
          <w:lang w:val="fr-CH"/>
        </w:rPr>
        <w:t>septembre</w:t>
      </w:r>
      <w:r w:rsidRPr="009132C0">
        <w:rPr>
          <w:lang w:val="fr-CH"/>
        </w:rPr>
        <w:t xml:space="preserve"> 201</w:t>
      </w:r>
      <w:r>
        <w:rPr>
          <w:lang w:val="fr-CH"/>
        </w:rPr>
        <w:t>3</w:t>
      </w:r>
      <w:r w:rsidRPr="009132C0">
        <w:rPr>
          <w:lang w:val="fr-CH"/>
        </w:rPr>
        <w:t xml:space="preserve">, la Commission d'études </w:t>
      </w:r>
      <w:r w:rsidR="00CA508F">
        <w:rPr>
          <w:lang w:val="fr-CH"/>
        </w:rPr>
        <w:t>7</w:t>
      </w:r>
      <w:r w:rsidRPr="009132C0">
        <w:rPr>
          <w:lang w:val="fr-CH"/>
        </w:rPr>
        <w:t xml:space="preserve"> des radiocommunications a décidé de demander l'adoption </w:t>
      </w:r>
      <w:r w:rsidR="00CA508F">
        <w:rPr>
          <w:lang w:val="fr-CH"/>
        </w:rPr>
        <w:t xml:space="preserve">par correspondance </w:t>
      </w:r>
      <w:r w:rsidRPr="009132C0">
        <w:rPr>
          <w:lang w:val="fr-CH"/>
        </w:rPr>
        <w:t xml:space="preserve">de </w:t>
      </w:r>
      <w:r w:rsidR="00CA508F">
        <w:rPr>
          <w:lang w:val="fr-CH"/>
        </w:rPr>
        <w:t>deux</w:t>
      </w:r>
      <w:r w:rsidRPr="009132C0">
        <w:rPr>
          <w:lang w:val="fr-CH"/>
        </w:rPr>
        <w:t xml:space="preserve"> projets de nouvelle Recommandation</w:t>
      </w:r>
      <w:r>
        <w:rPr>
          <w:lang w:val="fr-CH"/>
        </w:rPr>
        <w:t xml:space="preserve"> UIT-R</w:t>
      </w:r>
      <w:r w:rsidRPr="009132C0">
        <w:rPr>
          <w:lang w:val="fr-CH"/>
        </w:rPr>
        <w:t>, conformément au § 10.</w:t>
      </w:r>
      <w:r w:rsidR="00CA508F">
        <w:rPr>
          <w:lang w:val="fr-CH"/>
        </w:rPr>
        <w:t>2.3 de la Résolution UIT-R 1-6.</w:t>
      </w:r>
    </w:p>
    <w:p w:rsidR="009132C0" w:rsidRPr="009132C0" w:rsidRDefault="009132C0" w:rsidP="00CA508F">
      <w:pPr>
        <w:rPr>
          <w:lang w:val="fr-CH"/>
        </w:rPr>
      </w:pPr>
      <w:r w:rsidRPr="009132C0">
        <w:rPr>
          <w:lang w:val="fr-CH"/>
        </w:rPr>
        <w:t>Comme indiqué d</w:t>
      </w:r>
      <w:r w:rsidR="005C749F">
        <w:rPr>
          <w:lang w:val="fr-CH"/>
        </w:rPr>
        <w:t>a</w:t>
      </w:r>
      <w:r w:rsidRPr="009132C0">
        <w:rPr>
          <w:lang w:val="fr-CH"/>
        </w:rPr>
        <w:t>ns la Circulaire administrative CACE/</w:t>
      </w:r>
      <w:r w:rsidR="00CA508F">
        <w:rPr>
          <w:lang w:val="fr-CH"/>
        </w:rPr>
        <w:t>631</w:t>
      </w:r>
      <w:r w:rsidRPr="009132C0">
        <w:rPr>
          <w:lang w:val="fr-CH"/>
        </w:rPr>
        <w:t xml:space="preserve"> en date du </w:t>
      </w:r>
      <w:r w:rsidR="00CA508F">
        <w:rPr>
          <w:lang w:val="fr-CH"/>
        </w:rPr>
        <w:t>4 octobre</w:t>
      </w:r>
      <w:r w:rsidRPr="009132C0">
        <w:rPr>
          <w:lang w:val="fr-CH"/>
        </w:rPr>
        <w:t xml:space="preserve"> 201</w:t>
      </w:r>
      <w:r>
        <w:rPr>
          <w:lang w:val="fr-CH"/>
        </w:rPr>
        <w:t>3</w:t>
      </w:r>
      <w:r w:rsidRPr="009132C0">
        <w:rPr>
          <w:lang w:val="fr-CH"/>
        </w:rPr>
        <w:t xml:space="preserve">, la période de consultation pour l'adoption des Recommandations a pris fin le </w:t>
      </w:r>
      <w:r w:rsidR="00CA508F">
        <w:rPr>
          <w:lang w:val="fr-CH"/>
        </w:rPr>
        <w:t>4 décembre</w:t>
      </w:r>
      <w:r w:rsidRPr="009132C0">
        <w:rPr>
          <w:lang w:val="fr-CH"/>
        </w:rPr>
        <w:t xml:space="preserve"> 201</w:t>
      </w:r>
      <w:r>
        <w:rPr>
          <w:lang w:val="fr-CH"/>
        </w:rPr>
        <w:t>3</w:t>
      </w:r>
      <w:r w:rsidRPr="009132C0">
        <w:rPr>
          <w:lang w:val="fr-CH"/>
        </w:rPr>
        <w:t>.</w:t>
      </w:r>
    </w:p>
    <w:p w:rsidR="009132C0" w:rsidRPr="009132C0" w:rsidRDefault="00CA508F" w:rsidP="0053796E">
      <w:pPr>
        <w:rPr>
          <w:lang w:val="fr-CH"/>
        </w:rPr>
      </w:pPr>
      <w:r>
        <w:rPr>
          <w:lang w:val="fr-CH"/>
        </w:rPr>
        <w:t>L</w:t>
      </w:r>
      <w:r w:rsidR="009132C0" w:rsidRPr="009132C0">
        <w:rPr>
          <w:lang w:val="fr-CH"/>
        </w:rPr>
        <w:t xml:space="preserve">es Recommandations ont maintenant été adoptées par la Commission d'études </w:t>
      </w:r>
      <w:r>
        <w:rPr>
          <w:lang w:val="fr-CH"/>
        </w:rPr>
        <w:t>7</w:t>
      </w:r>
      <w:r w:rsidR="009132C0" w:rsidRPr="009132C0">
        <w:rPr>
          <w:lang w:val="fr-CH"/>
        </w:rPr>
        <w:t xml:space="preserve"> et la procédure d'approbation prévue au § 10.4 de la Résolution UIT-R 1-6 sera appliquée. </w:t>
      </w:r>
      <w:r w:rsidR="009132C0" w:rsidRPr="00A12B99">
        <w:rPr>
          <w:lang w:val="fr-CH"/>
        </w:rPr>
        <w:t>Le</w:t>
      </w:r>
      <w:r>
        <w:rPr>
          <w:lang w:val="fr-CH"/>
        </w:rPr>
        <w:t xml:space="preserve">s </w:t>
      </w:r>
      <w:r w:rsidR="009132C0" w:rsidRPr="00A12B99">
        <w:rPr>
          <w:lang w:val="fr-CH"/>
        </w:rPr>
        <w:t xml:space="preserve">titres et résumés des projets de Recommandation </w:t>
      </w:r>
      <w:r w:rsidR="009132C0">
        <w:rPr>
          <w:lang w:val="fr-CH"/>
        </w:rPr>
        <w:t xml:space="preserve">sont donnés </w:t>
      </w:r>
      <w:r w:rsidR="009132C0" w:rsidRPr="00A12B99">
        <w:rPr>
          <w:lang w:val="fr-CH"/>
        </w:rPr>
        <w:t>dans l'Annexe</w:t>
      </w:r>
      <w:r>
        <w:rPr>
          <w:lang w:val="fr-CH"/>
        </w:rPr>
        <w:t>.</w:t>
      </w:r>
    </w:p>
    <w:p w:rsidR="009132C0" w:rsidRPr="009132C0" w:rsidRDefault="009132C0" w:rsidP="00F931A1">
      <w:pPr>
        <w:rPr>
          <w:lang w:val="fr-CH"/>
        </w:rPr>
      </w:pPr>
      <w:r w:rsidRPr="009132C0">
        <w:rPr>
          <w:lang w:val="fr-CH"/>
        </w:rPr>
        <w:t>Compte tenu des dispositions du § 10.4 de la Résolution UIT-R 1-6, les Etats Membres sont priés de faire savoir au Secrétariat (</w:t>
      </w:r>
      <w:hyperlink r:id="rId9" w:history="1">
        <w:r w:rsidRPr="009132C0">
          <w:rPr>
            <w:rStyle w:val="Hyperlink"/>
            <w:lang w:val="fr-CH"/>
          </w:rPr>
          <w:t>brsgd@itu.int</w:t>
        </w:r>
      </w:hyperlink>
      <w:r w:rsidRPr="009132C0">
        <w:rPr>
          <w:lang w:val="fr-CH"/>
        </w:rPr>
        <w:t xml:space="preserve">), au plus tard le </w:t>
      </w:r>
      <w:r w:rsidR="00CA508F">
        <w:rPr>
          <w:u w:val="single"/>
          <w:lang w:val="fr-CH"/>
        </w:rPr>
        <w:t>11 février</w:t>
      </w:r>
      <w:r w:rsidRPr="009132C0">
        <w:rPr>
          <w:u w:val="single"/>
          <w:lang w:val="fr-CH"/>
        </w:rPr>
        <w:t xml:space="preserve"> 201</w:t>
      </w:r>
      <w:r w:rsidR="00CA508F">
        <w:rPr>
          <w:u w:val="single"/>
          <w:lang w:val="fr-CH"/>
        </w:rPr>
        <w:t>4</w:t>
      </w:r>
      <w:r w:rsidRPr="009132C0">
        <w:rPr>
          <w:lang w:val="fr-CH"/>
        </w:rPr>
        <w:t>, s'ils acceptent ou non l</w:t>
      </w:r>
      <w:r w:rsidR="00F931A1">
        <w:rPr>
          <w:lang w:val="fr-CH"/>
        </w:rPr>
        <w:t>a</w:t>
      </w:r>
      <w:r w:rsidRPr="009132C0">
        <w:rPr>
          <w:lang w:val="fr-CH"/>
        </w:rPr>
        <w:t xml:space="preserve"> proposition ci-dessus.</w:t>
      </w:r>
    </w:p>
    <w:p w:rsidR="009132C0" w:rsidRPr="009132C0" w:rsidRDefault="009132C0" w:rsidP="009132C0">
      <w:pPr>
        <w:rPr>
          <w:lang w:val="fr-CH"/>
        </w:rPr>
      </w:pPr>
      <w:r w:rsidRPr="009132C0">
        <w:rPr>
          <w:lang w:val="fr-CH"/>
        </w:rPr>
        <w:t>Un Etat Membre qui soulève une objection au sujet de l'approbation d'un projet de Recommandation est prié d'informer le Directeur et le Président de la Commission d'études des raisons de cette objection.</w:t>
      </w:r>
    </w:p>
    <w:p w:rsidR="009132C0" w:rsidRPr="009132C0" w:rsidRDefault="009132C0" w:rsidP="00CA508F">
      <w:pPr>
        <w:rPr>
          <w:lang w:val="fr-CH"/>
        </w:rPr>
      </w:pPr>
      <w:r w:rsidRPr="009132C0">
        <w:rPr>
          <w:lang w:val="fr-CH"/>
        </w:rPr>
        <w:t xml:space="preserve">Après la date limite mentionnée ci-dessus, les résultats de la présente consultation seront communiqués dans une circulaire administrative et les Recommandations approuvées seront publiées dans les meilleurs délais (voir: </w:t>
      </w:r>
      <w:hyperlink r:id="rId10" w:history="1">
        <w:r w:rsidRPr="009132C0">
          <w:rPr>
            <w:rStyle w:val="Hyperlink"/>
            <w:lang w:val="fr-CH"/>
          </w:rPr>
          <w:t>http://www.itu.int/pub/R-REC</w:t>
        </w:r>
      </w:hyperlink>
      <w:r w:rsidRPr="009132C0">
        <w:rPr>
          <w:u w:val="single"/>
          <w:lang w:val="fr-CH"/>
        </w:rPr>
        <w:t>)</w:t>
      </w:r>
      <w:r w:rsidRPr="009132C0">
        <w:rPr>
          <w:lang w:val="fr-CH"/>
        </w:rPr>
        <w:t>.</w:t>
      </w:r>
    </w:p>
    <w:p w:rsidR="00CA508F" w:rsidRDefault="00CA508F">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132C0" w:rsidRPr="009132C0" w:rsidRDefault="009132C0" w:rsidP="00320F2A">
      <w:pPr>
        <w:rPr>
          <w:lang w:val="fr-CH"/>
        </w:rPr>
      </w:pPr>
      <w:r w:rsidRPr="009132C0">
        <w:rPr>
          <w:lang w:val="fr-CH"/>
        </w:rPr>
        <w:lastRenderedPageBreak/>
        <w:t>Toute organisation membre de l'UIT ayant connaissance d'un brevet détenu en son sein ou par d'autres organismes, et susceptible de se rapporter complètement ou en partie à des éléments des projets de Recommandation mentionné</w:t>
      </w:r>
      <w:bookmarkStart w:id="0" w:name="_GoBack"/>
      <w:bookmarkEnd w:id="0"/>
      <w:r w:rsidRPr="009132C0">
        <w:rPr>
          <w:lang w:val="fr-CH"/>
        </w:rPr>
        <w:t xml:space="preserve">s dans la présente lettre, est priée de transmettre lesdites informations au Secrétariat dans les meilleurs délais. La politique commune en matière de brevets de l'UIT-T/UIT-R/ISO/CEI est disponible à l'adresse: </w:t>
      </w:r>
      <w:hyperlink r:id="rId11" w:history="1">
        <w:r w:rsidRPr="0049662D">
          <w:rPr>
            <w:rStyle w:val="Hyperlink"/>
            <w:szCs w:val="24"/>
            <w:lang w:val="fr-CH"/>
          </w:rPr>
          <w:t>http://www.itu.int/en/ITU-T/ipr/Pages/policy.aspx</w:t>
        </w:r>
      </w:hyperlink>
      <w:r w:rsidRPr="009132C0">
        <w:rPr>
          <w:lang w:val="fr-CH"/>
        </w:rPr>
        <w:t>.</w:t>
      </w:r>
    </w:p>
    <w:p w:rsidR="009132C0" w:rsidRDefault="009132C0" w:rsidP="003D6DBA">
      <w:pPr>
        <w:spacing w:before="1418"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Directeur</w:t>
      </w: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Pr="00CC2DCD" w:rsidRDefault="009132C0" w:rsidP="009132C0">
      <w:pPr>
        <w:rPr>
          <w:lang w:val="fr-CH"/>
        </w:rPr>
      </w:pPr>
    </w:p>
    <w:p w:rsidR="009132C0" w:rsidRDefault="009132C0" w:rsidP="003D6DBA">
      <w:pPr>
        <w:tabs>
          <w:tab w:val="clear" w:pos="1191"/>
          <w:tab w:val="clear" w:pos="1588"/>
          <w:tab w:val="clear" w:pos="1985"/>
          <w:tab w:val="left" w:pos="1276"/>
          <w:tab w:val="left" w:pos="1701"/>
        </w:tabs>
        <w:rPr>
          <w:lang w:val="fr-CH"/>
        </w:rPr>
      </w:pPr>
      <w:r>
        <w:rPr>
          <w:b/>
          <w:bCs/>
          <w:lang w:val="fr-CH"/>
        </w:rPr>
        <w:t>Annexe</w:t>
      </w:r>
      <w:r>
        <w:rPr>
          <w:lang w:val="fr-CH"/>
        </w:rPr>
        <w:t>:</w:t>
      </w:r>
      <w:r>
        <w:rPr>
          <w:lang w:val="fr-CH"/>
        </w:rPr>
        <w:tab/>
      </w:r>
      <w:r w:rsidR="003D6DBA">
        <w:rPr>
          <w:lang w:val="fr-CH"/>
        </w:rPr>
        <w:tab/>
      </w:r>
      <w:r>
        <w:rPr>
          <w:lang w:val="fr-CH"/>
        </w:rPr>
        <w:t>Titres et résumés des projets de Recommandation</w:t>
      </w:r>
    </w:p>
    <w:p w:rsidR="003D6DBA" w:rsidRPr="003D6DBA" w:rsidRDefault="003D6DBA" w:rsidP="003D6DBA">
      <w:pPr>
        <w:tabs>
          <w:tab w:val="clear" w:pos="1588"/>
          <w:tab w:val="clear" w:pos="1985"/>
          <w:tab w:val="left" w:pos="1701"/>
        </w:tabs>
        <w:rPr>
          <w:lang w:val="fr-CH"/>
        </w:rPr>
      </w:pPr>
      <w:r>
        <w:rPr>
          <w:b/>
          <w:bCs/>
          <w:lang w:val="fr-CH"/>
        </w:rPr>
        <w:t>Documents:</w:t>
      </w:r>
      <w:r>
        <w:rPr>
          <w:b/>
          <w:bCs/>
          <w:lang w:val="fr-CH"/>
        </w:rPr>
        <w:tab/>
      </w:r>
      <w:r>
        <w:rPr>
          <w:lang w:val="fr-CH"/>
        </w:rPr>
        <w:t>Document</w:t>
      </w:r>
      <w:r w:rsidR="0053796E">
        <w:rPr>
          <w:lang w:val="fr-CH"/>
        </w:rPr>
        <w:t>s</w:t>
      </w:r>
      <w:r>
        <w:rPr>
          <w:lang w:val="fr-CH"/>
        </w:rPr>
        <w:t xml:space="preserve"> 7/BL/10 et 7/BL/11</w:t>
      </w:r>
    </w:p>
    <w:p w:rsidR="009132C0" w:rsidRDefault="009132C0" w:rsidP="00DE3569">
      <w:pPr>
        <w:spacing w:before="360"/>
        <w:ind w:right="-851"/>
        <w:jc w:val="left"/>
        <w:rPr>
          <w:szCs w:val="24"/>
          <w:lang w:val="fr-CH"/>
        </w:rPr>
      </w:pPr>
      <w:r>
        <w:rPr>
          <w:lang w:val="fr-CH"/>
        </w:rPr>
        <w:t>C</w:t>
      </w:r>
      <w:r w:rsidRPr="00BD2CD3">
        <w:rPr>
          <w:lang w:val="fr-CH"/>
        </w:rPr>
        <w:t>es documents sont disponibles en format électronique à l'adresse</w:t>
      </w:r>
      <w:r>
        <w:rPr>
          <w:lang w:val="fr-CH"/>
        </w:rPr>
        <w:t>:</w:t>
      </w:r>
      <w:r w:rsidR="00206C3F" w:rsidRPr="00206C3F">
        <w:rPr>
          <w:lang w:val="fr-CH"/>
        </w:rPr>
        <w:t xml:space="preserve"> </w:t>
      </w:r>
      <w:hyperlink r:id="rId12" w:history="1">
        <w:r w:rsidR="00206C3F" w:rsidRPr="00E03CBF">
          <w:rPr>
            <w:rStyle w:val="Hyperlink"/>
            <w:szCs w:val="24"/>
            <w:lang w:val="fr-CH"/>
          </w:rPr>
          <w:t>http://www.itu.int/rec/R-REC-RS/fr</w:t>
        </w:r>
      </w:hyperlink>
      <w:r w:rsidR="00DE3569" w:rsidRPr="00DE3569">
        <w:rPr>
          <w:rStyle w:val="Hyperlink"/>
          <w:szCs w:val="24"/>
          <w:u w:val="none"/>
          <w:lang w:val="fr-CH"/>
        </w:rPr>
        <w:t>.</w:t>
      </w:r>
    </w:p>
    <w:p w:rsidR="00206C3F" w:rsidRDefault="00206C3F" w:rsidP="00206C3F">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tabs>
          <w:tab w:val="left" w:pos="284"/>
          <w:tab w:val="left" w:pos="568"/>
        </w:tabs>
        <w:spacing w:before="240" w:after="120"/>
        <w:rPr>
          <w:b/>
          <w:bCs/>
          <w:sz w:val="18"/>
          <w:szCs w:val="18"/>
          <w:lang w:val="fr-CH"/>
        </w:rPr>
      </w:pPr>
      <w:r w:rsidRPr="009132C0">
        <w:rPr>
          <w:b/>
          <w:bCs/>
          <w:sz w:val="18"/>
          <w:szCs w:val="18"/>
          <w:lang w:val="fr-CH"/>
        </w:rPr>
        <w:t>Distribution:</w:t>
      </w:r>
    </w:p>
    <w:p w:rsidR="009132C0" w:rsidRPr="00317319" w:rsidRDefault="009132C0" w:rsidP="00206C3F">
      <w:pPr>
        <w:spacing w:before="0" w:line="240" w:lineRule="auto"/>
        <w:ind w:left="288" w:hanging="288"/>
        <w:jc w:val="left"/>
        <w:rPr>
          <w:sz w:val="18"/>
          <w:szCs w:val="18"/>
          <w:lang w:val="fr-CH"/>
        </w:rPr>
      </w:pPr>
      <w:r w:rsidRPr="009132C0">
        <w:rPr>
          <w:sz w:val="18"/>
          <w:szCs w:val="18"/>
          <w:lang w:val="fr-CH"/>
        </w:rPr>
        <w:t>–</w:t>
      </w:r>
      <w:r w:rsidRPr="009132C0">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206C3F">
        <w:rPr>
          <w:sz w:val="18"/>
          <w:szCs w:val="18"/>
          <w:lang w:val="fr-CH"/>
        </w:rPr>
        <w:t>7</w:t>
      </w:r>
      <w:r w:rsidRPr="00317319">
        <w:rPr>
          <w:sz w:val="18"/>
          <w:szCs w:val="18"/>
          <w:lang w:val="fr-CH"/>
        </w:rPr>
        <w:t xml:space="preserve"> des radiocommunications</w:t>
      </w:r>
    </w:p>
    <w:p w:rsidR="009132C0" w:rsidRPr="00317319" w:rsidRDefault="009132C0" w:rsidP="00206C3F">
      <w:pPr>
        <w:spacing w:before="0" w:line="240" w:lineRule="auto"/>
        <w:ind w:left="288" w:hanging="288"/>
        <w:jc w:val="left"/>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206C3F">
        <w:rPr>
          <w:sz w:val="18"/>
          <w:szCs w:val="18"/>
          <w:lang w:val="fr-CH"/>
        </w:rPr>
        <w:t>7</w:t>
      </w:r>
      <w:r w:rsidRPr="00317319">
        <w:rPr>
          <w:sz w:val="18"/>
          <w:szCs w:val="18"/>
          <w:lang w:val="fr-CH"/>
        </w:rPr>
        <w:t xml:space="preserve"> des radiocommunications</w:t>
      </w:r>
    </w:p>
    <w:p w:rsidR="009132C0" w:rsidRDefault="009132C0" w:rsidP="00206C3F">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9132C0" w:rsidRDefault="009132C0" w:rsidP="00206C3F">
      <w:pPr>
        <w:tabs>
          <w:tab w:val="clear" w:pos="794"/>
          <w:tab w:val="left" w:pos="284"/>
        </w:tabs>
        <w:spacing w:before="0" w:line="240" w:lineRule="auto"/>
        <w:jc w:val="left"/>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9132C0" w:rsidRPr="00475B8F" w:rsidRDefault="009132C0" w:rsidP="00206C3F">
      <w:pPr>
        <w:tabs>
          <w:tab w:val="clear" w:pos="794"/>
          <w:tab w:val="left" w:pos="284"/>
        </w:tabs>
        <w:spacing w:before="0" w:line="240" w:lineRule="auto"/>
        <w:jc w:val="left"/>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9132C0" w:rsidRPr="009132C0" w:rsidRDefault="009132C0" w:rsidP="00206C3F">
      <w:pPr>
        <w:tabs>
          <w:tab w:val="left" w:pos="284"/>
          <w:tab w:val="left" w:pos="568"/>
        </w:tabs>
        <w:spacing w:before="0" w:after="120" w:line="240" w:lineRule="auto"/>
        <w:ind w:left="284" w:hanging="284"/>
        <w:jc w:val="left"/>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4A0B55" w:rsidRPr="004A0B55" w:rsidRDefault="004A0B55" w:rsidP="004A0B55">
      <w:pPr>
        <w:jc w:val="left"/>
        <w:rPr>
          <w:lang w:val="fr-CH"/>
        </w:rPr>
      </w:pPr>
      <w:r w:rsidRPr="004A0B55">
        <w:rPr>
          <w:lang w:val="fr-CH"/>
        </w:rPr>
        <w:br w:type="page"/>
      </w:r>
    </w:p>
    <w:p w:rsidR="004A0B55" w:rsidRPr="00206C3F" w:rsidRDefault="004A0B55" w:rsidP="00206C3F">
      <w:pPr>
        <w:pStyle w:val="AnnexNotitle0"/>
        <w:rPr>
          <w:rFonts w:asciiTheme="minorHAnsi" w:hAnsiTheme="minorHAnsi"/>
          <w:szCs w:val="28"/>
        </w:rPr>
      </w:pPr>
      <w:r w:rsidRPr="00206C3F">
        <w:rPr>
          <w:rFonts w:asciiTheme="minorHAnsi" w:hAnsiTheme="minorHAnsi"/>
          <w:szCs w:val="28"/>
          <w:lang w:val="fr-CH"/>
        </w:rPr>
        <w:lastRenderedPageBreak/>
        <w:t xml:space="preserve">Annexe </w:t>
      </w:r>
      <w:r w:rsidRPr="00206C3F">
        <w:rPr>
          <w:rFonts w:asciiTheme="minorHAnsi" w:hAnsiTheme="minorHAnsi"/>
          <w:szCs w:val="28"/>
          <w:lang w:val="fr-CH"/>
        </w:rPr>
        <w:br/>
      </w:r>
      <w:r w:rsidRPr="00206C3F">
        <w:rPr>
          <w:rFonts w:asciiTheme="minorHAnsi" w:hAnsiTheme="minorHAnsi"/>
          <w:szCs w:val="28"/>
          <w:lang w:val="fr-CH"/>
        </w:rPr>
        <w:br/>
      </w:r>
      <w:r w:rsidRPr="00206C3F">
        <w:rPr>
          <w:rFonts w:asciiTheme="minorHAnsi" w:hAnsiTheme="minorHAnsi"/>
          <w:szCs w:val="28"/>
        </w:rPr>
        <w:t>Titres et résumés des projets de Recommandation</w:t>
      </w:r>
      <w:r w:rsidR="009445EF" w:rsidRPr="00206C3F">
        <w:rPr>
          <w:rFonts w:asciiTheme="minorHAnsi" w:hAnsiTheme="minorHAnsi"/>
          <w:szCs w:val="28"/>
        </w:rPr>
        <w:t xml:space="preserve"> adoptés par</w:t>
      </w:r>
      <w:r w:rsidR="009445EF" w:rsidRPr="00206C3F">
        <w:rPr>
          <w:rFonts w:asciiTheme="minorHAnsi" w:hAnsiTheme="minorHAnsi"/>
          <w:szCs w:val="28"/>
        </w:rPr>
        <w:br/>
        <w:t xml:space="preserve">la Commission d'études </w:t>
      </w:r>
      <w:r w:rsidR="00206C3F">
        <w:rPr>
          <w:rFonts w:asciiTheme="minorHAnsi" w:hAnsiTheme="minorHAnsi"/>
          <w:szCs w:val="28"/>
        </w:rPr>
        <w:t>7</w:t>
      </w:r>
      <w:r w:rsidR="009445EF" w:rsidRPr="00206C3F">
        <w:rPr>
          <w:rFonts w:asciiTheme="minorHAnsi" w:hAnsiTheme="minorHAnsi"/>
          <w:szCs w:val="28"/>
        </w:rPr>
        <w:t xml:space="preserve"> des radiocommunications</w:t>
      </w:r>
    </w:p>
    <w:p w:rsidR="00206C3F" w:rsidRDefault="00206C3F" w:rsidP="00206C3F">
      <w:pPr>
        <w:tabs>
          <w:tab w:val="right" w:pos="9639"/>
        </w:tabs>
        <w:rPr>
          <w:u w:val="single"/>
          <w:lang w:val="fr-CH"/>
        </w:rPr>
      </w:pPr>
    </w:p>
    <w:p w:rsidR="00206C3F" w:rsidRPr="001867A6" w:rsidRDefault="00206C3F" w:rsidP="00206C3F">
      <w:pPr>
        <w:tabs>
          <w:tab w:val="right" w:pos="9639"/>
        </w:tabs>
        <w:rPr>
          <w:lang w:val="fr-CH"/>
        </w:rPr>
      </w:pPr>
      <w:r>
        <w:rPr>
          <w:u w:val="single"/>
          <w:lang w:val="fr-CH"/>
        </w:rPr>
        <w:t>Projet de nouvelle R</w:t>
      </w:r>
      <w:r w:rsidRPr="004339A3">
        <w:rPr>
          <w:u w:val="single"/>
          <w:lang w:val="fr-CH"/>
        </w:rPr>
        <w:t>ecommandation UIT</w:t>
      </w:r>
      <w:r>
        <w:rPr>
          <w:u w:val="single"/>
          <w:lang w:val="fr-CH"/>
        </w:rPr>
        <w:t>-</w:t>
      </w:r>
      <w:r w:rsidRPr="004339A3">
        <w:rPr>
          <w:u w:val="single"/>
          <w:lang w:val="fr-CH"/>
        </w:rPr>
        <w:t>R</w:t>
      </w:r>
      <w:r>
        <w:rPr>
          <w:u w:val="single"/>
          <w:lang w:val="fr-CH"/>
        </w:rPr>
        <w:t xml:space="preserve"> </w:t>
      </w:r>
      <w:r w:rsidRPr="004339A3">
        <w:rPr>
          <w:u w:val="single"/>
          <w:lang w:val="fr-CH"/>
        </w:rPr>
        <w:t>RS.[SPACE_RAD_SNDR]</w:t>
      </w:r>
      <w:r w:rsidRPr="004339A3">
        <w:rPr>
          <w:lang w:val="fr-CH"/>
        </w:rPr>
        <w:tab/>
        <w:t>Doc. 7/</w:t>
      </w:r>
      <w:r>
        <w:rPr>
          <w:lang w:val="fr-CH"/>
        </w:rPr>
        <w:t>BL/10</w:t>
      </w:r>
    </w:p>
    <w:p w:rsidR="00206C3F" w:rsidRPr="001867A6" w:rsidRDefault="00206C3F" w:rsidP="00206C3F">
      <w:pPr>
        <w:pStyle w:val="Rectitle"/>
        <w:rPr>
          <w:lang w:val="fr-CH"/>
        </w:rPr>
      </w:pPr>
      <w:r w:rsidRPr="004339A3">
        <w:rPr>
          <w:lang w:val="fr-CH" w:eastAsia="zh-CN"/>
        </w:rPr>
        <w:t xml:space="preserve">Caractéristiques techniques et opérationnelles types des systèmes de sondage radar </w:t>
      </w:r>
      <w:proofErr w:type="spellStart"/>
      <w:r w:rsidRPr="004339A3">
        <w:rPr>
          <w:lang w:val="fr-CH" w:eastAsia="zh-CN"/>
        </w:rPr>
        <w:t>spatioportés</w:t>
      </w:r>
      <w:proofErr w:type="spellEnd"/>
      <w:r w:rsidRPr="004339A3">
        <w:rPr>
          <w:lang w:val="fr-CH" w:eastAsia="zh-CN"/>
        </w:rPr>
        <w:t xml:space="preserve"> utilisant la bande 40-50 MHz</w:t>
      </w:r>
    </w:p>
    <w:p w:rsidR="00206C3F" w:rsidRPr="001867A6" w:rsidRDefault="00206C3F" w:rsidP="00206C3F">
      <w:pPr>
        <w:pStyle w:val="Normalaftertitle"/>
        <w:rPr>
          <w:lang w:val="fr-CH" w:eastAsia="ar-SA"/>
        </w:rPr>
      </w:pPr>
      <w:r w:rsidRPr="004339A3">
        <w:rPr>
          <w:lang w:val="fr-CH" w:eastAsia="ar-SA"/>
        </w:rPr>
        <w:t xml:space="preserve">Cette Recommandation donne les caractéristiques techniques et opérationnelles des sondeurs radar </w:t>
      </w:r>
      <w:proofErr w:type="spellStart"/>
      <w:r w:rsidRPr="004339A3">
        <w:rPr>
          <w:lang w:val="fr-CH" w:eastAsia="ar-SA"/>
        </w:rPr>
        <w:t>spatioportés</w:t>
      </w:r>
      <w:proofErr w:type="spellEnd"/>
      <w:r w:rsidRPr="004339A3">
        <w:rPr>
          <w:lang w:val="fr-CH" w:eastAsia="ar-SA"/>
        </w:rPr>
        <w:t xml:space="preserve"> à utiliser pou</w:t>
      </w:r>
      <w:r>
        <w:rPr>
          <w:lang w:val="fr-CH" w:eastAsia="ar-SA"/>
        </w:rPr>
        <w:t>r les études de compatibilité.</w:t>
      </w:r>
    </w:p>
    <w:p w:rsidR="00206C3F" w:rsidRPr="004339A3" w:rsidRDefault="00206C3F" w:rsidP="00206C3F">
      <w:pPr>
        <w:tabs>
          <w:tab w:val="right" w:pos="9639"/>
        </w:tabs>
        <w:spacing w:before="720"/>
        <w:rPr>
          <w:lang w:val="fr-CH"/>
        </w:rPr>
      </w:pPr>
      <w:r w:rsidRPr="004339A3">
        <w:rPr>
          <w:u w:val="single"/>
          <w:lang w:val="fr-CH"/>
        </w:rPr>
        <w:t>Projet</w:t>
      </w:r>
      <w:r>
        <w:rPr>
          <w:u w:val="single"/>
          <w:lang w:val="fr-CH"/>
        </w:rPr>
        <w:t xml:space="preserve"> </w:t>
      </w:r>
      <w:r w:rsidRPr="004339A3">
        <w:rPr>
          <w:u w:val="single"/>
          <w:lang w:val="fr-CH"/>
        </w:rPr>
        <w:t xml:space="preserve">de nouvelle </w:t>
      </w:r>
      <w:r>
        <w:rPr>
          <w:u w:val="single"/>
          <w:lang w:val="fr-CH"/>
        </w:rPr>
        <w:t>Re</w:t>
      </w:r>
      <w:r w:rsidRPr="004339A3">
        <w:rPr>
          <w:u w:val="single"/>
          <w:lang w:val="fr-CH"/>
        </w:rPr>
        <w:t>comm</w:t>
      </w:r>
      <w:r>
        <w:rPr>
          <w:u w:val="single"/>
          <w:lang w:val="fr-CH"/>
        </w:rPr>
        <w:t>a</w:t>
      </w:r>
      <w:r w:rsidRPr="004339A3">
        <w:rPr>
          <w:u w:val="single"/>
          <w:lang w:val="fr-CH"/>
        </w:rPr>
        <w:t>ndation UIT</w:t>
      </w:r>
      <w:r>
        <w:rPr>
          <w:u w:val="single"/>
          <w:lang w:val="fr-CH"/>
        </w:rPr>
        <w:t>-R</w:t>
      </w:r>
      <w:r w:rsidRPr="004339A3">
        <w:rPr>
          <w:u w:val="single"/>
          <w:lang w:val="fr-CH"/>
        </w:rPr>
        <w:t xml:space="preserve"> RS.[EESS-9GHz-CHAR]</w:t>
      </w:r>
      <w:r w:rsidRPr="004339A3">
        <w:rPr>
          <w:lang w:val="fr-CH"/>
        </w:rPr>
        <w:tab/>
        <w:t>Doc. 7/</w:t>
      </w:r>
      <w:r>
        <w:rPr>
          <w:lang w:val="fr-CH"/>
        </w:rPr>
        <w:t>BL/11</w:t>
      </w:r>
    </w:p>
    <w:p w:rsidR="00206C3F" w:rsidRPr="001867A6" w:rsidRDefault="00206C3F" w:rsidP="00206C3F">
      <w:pPr>
        <w:pStyle w:val="Rectitle"/>
        <w:rPr>
          <w:lang w:val="fr-CH" w:eastAsia="zh-CN"/>
        </w:rPr>
      </w:pPr>
      <w:r w:rsidRPr="004339A3">
        <w:rPr>
          <w:lang w:val="fr-CH" w:eastAsia="zh-CN"/>
        </w:rPr>
        <w:t>Caract</w:t>
      </w:r>
      <w:r>
        <w:rPr>
          <w:lang w:val="fr-CH" w:eastAsia="zh-CN"/>
        </w:rPr>
        <w:t>é</w:t>
      </w:r>
      <w:r w:rsidRPr="004339A3">
        <w:rPr>
          <w:lang w:val="fr-CH" w:eastAsia="zh-CN"/>
        </w:rPr>
        <w:t>ristiques des radars</w:t>
      </w:r>
      <w:r>
        <w:rPr>
          <w:lang w:val="fr-CH" w:eastAsia="zh-CN"/>
        </w:rPr>
        <w:t xml:space="preserve"> </w:t>
      </w:r>
      <w:r w:rsidRPr="004339A3">
        <w:rPr>
          <w:lang w:val="fr-CH" w:eastAsia="zh-CN"/>
        </w:rPr>
        <w:t>à ouverture synthétique fonctionnant dans le service d</w:t>
      </w:r>
      <w:r>
        <w:rPr>
          <w:lang w:val="fr-CH" w:eastAsia="zh-CN"/>
        </w:rPr>
        <w:t>'</w:t>
      </w:r>
      <w:r w:rsidRPr="004339A3">
        <w:rPr>
          <w:lang w:val="fr-CH" w:eastAsia="zh-CN"/>
        </w:rPr>
        <w:t>exploration de la Terre par satellite (active) au voisinage de</w:t>
      </w:r>
      <w:r>
        <w:rPr>
          <w:lang w:val="fr-CH" w:eastAsia="zh-CN"/>
        </w:rPr>
        <w:t xml:space="preserve"> </w:t>
      </w:r>
      <w:r w:rsidRPr="004339A3">
        <w:rPr>
          <w:lang w:val="fr-CH" w:eastAsia="zh-CN"/>
        </w:rPr>
        <w:t>9 600 MHz</w:t>
      </w:r>
    </w:p>
    <w:p w:rsidR="00206C3F" w:rsidRPr="001867A6" w:rsidRDefault="00206C3F" w:rsidP="00206C3F">
      <w:pPr>
        <w:pStyle w:val="Normalaftertitle"/>
        <w:rPr>
          <w:lang w:val="fr-CH"/>
        </w:rPr>
      </w:pPr>
      <w:r w:rsidRPr="004339A3">
        <w:rPr>
          <w:lang w:val="fr-CH"/>
        </w:rPr>
        <w:t>Cette Recommandation donne les caract</w:t>
      </w:r>
      <w:r>
        <w:rPr>
          <w:lang w:val="fr-CH"/>
        </w:rPr>
        <w:t>é</w:t>
      </w:r>
      <w:r w:rsidRPr="004339A3">
        <w:rPr>
          <w:lang w:val="fr-CH"/>
        </w:rPr>
        <w:t>ristiques des radars</w:t>
      </w:r>
      <w:r>
        <w:rPr>
          <w:lang w:val="fr-CH"/>
        </w:rPr>
        <w:t xml:space="preserve"> </w:t>
      </w:r>
      <w:r w:rsidRPr="004339A3">
        <w:rPr>
          <w:lang w:val="fr-CH"/>
        </w:rPr>
        <w:t>à ouverture synthétique fonctionnant dans le service d</w:t>
      </w:r>
      <w:r>
        <w:rPr>
          <w:lang w:val="fr-CH"/>
        </w:rPr>
        <w:t>'</w:t>
      </w:r>
      <w:r w:rsidRPr="004339A3">
        <w:rPr>
          <w:lang w:val="fr-CH"/>
        </w:rPr>
        <w:t xml:space="preserve">exploration de la Terre par satellite (active) </w:t>
      </w:r>
      <w:r>
        <w:rPr>
          <w:lang w:val="fr-CH"/>
        </w:rPr>
        <w:t xml:space="preserve">et </w:t>
      </w:r>
      <w:r w:rsidRPr="004339A3">
        <w:rPr>
          <w:lang w:val="fr-CH"/>
        </w:rPr>
        <w:t>ayant des attributions au voisinage de</w:t>
      </w:r>
      <w:r>
        <w:rPr>
          <w:lang w:val="fr-CH"/>
        </w:rPr>
        <w:t xml:space="preserve"> </w:t>
      </w:r>
      <w:r w:rsidRPr="004339A3">
        <w:rPr>
          <w:lang w:val="fr-CH"/>
        </w:rPr>
        <w:t>9 600 MHz.</w:t>
      </w:r>
      <w:r>
        <w:rPr>
          <w:lang w:val="fr-CH"/>
        </w:rPr>
        <w:t xml:space="preserve"> </w:t>
      </w:r>
      <w:r w:rsidRPr="004339A3">
        <w:rPr>
          <w:lang w:val="fr-CH"/>
        </w:rPr>
        <w:t>Les renseignements qui y figurent devraient permettre d</w:t>
      </w:r>
      <w:r>
        <w:rPr>
          <w:lang w:val="fr-CH"/>
        </w:rPr>
        <w:t>'</w:t>
      </w:r>
      <w:r w:rsidRPr="004339A3">
        <w:rPr>
          <w:lang w:val="fr-CH"/>
        </w:rPr>
        <w:t>effectuer des</w:t>
      </w:r>
      <w:r>
        <w:rPr>
          <w:lang w:val="fr-CH"/>
        </w:rPr>
        <w:t xml:space="preserve"> </w:t>
      </w:r>
      <w:r w:rsidRPr="004339A3">
        <w:rPr>
          <w:lang w:val="fr-CH"/>
        </w:rPr>
        <w:t>études de partage et de compatibilité avec d</w:t>
      </w:r>
      <w:r>
        <w:rPr>
          <w:lang w:val="fr-CH"/>
        </w:rPr>
        <w:t>'</w:t>
      </w:r>
      <w:r w:rsidRPr="004339A3">
        <w:rPr>
          <w:lang w:val="fr-CH"/>
        </w:rPr>
        <w:t>autres services de radiocommunication coexistant dans la même</w:t>
      </w:r>
      <w:r>
        <w:rPr>
          <w:lang w:val="fr-CH"/>
        </w:rPr>
        <w:t xml:space="preserve"> </w:t>
      </w:r>
      <w:r w:rsidRPr="004339A3">
        <w:rPr>
          <w:lang w:val="fr-CH"/>
        </w:rPr>
        <w:t>gamme de fréquences</w:t>
      </w:r>
      <w:r>
        <w:rPr>
          <w:lang w:val="fr-CH"/>
        </w:rPr>
        <w:t>,</w:t>
      </w:r>
      <w:r w:rsidRPr="004339A3">
        <w:rPr>
          <w:lang w:val="fr-CH"/>
        </w:rPr>
        <w:t xml:space="preserve"> ou dans des gammes de fréquences voisines.</w:t>
      </w:r>
      <w:r>
        <w:rPr>
          <w:lang w:val="fr-CH"/>
        </w:rPr>
        <w:t xml:space="preserve"> C</w:t>
      </w:r>
      <w:r w:rsidRPr="004339A3">
        <w:rPr>
          <w:lang w:val="fr-CH"/>
        </w:rPr>
        <w:t>ette gamme de fréquences est notamment utilisée</w:t>
      </w:r>
      <w:r>
        <w:rPr>
          <w:lang w:val="fr-CH"/>
        </w:rPr>
        <w:t xml:space="preserve"> </w:t>
      </w:r>
      <w:r w:rsidRPr="004339A3">
        <w:rPr>
          <w:lang w:val="fr-CH"/>
        </w:rPr>
        <w:t>par les systèmes de télédétection par satellite</w:t>
      </w:r>
      <w:r>
        <w:rPr>
          <w:lang w:val="fr-CH"/>
        </w:rPr>
        <w:t xml:space="preserve"> </w:t>
      </w:r>
      <w:r w:rsidRPr="004339A3">
        <w:rPr>
          <w:lang w:val="fr-CH"/>
        </w:rPr>
        <w:t>qui sont mis en œuvre avec des</w:t>
      </w:r>
      <w:r>
        <w:rPr>
          <w:lang w:val="fr-CH"/>
        </w:rPr>
        <w:t xml:space="preserve"> </w:t>
      </w:r>
      <w:r w:rsidRPr="004339A3">
        <w:rPr>
          <w:lang w:val="fr-CH"/>
        </w:rPr>
        <w:t>largeurs de bande différentes</w:t>
      </w:r>
      <w:r>
        <w:rPr>
          <w:lang w:val="fr-CH"/>
        </w:rPr>
        <w:t xml:space="preserve"> </w:t>
      </w:r>
      <w:r w:rsidRPr="004339A3">
        <w:rPr>
          <w:lang w:val="fr-CH"/>
        </w:rPr>
        <w:t>pour les transmissions</w:t>
      </w:r>
      <w:r>
        <w:rPr>
          <w:lang w:val="fr-CH"/>
        </w:rPr>
        <w:t xml:space="preserve"> </w:t>
      </w:r>
      <w:r w:rsidRPr="004339A3">
        <w:rPr>
          <w:lang w:val="fr-CH"/>
        </w:rPr>
        <w:t>radar, comprises entre</w:t>
      </w:r>
      <w:r>
        <w:rPr>
          <w:lang w:val="fr-CH"/>
        </w:rPr>
        <w:t xml:space="preserve"> </w:t>
      </w:r>
      <w:r w:rsidRPr="004339A3">
        <w:rPr>
          <w:lang w:val="fr-CH"/>
        </w:rPr>
        <w:t>100 MHz et</w:t>
      </w:r>
      <w:r>
        <w:rPr>
          <w:lang w:val="fr-CH"/>
        </w:rPr>
        <w:t xml:space="preserve"> </w:t>
      </w:r>
      <w:r w:rsidRPr="004339A3">
        <w:rPr>
          <w:lang w:val="fr-CH"/>
        </w:rPr>
        <w:t>1 200 MHz au plus.</w:t>
      </w:r>
    </w:p>
    <w:p w:rsidR="004A0B55" w:rsidRPr="004A0B55" w:rsidRDefault="004A0B55" w:rsidP="00206C3F">
      <w:pPr>
        <w:rPr>
          <w:lang w:val="fr-CH"/>
        </w:rPr>
      </w:pPr>
    </w:p>
    <w:p w:rsidR="00206C3F" w:rsidRPr="004A0B55" w:rsidRDefault="00206C3F" w:rsidP="00206C3F">
      <w:pPr>
        <w:rPr>
          <w:rFonts w:asciiTheme="minorHAnsi" w:hAnsiTheme="minorHAnsi"/>
          <w:lang w:val="fr-CH"/>
        </w:rPr>
      </w:pPr>
    </w:p>
    <w:p w:rsidR="004A0B55" w:rsidRPr="004A0B55" w:rsidRDefault="004A0B55" w:rsidP="004A0B55">
      <w:pPr>
        <w:jc w:val="center"/>
        <w:rPr>
          <w:rFonts w:asciiTheme="minorHAnsi" w:hAnsiTheme="minorHAnsi"/>
        </w:rPr>
      </w:pPr>
      <w:r w:rsidRPr="004A0B55">
        <w:rPr>
          <w:rFonts w:asciiTheme="minorHAnsi" w:hAnsiTheme="minorHAnsi"/>
        </w:rPr>
        <w:t>______________</w:t>
      </w:r>
    </w:p>
    <w:p w:rsidR="004A0B55" w:rsidRPr="00773F7E" w:rsidRDefault="004A0B55" w:rsidP="00EE1A57">
      <w:pPr>
        <w:spacing w:before="0" w:line="240" w:lineRule="auto"/>
        <w:jc w:val="left"/>
        <w:rPr>
          <w:rFonts w:asciiTheme="minorHAnsi" w:hAnsiTheme="minorHAnsi" w:cstheme="minorHAnsi"/>
          <w:sz w:val="28"/>
          <w:szCs w:val="28"/>
          <w:lang w:val="fr-FR"/>
        </w:rPr>
      </w:pPr>
    </w:p>
    <w:sectPr w:rsidR="004A0B55" w:rsidRPr="00773F7E"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5" w:rsidRDefault="004A0B55">
      <w:r>
        <w:t>____________________</w:t>
      </w:r>
    </w:p>
  </w:footnote>
  <w:footnote w:type="continuationSeparator" w:id="0">
    <w:p w:rsidR="004A0B55" w:rsidRDefault="004A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206C3F"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320F2A">
      <w:rPr>
        <w:rStyle w:val="PageNumber"/>
        <w:noProof/>
        <w:sz w:val="18"/>
        <w:szCs w:val="18"/>
      </w:rPr>
      <w:t>2</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06C3F" w:rsidRDefault="00206C3F" w:rsidP="00206C3F">
    <w:pPr>
      <w:pStyle w:val="Header"/>
      <w:jc w:val="center"/>
      <w:rPr>
        <w:sz w:val="18"/>
        <w:szCs w:val="18"/>
      </w:rP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320F2A">
      <w:rPr>
        <w:rStyle w:val="PageNumber"/>
        <w:noProof/>
        <w:sz w:val="18"/>
        <w:szCs w:val="18"/>
      </w:rPr>
      <w:t>3</w:t>
    </w:r>
    <w:r w:rsidR="00CA0D2B" w:rsidRPr="00CA0D2B">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0B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C3F"/>
    <w:rsid w:val="002302B3"/>
    <w:rsid w:val="00230C66"/>
    <w:rsid w:val="00235A29"/>
    <w:rsid w:val="00240526"/>
    <w:rsid w:val="00241526"/>
    <w:rsid w:val="002443A2"/>
    <w:rsid w:val="00257A5F"/>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0F2A"/>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D6DBA"/>
    <w:rsid w:val="003E504F"/>
    <w:rsid w:val="003E78D6"/>
    <w:rsid w:val="00400573"/>
    <w:rsid w:val="004007A3"/>
    <w:rsid w:val="00406D71"/>
    <w:rsid w:val="00411CB3"/>
    <w:rsid w:val="004326DB"/>
    <w:rsid w:val="0043682E"/>
    <w:rsid w:val="00447ECB"/>
    <w:rsid w:val="004623F7"/>
    <w:rsid w:val="004809B3"/>
    <w:rsid w:val="00480F51"/>
    <w:rsid w:val="00481124"/>
    <w:rsid w:val="004815EB"/>
    <w:rsid w:val="00487569"/>
    <w:rsid w:val="00496864"/>
    <w:rsid w:val="00496920"/>
    <w:rsid w:val="004A0B5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796E"/>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749F"/>
    <w:rsid w:val="005D3669"/>
    <w:rsid w:val="005E5EB3"/>
    <w:rsid w:val="005F3CB6"/>
    <w:rsid w:val="005F657C"/>
    <w:rsid w:val="00602D53"/>
    <w:rsid w:val="006047E5"/>
    <w:rsid w:val="0064371D"/>
    <w:rsid w:val="00650543"/>
    <w:rsid w:val="00650B2A"/>
    <w:rsid w:val="00651777"/>
    <w:rsid w:val="006550F8"/>
    <w:rsid w:val="00665C64"/>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03CB"/>
    <w:rsid w:val="007E1833"/>
    <w:rsid w:val="007E3F13"/>
    <w:rsid w:val="007F751A"/>
    <w:rsid w:val="00800012"/>
    <w:rsid w:val="0080261F"/>
    <w:rsid w:val="00806160"/>
    <w:rsid w:val="008143A4"/>
    <w:rsid w:val="0081513E"/>
    <w:rsid w:val="008500E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32C0"/>
    <w:rsid w:val="009151BA"/>
    <w:rsid w:val="00925023"/>
    <w:rsid w:val="009277BC"/>
    <w:rsid w:val="00927D57"/>
    <w:rsid w:val="00931A51"/>
    <w:rsid w:val="009445EF"/>
    <w:rsid w:val="00947185"/>
    <w:rsid w:val="009518B3"/>
    <w:rsid w:val="00963D9D"/>
    <w:rsid w:val="0098013E"/>
    <w:rsid w:val="00981B54"/>
    <w:rsid w:val="009842C3"/>
    <w:rsid w:val="009A009A"/>
    <w:rsid w:val="009A6BB6"/>
    <w:rsid w:val="009B284B"/>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D2B"/>
    <w:rsid w:val="00CA3F44"/>
    <w:rsid w:val="00CA4E58"/>
    <w:rsid w:val="00CA508F"/>
    <w:rsid w:val="00CB3771"/>
    <w:rsid w:val="00CB44BF"/>
    <w:rsid w:val="00CB5153"/>
    <w:rsid w:val="00CE076A"/>
    <w:rsid w:val="00CE2B01"/>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356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871"/>
    <w:rsid w:val="00F52F39"/>
    <w:rsid w:val="00F6184F"/>
    <w:rsid w:val="00F8310E"/>
    <w:rsid w:val="00F914DD"/>
    <w:rsid w:val="00F931A1"/>
    <w:rsid w:val="00F9405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206C3F"/>
    <w:rPr>
      <w:color w:val="800080" w:themeColor="followedHyperlink"/>
      <w:u w:val="single"/>
    </w:rPr>
  </w:style>
  <w:style w:type="character" w:customStyle="1" w:styleId="RectitleChar">
    <w:name w:val="Rec_title Char"/>
    <w:link w:val="Rectitle"/>
    <w:rsid w:val="00206C3F"/>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206C3F"/>
    <w:rPr>
      <w:color w:val="800080" w:themeColor="followedHyperlink"/>
      <w:u w:val="single"/>
    </w:rPr>
  </w:style>
  <w:style w:type="character" w:customStyle="1" w:styleId="RectitleChar">
    <w:name w:val="Rec_title Char"/>
    <w:link w:val="Rectitle"/>
    <w:rsid w:val="00206C3F"/>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R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4265-6723-44B1-9A0B-8BC98221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26</TotalTime>
  <Pages>3</Pages>
  <Words>638</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capdessu</cp:lastModifiedBy>
  <cp:revision>9</cp:revision>
  <cp:lastPrinted>2013-12-06T13:08:00Z</cp:lastPrinted>
  <dcterms:created xsi:type="dcterms:W3CDTF">2013-12-06T08:59:00Z</dcterms:created>
  <dcterms:modified xsi:type="dcterms:W3CDTF">2013-12-06T13:09:00Z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