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51415A" w:rsidTr="006160CB">
        <w:tc>
          <w:tcPr>
            <w:tcW w:w="7054" w:type="dxa"/>
            <w:gridSpan w:val="2"/>
            <w:shd w:val="clear" w:color="auto" w:fill="auto"/>
          </w:tcPr>
          <w:p w:rsidR="00E53DCE" w:rsidRPr="0051415A" w:rsidRDefault="00A96D3A" w:rsidP="006160CB">
            <w:pPr>
              <w:spacing w:before="0"/>
              <w:jc w:val="left"/>
              <w:rPr>
                <w:sz w:val="24"/>
                <w:szCs w:val="24"/>
                <w:lang w:val="fr-CH"/>
              </w:rPr>
            </w:pPr>
            <w:r w:rsidRPr="00653BD4">
              <w:rPr>
                <w:sz w:val="24"/>
                <w:szCs w:val="24"/>
              </w:rPr>
              <w:t>Circular Administrativa</w:t>
            </w:r>
          </w:p>
          <w:p w:rsidR="00E53DCE" w:rsidRPr="0051415A" w:rsidRDefault="00E53DCE" w:rsidP="006160CB">
            <w:pPr>
              <w:spacing w:before="0"/>
              <w:jc w:val="left"/>
              <w:rPr>
                <w:b/>
                <w:bCs/>
                <w:sz w:val="24"/>
                <w:szCs w:val="24"/>
                <w:lang w:val="fr-CH"/>
              </w:rPr>
            </w:pPr>
            <w:r w:rsidRPr="0051415A">
              <w:rPr>
                <w:b/>
                <w:bCs/>
                <w:sz w:val="24"/>
                <w:szCs w:val="24"/>
                <w:lang w:val="fr-CH"/>
              </w:rPr>
              <w:t>CA</w:t>
            </w:r>
            <w:r w:rsidR="002509FF" w:rsidRPr="0051415A">
              <w:rPr>
                <w:b/>
                <w:bCs/>
                <w:sz w:val="24"/>
                <w:szCs w:val="24"/>
                <w:lang w:val="fr-CH"/>
              </w:rPr>
              <w:t>CE</w:t>
            </w:r>
            <w:r w:rsidRPr="0051415A">
              <w:rPr>
                <w:b/>
                <w:bCs/>
                <w:sz w:val="24"/>
                <w:szCs w:val="24"/>
                <w:lang w:val="fr-CH"/>
              </w:rPr>
              <w:t>/</w:t>
            </w:r>
            <w:r w:rsidR="00653BD4">
              <w:rPr>
                <w:b/>
                <w:bCs/>
                <w:sz w:val="24"/>
                <w:szCs w:val="24"/>
                <w:lang w:val="fr-CH"/>
              </w:rPr>
              <w:t>637</w:t>
            </w:r>
          </w:p>
        </w:tc>
        <w:tc>
          <w:tcPr>
            <w:tcW w:w="2835" w:type="dxa"/>
            <w:shd w:val="clear" w:color="auto" w:fill="auto"/>
          </w:tcPr>
          <w:p w:rsidR="00E53DCE" w:rsidRPr="00653BD4" w:rsidRDefault="004574E8" w:rsidP="00653BD4">
            <w:pPr>
              <w:keepNext/>
              <w:keepLines/>
              <w:spacing w:before="0" w:after="120"/>
              <w:jc w:val="right"/>
              <w:rPr>
                <w:sz w:val="24"/>
                <w:szCs w:val="24"/>
                <w:lang w:val="en-GB"/>
              </w:rPr>
            </w:pPr>
            <w:r>
              <w:rPr>
                <w:bCs/>
                <w:sz w:val="24"/>
                <w:szCs w:val="24"/>
              </w:rPr>
              <w:t>28</w:t>
            </w:r>
            <w:r w:rsidR="00653BD4">
              <w:rPr>
                <w:bCs/>
                <w:sz w:val="24"/>
                <w:szCs w:val="24"/>
              </w:rPr>
              <w:t xml:space="preserve"> de octubre </w:t>
            </w:r>
            <w:r w:rsidR="00A96D3A" w:rsidRPr="00653BD4">
              <w:rPr>
                <w:bCs/>
                <w:sz w:val="24"/>
                <w:szCs w:val="24"/>
              </w:rPr>
              <w:t>de 2013</w:t>
            </w:r>
          </w:p>
        </w:tc>
      </w:tr>
      <w:tr w:rsidR="00E53DCE" w:rsidRPr="0051415A" w:rsidTr="006160CB">
        <w:tc>
          <w:tcPr>
            <w:tcW w:w="9889" w:type="dxa"/>
            <w:gridSpan w:val="3"/>
            <w:shd w:val="clear" w:color="auto" w:fill="auto"/>
          </w:tcPr>
          <w:p w:rsidR="00E53DCE" w:rsidRPr="0051415A" w:rsidRDefault="00E53DCE" w:rsidP="006160CB">
            <w:pPr>
              <w:spacing w:before="0"/>
              <w:jc w:val="left"/>
              <w:rPr>
                <w:rFonts w:cs="Arial"/>
                <w:sz w:val="24"/>
                <w:szCs w:val="24"/>
                <w:lang w:val="en-GB"/>
              </w:rPr>
            </w:pPr>
          </w:p>
        </w:tc>
      </w:tr>
      <w:tr w:rsidR="00E53DCE" w:rsidRPr="0051415A" w:rsidTr="006160CB">
        <w:tc>
          <w:tcPr>
            <w:tcW w:w="9889" w:type="dxa"/>
            <w:gridSpan w:val="3"/>
            <w:shd w:val="clear" w:color="auto" w:fill="auto"/>
          </w:tcPr>
          <w:p w:rsidR="00E53DCE" w:rsidRPr="0051415A" w:rsidRDefault="00E53DCE" w:rsidP="006160CB">
            <w:pPr>
              <w:spacing w:before="0"/>
              <w:jc w:val="left"/>
              <w:rPr>
                <w:sz w:val="24"/>
                <w:szCs w:val="24"/>
              </w:rPr>
            </w:pPr>
          </w:p>
        </w:tc>
      </w:tr>
      <w:tr w:rsidR="00E53DCE" w:rsidRPr="009214FC" w:rsidTr="006160CB">
        <w:tc>
          <w:tcPr>
            <w:tcW w:w="9889" w:type="dxa"/>
            <w:gridSpan w:val="3"/>
            <w:shd w:val="clear" w:color="auto" w:fill="auto"/>
          </w:tcPr>
          <w:p w:rsidR="00E53DCE" w:rsidRPr="0051415A" w:rsidRDefault="002509FF" w:rsidP="00653BD4">
            <w:pPr>
              <w:tabs>
                <w:tab w:val="left" w:pos="7513"/>
              </w:tabs>
              <w:spacing w:before="0"/>
              <w:jc w:val="left"/>
              <w:rPr>
                <w:b/>
                <w:bCs/>
                <w:sz w:val="24"/>
                <w:szCs w:val="24"/>
                <w:lang w:val="es-ES_tradnl"/>
              </w:rPr>
            </w:pPr>
            <w:r w:rsidRPr="00653BD4">
              <w:rPr>
                <w:b/>
                <w:bCs/>
                <w:sz w:val="24"/>
                <w:szCs w:val="24"/>
                <w:lang w:val="es-ES_tradnl"/>
              </w:rPr>
              <w:t>A las Administraciones de los Estados Miembros de la UIT, a los Miembros del Sector de Radiocomunicaciones</w:t>
            </w:r>
            <w:r w:rsidR="0051415A">
              <w:rPr>
                <w:b/>
                <w:bCs/>
                <w:sz w:val="24"/>
                <w:szCs w:val="24"/>
                <w:lang w:val="es-ES_tradnl"/>
              </w:rPr>
              <w:t xml:space="preserve"> </w:t>
            </w:r>
            <w:r w:rsidR="00166F97" w:rsidRPr="00653BD4">
              <w:rPr>
                <w:b/>
                <w:bCs/>
                <w:sz w:val="24"/>
                <w:szCs w:val="24"/>
                <w:lang w:val="es-ES_tradnl"/>
              </w:rPr>
              <w:t xml:space="preserve">y </w:t>
            </w:r>
            <w:r w:rsidRPr="00653BD4">
              <w:rPr>
                <w:b/>
                <w:bCs/>
                <w:sz w:val="24"/>
                <w:szCs w:val="24"/>
                <w:lang w:val="es-ES_tradnl"/>
              </w:rPr>
              <w:t xml:space="preserve">a los Asociados del UIT-R que participan en los trabajos de la </w:t>
            </w:r>
            <w:r w:rsidRPr="00653BD4">
              <w:rPr>
                <w:b/>
                <w:bCs/>
                <w:sz w:val="24"/>
                <w:szCs w:val="24"/>
                <w:lang w:val="es-ES_tradnl"/>
              </w:rPr>
              <w:br/>
              <w:t xml:space="preserve">Comisión de Estudio </w:t>
            </w:r>
            <w:r w:rsidR="00653BD4">
              <w:rPr>
                <w:b/>
                <w:bCs/>
                <w:sz w:val="24"/>
                <w:szCs w:val="24"/>
                <w:lang w:val="es-ES_tradnl"/>
              </w:rPr>
              <w:t>4</w:t>
            </w:r>
            <w:r w:rsidRPr="00653BD4">
              <w:rPr>
                <w:b/>
                <w:bCs/>
                <w:sz w:val="24"/>
                <w:szCs w:val="24"/>
                <w:lang w:val="es-ES_tradnl"/>
              </w:rPr>
              <w:t xml:space="preserve"> de Radiocomunicaciones </w:t>
            </w:r>
          </w:p>
        </w:tc>
      </w:tr>
      <w:tr w:rsidR="00E53DCE" w:rsidRPr="009214FC" w:rsidTr="006160CB">
        <w:tc>
          <w:tcPr>
            <w:tcW w:w="9889" w:type="dxa"/>
            <w:gridSpan w:val="3"/>
            <w:shd w:val="clear" w:color="auto" w:fill="auto"/>
          </w:tcPr>
          <w:p w:rsidR="00E53DCE" w:rsidRPr="0051415A" w:rsidRDefault="00E53DCE" w:rsidP="006160CB">
            <w:pPr>
              <w:spacing w:before="0"/>
              <w:jc w:val="left"/>
              <w:rPr>
                <w:sz w:val="24"/>
                <w:szCs w:val="24"/>
                <w:lang w:val="es-ES"/>
              </w:rPr>
            </w:pPr>
          </w:p>
        </w:tc>
      </w:tr>
      <w:tr w:rsidR="00E53DCE" w:rsidRPr="009214FC" w:rsidTr="006160CB">
        <w:tc>
          <w:tcPr>
            <w:tcW w:w="9889" w:type="dxa"/>
            <w:gridSpan w:val="3"/>
            <w:shd w:val="clear" w:color="auto" w:fill="auto"/>
          </w:tcPr>
          <w:p w:rsidR="00E53DCE" w:rsidRPr="0051415A" w:rsidRDefault="00E53DCE" w:rsidP="006160CB">
            <w:pPr>
              <w:spacing w:before="0"/>
              <w:jc w:val="left"/>
              <w:rPr>
                <w:sz w:val="24"/>
                <w:szCs w:val="24"/>
                <w:lang w:val="es-ES"/>
              </w:rPr>
            </w:pPr>
          </w:p>
        </w:tc>
      </w:tr>
      <w:tr w:rsidR="00E53DCE" w:rsidRPr="009214FC" w:rsidTr="006160CB">
        <w:tc>
          <w:tcPr>
            <w:tcW w:w="1526" w:type="dxa"/>
            <w:shd w:val="clear" w:color="auto" w:fill="auto"/>
          </w:tcPr>
          <w:p w:rsidR="00E53DCE" w:rsidRPr="00653BD4" w:rsidRDefault="00A96D3A" w:rsidP="006160CB">
            <w:pPr>
              <w:keepNext/>
              <w:keepLines/>
              <w:tabs>
                <w:tab w:val="clear" w:pos="1588"/>
                <w:tab w:val="left" w:pos="1560"/>
              </w:tabs>
              <w:spacing w:before="0" w:after="120"/>
              <w:jc w:val="left"/>
              <w:rPr>
                <w:sz w:val="24"/>
                <w:szCs w:val="24"/>
                <w:lang w:val="es-ES_tradnl"/>
              </w:rPr>
            </w:pPr>
            <w:r w:rsidRPr="00653BD4">
              <w:rPr>
                <w:sz w:val="24"/>
                <w:szCs w:val="24"/>
                <w:lang w:val="es-ES_tradnl"/>
              </w:rPr>
              <w:t>Objeto:</w:t>
            </w:r>
          </w:p>
        </w:tc>
        <w:tc>
          <w:tcPr>
            <w:tcW w:w="8363" w:type="dxa"/>
            <w:gridSpan w:val="2"/>
            <w:vMerge w:val="restart"/>
            <w:shd w:val="clear" w:color="auto" w:fill="auto"/>
          </w:tcPr>
          <w:p w:rsidR="00E53DCE" w:rsidRPr="00F74CED" w:rsidRDefault="002509FF" w:rsidP="00653BD4">
            <w:pPr>
              <w:keepNext/>
              <w:keepLines/>
              <w:tabs>
                <w:tab w:val="clear" w:pos="1588"/>
                <w:tab w:val="left" w:pos="1560"/>
              </w:tabs>
              <w:spacing w:before="0" w:after="120"/>
              <w:rPr>
                <w:b/>
                <w:sz w:val="24"/>
                <w:szCs w:val="24"/>
                <w:lang w:val="es-ES_tradnl"/>
              </w:rPr>
            </w:pPr>
            <w:r w:rsidRPr="00F74CED">
              <w:rPr>
                <w:b/>
                <w:sz w:val="24"/>
                <w:szCs w:val="24"/>
                <w:lang w:val="es-ES_tradnl"/>
              </w:rPr>
              <w:t xml:space="preserve">Comisión de Estudio </w:t>
            </w:r>
            <w:r w:rsidR="00653BD4" w:rsidRPr="00F74CED">
              <w:rPr>
                <w:b/>
                <w:sz w:val="24"/>
                <w:szCs w:val="24"/>
                <w:lang w:val="es-ES_tradnl"/>
              </w:rPr>
              <w:t>4</w:t>
            </w:r>
            <w:r w:rsidRPr="00F74CED">
              <w:rPr>
                <w:b/>
                <w:sz w:val="24"/>
                <w:szCs w:val="24"/>
                <w:lang w:val="es-ES_tradnl"/>
              </w:rPr>
              <w:t xml:space="preserve"> de Radiocomunicaciones</w:t>
            </w:r>
            <w:r w:rsidR="00970B69">
              <w:rPr>
                <w:b/>
                <w:sz w:val="24"/>
                <w:szCs w:val="24"/>
                <w:lang w:val="es-ES_tradnl"/>
              </w:rPr>
              <w:t xml:space="preserve"> (Servicios p</w:t>
            </w:r>
            <w:r w:rsidR="009214FC">
              <w:rPr>
                <w:b/>
                <w:sz w:val="24"/>
                <w:szCs w:val="24"/>
                <w:lang w:val="es-ES_tradnl"/>
              </w:rPr>
              <w:t>o</w:t>
            </w:r>
            <w:bookmarkStart w:id="0" w:name="_GoBack"/>
            <w:bookmarkEnd w:id="0"/>
            <w:r w:rsidR="00970B69">
              <w:rPr>
                <w:b/>
                <w:sz w:val="24"/>
                <w:szCs w:val="24"/>
                <w:lang w:val="es-ES_tradnl"/>
              </w:rPr>
              <w:t>r satélite)</w:t>
            </w:r>
          </w:p>
          <w:p w:rsidR="002509FF" w:rsidRPr="00F74CED" w:rsidRDefault="002509FF" w:rsidP="00714952">
            <w:pPr>
              <w:tabs>
                <w:tab w:val="clear" w:pos="794"/>
                <w:tab w:val="clear" w:pos="1588"/>
                <w:tab w:val="left" w:pos="1418"/>
              </w:tabs>
              <w:spacing w:before="240"/>
              <w:ind w:left="318" w:hanging="318"/>
              <w:jc w:val="left"/>
              <w:rPr>
                <w:b/>
                <w:sz w:val="24"/>
                <w:szCs w:val="24"/>
                <w:lang w:val="es-ES_tradnl"/>
              </w:rPr>
            </w:pPr>
            <w:r w:rsidRPr="00F74CED">
              <w:rPr>
                <w:b/>
                <w:sz w:val="24"/>
                <w:szCs w:val="24"/>
                <w:lang w:val="es-ES_tradnl"/>
              </w:rPr>
              <w:t>–</w:t>
            </w:r>
            <w:r w:rsidRPr="00F74CED">
              <w:rPr>
                <w:b/>
                <w:sz w:val="24"/>
                <w:szCs w:val="24"/>
                <w:lang w:val="es-ES_tradnl"/>
              </w:rPr>
              <w:tab/>
              <w:t xml:space="preserve">Propuesta de adopción </w:t>
            </w:r>
            <w:r w:rsidR="00653BD4" w:rsidRPr="00F74CED">
              <w:rPr>
                <w:b/>
                <w:sz w:val="24"/>
                <w:szCs w:val="24"/>
                <w:lang w:val="es-ES_tradnl"/>
              </w:rPr>
              <w:t>de 2</w:t>
            </w:r>
            <w:r w:rsidRPr="00F74CED">
              <w:rPr>
                <w:b/>
                <w:sz w:val="24"/>
                <w:szCs w:val="24"/>
                <w:lang w:val="es-ES_tradnl"/>
              </w:rPr>
              <w:t xml:space="preserve"> proyectos de </w:t>
            </w:r>
            <w:r w:rsidR="00653BD4" w:rsidRPr="00F74CED">
              <w:rPr>
                <w:b/>
                <w:sz w:val="24"/>
                <w:szCs w:val="24"/>
                <w:lang w:val="es-ES_tradnl"/>
              </w:rPr>
              <w:t xml:space="preserve">nuevas Recomendaciones UIT-R y </w:t>
            </w:r>
            <w:r w:rsidR="00D3546F" w:rsidRPr="00F74CED">
              <w:rPr>
                <w:b/>
                <w:sz w:val="24"/>
                <w:szCs w:val="24"/>
                <w:lang w:val="es-ES_tradnl"/>
              </w:rPr>
              <w:br/>
            </w:r>
            <w:r w:rsidR="00653BD4" w:rsidRPr="00F74CED">
              <w:rPr>
                <w:b/>
                <w:sz w:val="24"/>
                <w:szCs w:val="24"/>
                <w:lang w:val="es-ES_tradnl"/>
              </w:rPr>
              <w:t>3</w:t>
            </w:r>
            <w:r w:rsidRPr="00F74CED">
              <w:rPr>
                <w:b/>
                <w:sz w:val="24"/>
                <w:szCs w:val="24"/>
                <w:lang w:val="es-ES_tradnl"/>
              </w:rPr>
              <w:t xml:space="preserve"> proyectos de Recomendaciones UIT-R revisadas y su aprobación simultánea por correspondencia de conformidad con el § 10.3 de la Resolución UIT</w:t>
            </w:r>
            <w:r w:rsidR="00653BD4" w:rsidRPr="00F74CED">
              <w:rPr>
                <w:b/>
                <w:sz w:val="24"/>
                <w:szCs w:val="24"/>
                <w:lang w:val="es-ES_tradnl"/>
              </w:rPr>
              <w:t>-</w:t>
            </w:r>
            <w:r w:rsidRPr="00F74CED">
              <w:rPr>
                <w:b/>
                <w:sz w:val="24"/>
                <w:szCs w:val="24"/>
                <w:lang w:val="es-ES_tradnl"/>
              </w:rPr>
              <w:t>R 1</w:t>
            </w:r>
            <w:r w:rsidR="00653BD4" w:rsidRPr="00F74CED">
              <w:rPr>
                <w:b/>
                <w:sz w:val="24"/>
                <w:szCs w:val="24"/>
                <w:lang w:val="es-ES_tradnl"/>
              </w:rPr>
              <w:t>-</w:t>
            </w:r>
            <w:r w:rsidRPr="00F74CED">
              <w:rPr>
                <w:b/>
                <w:sz w:val="24"/>
                <w:szCs w:val="24"/>
                <w:lang w:val="es-ES_tradnl"/>
              </w:rPr>
              <w:t>6 (Procedimiento para la adopción y aprobación simultánea por correspondencia)</w:t>
            </w:r>
          </w:p>
        </w:tc>
      </w:tr>
      <w:tr w:rsidR="00E53DCE" w:rsidRPr="009214FC" w:rsidTr="006160CB">
        <w:tc>
          <w:tcPr>
            <w:tcW w:w="1526" w:type="dxa"/>
            <w:shd w:val="clear" w:color="auto" w:fill="auto"/>
          </w:tcPr>
          <w:p w:rsidR="00E53DCE" w:rsidRPr="0051415A"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51415A" w:rsidRDefault="00E53DCE" w:rsidP="006160CB">
            <w:pPr>
              <w:tabs>
                <w:tab w:val="clear" w:pos="1588"/>
                <w:tab w:val="left" w:pos="1560"/>
              </w:tabs>
              <w:spacing w:before="0"/>
              <w:rPr>
                <w:b/>
                <w:bCs/>
                <w:sz w:val="24"/>
                <w:szCs w:val="24"/>
                <w:lang w:val="es-ES_tradnl"/>
              </w:rPr>
            </w:pPr>
          </w:p>
        </w:tc>
      </w:tr>
      <w:tr w:rsidR="00E53DCE" w:rsidRPr="009214FC" w:rsidTr="006160CB">
        <w:tc>
          <w:tcPr>
            <w:tcW w:w="1526" w:type="dxa"/>
            <w:shd w:val="clear" w:color="auto" w:fill="auto"/>
          </w:tcPr>
          <w:p w:rsidR="00E53DCE" w:rsidRPr="0051415A"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51415A" w:rsidRDefault="00E53DCE" w:rsidP="006160CB">
            <w:pPr>
              <w:tabs>
                <w:tab w:val="clear" w:pos="1588"/>
                <w:tab w:val="left" w:pos="1560"/>
              </w:tabs>
              <w:spacing w:before="0"/>
              <w:rPr>
                <w:b/>
                <w:bCs/>
                <w:sz w:val="24"/>
                <w:szCs w:val="24"/>
                <w:lang w:val="es-ES_tradnl"/>
              </w:rPr>
            </w:pPr>
          </w:p>
        </w:tc>
      </w:tr>
      <w:tr w:rsidR="00E53DCE" w:rsidRPr="009214FC" w:rsidTr="006160CB">
        <w:tc>
          <w:tcPr>
            <w:tcW w:w="9889" w:type="dxa"/>
            <w:gridSpan w:val="3"/>
            <w:shd w:val="clear" w:color="auto" w:fill="auto"/>
          </w:tcPr>
          <w:p w:rsidR="00E53DCE" w:rsidRPr="0051415A" w:rsidRDefault="00E53DCE" w:rsidP="00E53DCE">
            <w:pPr>
              <w:tabs>
                <w:tab w:val="clear" w:pos="1588"/>
                <w:tab w:val="left" w:pos="1560"/>
              </w:tabs>
              <w:spacing w:before="0"/>
              <w:jc w:val="left"/>
              <w:rPr>
                <w:sz w:val="24"/>
                <w:szCs w:val="24"/>
                <w:lang w:val="es-ES_tradnl"/>
              </w:rPr>
            </w:pPr>
          </w:p>
        </w:tc>
      </w:tr>
      <w:tr w:rsidR="00E53DCE" w:rsidRPr="009214FC" w:rsidTr="006160CB">
        <w:tc>
          <w:tcPr>
            <w:tcW w:w="9889" w:type="dxa"/>
            <w:gridSpan w:val="3"/>
            <w:shd w:val="clear" w:color="auto" w:fill="auto"/>
          </w:tcPr>
          <w:p w:rsidR="00E53DCE" w:rsidRPr="0051415A" w:rsidRDefault="00E53DCE" w:rsidP="006160CB">
            <w:pPr>
              <w:spacing w:before="0"/>
              <w:jc w:val="left"/>
              <w:rPr>
                <w:b/>
                <w:bCs/>
                <w:sz w:val="24"/>
                <w:szCs w:val="24"/>
                <w:lang w:val="es-ES_tradnl"/>
              </w:rPr>
            </w:pPr>
          </w:p>
        </w:tc>
      </w:tr>
    </w:tbl>
    <w:p w:rsidR="00E53DCE" w:rsidRPr="00653BD4" w:rsidRDefault="00E53DCE" w:rsidP="00E53DCE">
      <w:pPr>
        <w:rPr>
          <w:sz w:val="24"/>
          <w:szCs w:val="24"/>
          <w:lang w:val="es-ES"/>
        </w:rPr>
      </w:pPr>
    </w:p>
    <w:p w:rsidR="002509FF" w:rsidRPr="00653BD4" w:rsidRDefault="002509FF" w:rsidP="00653BD4">
      <w:pPr>
        <w:spacing w:before="120"/>
        <w:rPr>
          <w:sz w:val="24"/>
          <w:szCs w:val="24"/>
          <w:lang w:val="es-ES_tradnl"/>
        </w:rPr>
      </w:pPr>
      <w:r w:rsidRPr="00653BD4">
        <w:rPr>
          <w:sz w:val="24"/>
          <w:szCs w:val="24"/>
          <w:lang w:val="es-ES_tradnl"/>
        </w:rPr>
        <w:t xml:space="preserve">En la reunión de la Comisión de Estudio </w:t>
      </w:r>
      <w:r w:rsidR="00653BD4">
        <w:rPr>
          <w:sz w:val="24"/>
          <w:szCs w:val="24"/>
          <w:lang w:val="es-ES_tradnl"/>
        </w:rPr>
        <w:t>4</w:t>
      </w:r>
      <w:r w:rsidRPr="00653BD4">
        <w:rPr>
          <w:sz w:val="24"/>
          <w:szCs w:val="24"/>
          <w:lang w:val="es-ES_tradnl"/>
        </w:rPr>
        <w:t xml:space="preserve"> de</w:t>
      </w:r>
      <w:r w:rsidR="00653BD4">
        <w:rPr>
          <w:sz w:val="24"/>
          <w:szCs w:val="24"/>
          <w:lang w:val="es-ES_tradnl"/>
        </w:rPr>
        <w:t xml:space="preserve"> Radiocomunicaciones celebrada </w:t>
      </w:r>
      <w:r w:rsidRPr="00653BD4">
        <w:rPr>
          <w:sz w:val="24"/>
          <w:szCs w:val="24"/>
          <w:lang w:val="es-ES_tradnl"/>
        </w:rPr>
        <w:t xml:space="preserve">el </w:t>
      </w:r>
      <w:r w:rsidR="00653BD4">
        <w:rPr>
          <w:sz w:val="24"/>
          <w:szCs w:val="24"/>
          <w:lang w:val="es-ES_tradnl"/>
        </w:rPr>
        <w:t>11 de octubre</w:t>
      </w:r>
      <w:r w:rsidRPr="00653BD4">
        <w:rPr>
          <w:sz w:val="24"/>
          <w:szCs w:val="24"/>
          <w:lang w:val="es-ES_tradnl"/>
        </w:rPr>
        <w:t xml:space="preserve"> de 2013, la Comisión de Estudio de</w:t>
      </w:r>
      <w:r w:rsidR="00653BD4">
        <w:rPr>
          <w:sz w:val="24"/>
          <w:szCs w:val="24"/>
          <w:lang w:val="es-ES_tradnl"/>
        </w:rPr>
        <w:t>cidió solicitar la adopción de 2</w:t>
      </w:r>
      <w:r w:rsidRPr="00653BD4">
        <w:rPr>
          <w:sz w:val="24"/>
          <w:szCs w:val="24"/>
          <w:lang w:val="es-ES_tradnl"/>
        </w:rPr>
        <w:t xml:space="preserve"> proyectos </w:t>
      </w:r>
      <w:r w:rsidR="00653BD4">
        <w:rPr>
          <w:sz w:val="24"/>
          <w:szCs w:val="24"/>
          <w:lang w:val="es-ES_tradnl"/>
        </w:rPr>
        <w:t>de nuevas Recomendaciones</w:t>
      </w:r>
      <w:r w:rsidR="00F74CED">
        <w:rPr>
          <w:sz w:val="24"/>
          <w:szCs w:val="24"/>
          <w:lang w:val="es-ES_tradnl"/>
        </w:rPr>
        <w:t xml:space="preserve"> UIT-R</w:t>
      </w:r>
      <w:r w:rsidR="00653BD4">
        <w:rPr>
          <w:sz w:val="24"/>
          <w:szCs w:val="24"/>
          <w:lang w:val="es-ES_tradnl"/>
        </w:rPr>
        <w:t xml:space="preserve"> y de 3</w:t>
      </w:r>
      <w:r w:rsidRPr="00653BD4">
        <w:rPr>
          <w:sz w:val="24"/>
          <w:szCs w:val="24"/>
          <w:lang w:val="es-ES_tradnl"/>
        </w:rPr>
        <w:t xml:space="preserve"> proyectos de Recomendaciones </w:t>
      </w:r>
      <w:r w:rsidR="00F74CED">
        <w:rPr>
          <w:sz w:val="24"/>
          <w:szCs w:val="24"/>
          <w:lang w:val="es-ES_tradnl"/>
        </w:rPr>
        <w:t xml:space="preserve">UIT-R </w:t>
      </w:r>
      <w:r w:rsidRPr="00653BD4">
        <w:rPr>
          <w:sz w:val="24"/>
          <w:szCs w:val="24"/>
          <w:lang w:val="es-ES_tradnl"/>
        </w:rPr>
        <w:t>revisadas por correspondencia (§ 10.2.3 de la Resolución UIT</w:t>
      </w:r>
      <w:r w:rsidR="00653BD4">
        <w:rPr>
          <w:sz w:val="24"/>
          <w:szCs w:val="24"/>
          <w:lang w:val="es-ES_tradnl"/>
        </w:rPr>
        <w:t>-</w:t>
      </w:r>
      <w:r w:rsidRPr="00653BD4">
        <w:rPr>
          <w:sz w:val="24"/>
          <w:szCs w:val="24"/>
          <w:lang w:val="es-ES_tradnl"/>
        </w:rPr>
        <w:t>R 1</w:t>
      </w:r>
      <w:r w:rsidR="00653BD4">
        <w:rPr>
          <w:sz w:val="24"/>
          <w:szCs w:val="24"/>
          <w:lang w:val="es-ES_tradnl"/>
        </w:rPr>
        <w:t>-</w:t>
      </w:r>
      <w:r w:rsidRPr="00653BD4">
        <w:rPr>
          <w:sz w:val="24"/>
          <w:szCs w:val="24"/>
          <w:lang w:val="es-ES_tradnl"/>
        </w:rPr>
        <w:t>6) y además decidió aplicar el procedimiento de adopción y aprobación simultáneas por correspondencia (PAAS) (§ 10.3 de la Resolución UIT</w:t>
      </w:r>
      <w:r w:rsidR="00653BD4">
        <w:rPr>
          <w:sz w:val="24"/>
          <w:szCs w:val="24"/>
          <w:lang w:val="es-ES_tradnl"/>
        </w:rPr>
        <w:t>-R 1-</w:t>
      </w:r>
      <w:r w:rsidRPr="00653BD4">
        <w:rPr>
          <w:sz w:val="24"/>
          <w:szCs w:val="24"/>
          <w:lang w:val="es-ES_tradnl"/>
        </w:rPr>
        <w:t>6). Los títulos y resúmenes de los proyectos de Recom</w:t>
      </w:r>
      <w:r w:rsidR="00653BD4">
        <w:rPr>
          <w:sz w:val="24"/>
          <w:szCs w:val="24"/>
          <w:lang w:val="es-ES_tradnl"/>
        </w:rPr>
        <w:t>endaciones aparecen en el Anexo</w:t>
      </w:r>
      <w:r w:rsidRPr="00653BD4">
        <w:rPr>
          <w:sz w:val="24"/>
          <w:szCs w:val="24"/>
          <w:lang w:val="es-ES_tradnl"/>
        </w:rPr>
        <w:t xml:space="preserve">. </w:t>
      </w:r>
    </w:p>
    <w:p w:rsidR="002509FF" w:rsidRPr="00653BD4" w:rsidRDefault="002509FF" w:rsidP="004574E8">
      <w:pPr>
        <w:rPr>
          <w:sz w:val="24"/>
          <w:szCs w:val="24"/>
          <w:lang w:val="es-ES_tradnl"/>
        </w:rPr>
      </w:pPr>
      <w:r w:rsidRPr="00653BD4">
        <w:rPr>
          <w:sz w:val="24"/>
          <w:szCs w:val="24"/>
          <w:lang w:val="es-ES_tradnl"/>
        </w:rPr>
        <w:t xml:space="preserve">El periodo de consideración se extenderá durante 2 meses finalizando el </w:t>
      </w:r>
      <w:r w:rsidR="00653BD4">
        <w:rPr>
          <w:sz w:val="24"/>
          <w:szCs w:val="24"/>
          <w:u w:val="single"/>
          <w:lang w:val="es-ES_tradnl"/>
        </w:rPr>
        <w:t>2</w:t>
      </w:r>
      <w:r w:rsidR="004574E8">
        <w:rPr>
          <w:sz w:val="24"/>
          <w:szCs w:val="24"/>
          <w:u w:val="single"/>
          <w:lang w:val="es-ES_tradnl"/>
        </w:rPr>
        <w:t>8</w:t>
      </w:r>
      <w:r w:rsidR="00653BD4">
        <w:rPr>
          <w:sz w:val="24"/>
          <w:szCs w:val="24"/>
          <w:u w:val="single"/>
          <w:lang w:val="es-ES_tradnl"/>
        </w:rPr>
        <w:t xml:space="preserve"> de diciembre de</w:t>
      </w:r>
      <w:r w:rsidRPr="00653BD4">
        <w:rPr>
          <w:sz w:val="24"/>
          <w:szCs w:val="24"/>
          <w:u w:val="single"/>
          <w:lang w:val="es-ES_tradnl"/>
        </w:rPr>
        <w:t xml:space="preserve"> 2013</w:t>
      </w:r>
      <w:r w:rsidRPr="00653BD4">
        <w:rPr>
          <w:sz w:val="24"/>
          <w:szCs w:val="24"/>
          <w:lang w:val="es-ES_tradnl"/>
        </w:rPr>
        <w:t xml:space="preserve">. Si durante este periodo no se reciben objeciones de los Estados Miembros, se considerará que los proyectos de Recomendaciones serán adoptados por </w:t>
      </w:r>
      <w:r w:rsidR="00BF2C15">
        <w:rPr>
          <w:sz w:val="24"/>
          <w:szCs w:val="24"/>
          <w:lang w:val="es-ES_tradnl"/>
        </w:rPr>
        <w:t>la Comisión de Estudio 4</w:t>
      </w:r>
      <w:r w:rsidRPr="00653BD4">
        <w:rPr>
          <w:sz w:val="24"/>
          <w:szCs w:val="24"/>
          <w:lang w:val="es-ES_tradnl"/>
        </w:rPr>
        <w:t>. Además, como se ha seguido el PAAS, los proyectos de Recomendaciones también se considerarán aprobados.</w:t>
      </w:r>
    </w:p>
    <w:p w:rsidR="002509FF" w:rsidRPr="00653BD4" w:rsidRDefault="002509FF" w:rsidP="00653BD4">
      <w:pPr>
        <w:rPr>
          <w:sz w:val="24"/>
          <w:szCs w:val="24"/>
          <w:lang w:val="es-ES_tradnl"/>
        </w:rPr>
      </w:pPr>
      <w:r w:rsidRPr="00653BD4">
        <w:rPr>
          <w:sz w:val="24"/>
          <w:szCs w:val="24"/>
          <w:lang w:val="es-ES_tradnl"/>
        </w:rPr>
        <w:t>Todo Estado Miembro que objete la adopción de un proyecto de Recomendación debe informar al Director y al Presidente de la Comisión de Estudio de los motivos de dicha objeción.</w:t>
      </w:r>
    </w:p>
    <w:p w:rsidR="002509FF" w:rsidRPr="00653BD4" w:rsidRDefault="002509FF" w:rsidP="00653BD4">
      <w:pPr>
        <w:rPr>
          <w:sz w:val="24"/>
          <w:szCs w:val="24"/>
          <w:lang w:val="es-ES_tradnl"/>
        </w:rPr>
      </w:pPr>
      <w:r w:rsidRPr="00653BD4">
        <w:rPr>
          <w:sz w:val="24"/>
          <w:szCs w:val="24"/>
          <w:lang w:val="es-ES_tradnl"/>
        </w:rPr>
        <w:t>Tras la fecha límite mencionada, los resultados del PAAS se comunicarán mediante Circular Administrativa y se publicarán las Recomendaciones aprobadas tan pronto como sea posible (véase </w:t>
      </w:r>
      <w:hyperlink r:id="rId9" w:history="1">
        <w:r w:rsidRPr="00653BD4">
          <w:rPr>
            <w:color w:val="0000FF"/>
            <w:sz w:val="24"/>
            <w:szCs w:val="24"/>
            <w:u w:val="single"/>
            <w:lang w:val="es-ES_tradnl"/>
          </w:rPr>
          <w:t>http://www.itu.int/pub/R-REC</w:t>
        </w:r>
      </w:hyperlink>
      <w:r w:rsidRPr="00653BD4">
        <w:rPr>
          <w:sz w:val="24"/>
          <w:szCs w:val="24"/>
          <w:lang w:val="es-ES_tradnl"/>
        </w:rPr>
        <w:t>).</w:t>
      </w:r>
    </w:p>
    <w:p w:rsidR="00D21694" w:rsidRPr="002509FF" w:rsidRDefault="00D21694" w:rsidP="00031E64">
      <w:pPr>
        <w:rPr>
          <w:rFonts w:asciiTheme="minorHAnsi" w:hAnsiTheme="minorHAnsi" w:cstheme="minorHAnsi"/>
          <w:sz w:val="24"/>
          <w:szCs w:val="24"/>
          <w:lang w:val="es-ES_tradnl"/>
        </w:rPr>
      </w:pPr>
    </w:p>
    <w:p w:rsidR="00FE4822" w:rsidRPr="002509FF" w:rsidRDefault="00FE4822" w:rsidP="00031E64">
      <w:pPr>
        <w:rPr>
          <w:rFonts w:asciiTheme="minorHAnsi" w:hAnsiTheme="minorHAnsi" w:cstheme="minorHAnsi"/>
          <w:sz w:val="24"/>
          <w:szCs w:val="24"/>
          <w:lang w:val="es-ES_tradnl"/>
        </w:rPr>
      </w:pPr>
    </w:p>
    <w:p w:rsidR="00FE4822" w:rsidRPr="002509FF" w:rsidRDefault="00FE4822" w:rsidP="00031E64">
      <w:pPr>
        <w:rPr>
          <w:rFonts w:asciiTheme="minorHAnsi" w:hAnsiTheme="minorHAnsi" w:cstheme="minorHAnsi"/>
          <w:sz w:val="24"/>
          <w:szCs w:val="24"/>
          <w:lang w:val="es-ES_tradnl"/>
        </w:rPr>
      </w:pPr>
    </w:p>
    <w:p w:rsidR="00FE4822" w:rsidRPr="002509FF" w:rsidRDefault="00FE4822" w:rsidP="00031E64">
      <w:pPr>
        <w:rPr>
          <w:rFonts w:asciiTheme="minorHAnsi" w:hAnsiTheme="minorHAnsi" w:cstheme="minorHAnsi"/>
          <w:sz w:val="24"/>
          <w:szCs w:val="24"/>
          <w:lang w:val="es-ES_tradnl"/>
        </w:rPr>
      </w:pPr>
    </w:p>
    <w:p w:rsidR="00653BD4" w:rsidRDefault="00653BD4">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s-ES_tradnl"/>
        </w:rPr>
      </w:pPr>
      <w:r>
        <w:rPr>
          <w:sz w:val="24"/>
          <w:szCs w:val="24"/>
          <w:lang w:val="es-ES_tradnl"/>
        </w:rPr>
        <w:br w:type="page"/>
      </w:r>
    </w:p>
    <w:p w:rsidR="002509FF" w:rsidRPr="00BF1E44" w:rsidRDefault="002509FF" w:rsidP="00BF1E44">
      <w:pPr>
        <w:rPr>
          <w:sz w:val="24"/>
          <w:szCs w:val="24"/>
          <w:lang w:val="es-ES_tradnl"/>
        </w:rPr>
      </w:pPr>
      <w:r w:rsidRPr="00BF1E44">
        <w:rPr>
          <w:sz w:val="24"/>
          <w:szCs w:val="24"/>
          <w:lang w:val="es-ES_tradnl"/>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w:t>
      </w:r>
      <w:r w:rsidR="00E9704A" w:rsidRPr="00BF1E44">
        <w:rPr>
          <w:color w:val="0000FF" w:themeColor="hyperlink"/>
          <w:sz w:val="24"/>
          <w:szCs w:val="24"/>
          <w:lang w:val="es-ES_tradnl"/>
        </w:rPr>
        <w:t xml:space="preserve"> </w:t>
      </w:r>
      <w:hyperlink r:id="rId10" w:history="1">
        <w:r w:rsidR="00E9704A" w:rsidRPr="00BF1E44">
          <w:rPr>
            <w:rStyle w:val="Hyperlink"/>
            <w:sz w:val="24"/>
            <w:szCs w:val="24"/>
            <w:lang w:val="es-ES_tradnl"/>
          </w:rPr>
          <w:t>http://www.itu.int/en/ITU-T/ipr/Pages/policy.aspx</w:t>
        </w:r>
      </w:hyperlink>
      <w:r w:rsidRPr="00BF1E44">
        <w:rPr>
          <w:sz w:val="24"/>
          <w:szCs w:val="24"/>
          <w:lang w:val="es-ES_tradnl"/>
        </w:rPr>
        <w:t>.</w:t>
      </w:r>
    </w:p>
    <w:p w:rsidR="00031E64" w:rsidRPr="0051415A" w:rsidRDefault="00E53DCE" w:rsidP="002509FF">
      <w:pPr>
        <w:spacing w:before="1418" w:line="240" w:lineRule="auto"/>
        <w:jc w:val="left"/>
        <w:rPr>
          <w:sz w:val="24"/>
          <w:szCs w:val="24"/>
          <w:lang w:val="es-ES"/>
        </w:rPr>
      </w:pPr>
      <w:r w:rsidRPr="0051415A">
        <w:rPr>
          <w:sz w:val="24"/>
          <w:szCs w:val="24"/>
          <w:lang w:val="es-ES"/>
        </w:rPr>
        <w:t>François Rancy</w:t>
      </w:r>
      <w:r w:rsidRPr="0051415A">
        <w:rPr>
          <w:sz w:val="24"/>
          <w:szCs w:val="24"/>
          <w:lang w:val="es-ES"/>
        </w:rPr>
        <w:br/>
      </w:r>
      <w:r w:rsidR="00A96D3A" w:rsidRPr="0051415A">
        <w:rPr>
          <w:sz w:val="24"/>
          <w:szCs w:val="24"/>
          <w:lang w:val="es-ES"/>
        </w:rPr>
        <w:t xml:space="preserve">Director </w:t>
      </w:r>
    </w:p>
    <w:p w:rsidR="002509FF" w:rsidRPr="0051415A" w:rsidRDefault="002509FF" w:rsidP="002509FF">
      <w:pPr>
        <w:spacing w:before="1418" w:line="240" w:lineRule="auto"/>
        <w:jc w:val="left"/>
        <w:rPr>
          <w:sz w:val="24"/>
          <w:szCs w:val="24"/>
          <w:lang w:val="es-ES"/>
        </w:rPr>
      </w:pPr>
    </w:p>
    <w:p w:rsidR="002509FF" w:rsidRPr="0051415A" w:rsidRDefault="002509FF" w:rsidP="00BF1E44">
      <w:pPr>
        <w:rPr>
          <w:sz w:val="24"/>
          <w:szCs w:val="24"/>
          <w:lang w:val="es-ES_tradnl"/>
        </w:rPr>
      </w:pPr>
      <w:r w:rsidRPr="0051415A">
        <w:rPr>
          <w:b/>
          <w:bCs/>
          <w:sz w:val="24"/>
          <w:szCs w:val="24"/>
          <w:lang w:val="es-ES_tradnl"/>
        </w:rPr>
        <w:t>Anexo:</w:t>
      </w:r>
      <w:r w:rsidRPr="0051415A">
        <w:rPr>
          <w:sz w:val="24"/>
          <w:szCs w:val="24"/>
          <w:lang w:val="es-ES_tradnl"/>
        </w:rPr>
        <w:t xml:space="preserve"> Títulos y resúmenes de los proyectos de Recomendaciones</w:t>
      </w:r>
    </w:p>
    <w:p w:rsidR="002509FF" w:rsidRPr="0051415A" w:rsidRDefault="002509FF" w:rsidP="002509FF">
      <w:pPr>
        <w:rPr>
          <w:sz w:val="24"/>
          <w:szCs w:val="24"/>
          <w:lang w:val="es-ES_tradnl"/>
        </w:rPr>
      </w:pPr>
    </w:p>
    <w:p w:rsidR="002509FF" w:rsidRPr="00BF2C15" w:rsidRDefault="002509FF" w:rsidP="00F74CED">
      <w:pPr>
        <w:jc w:val="left"/>
        <w:rPr>
          <w:sz w:val="24"/>
          <w:szCs w:val="24"/>
          <w:lang w:val="es-ES"/>
        </w:rPr>
      </w:pPr>
      <w:r w:rsidRPr="0051415A">
        <w:rPr>
          <w:b/>
          <w:bCs/>
          <w:sz w:val="24"/>
          <w:szCs w:val="24"/>
          <w:lang w:val="es-ES_tradnl"/>
        </w:rPr>
        <w:t>Documento</w:t>
      </w:r>
      <w:r w:rsidR="00F74CED">
        <w:rPr>
          <w:b/>
          <w:bCs/>
          <w:sz w:val="24"/>
          <w:szCs w:val="24"/>
          <w:lang w:val="es-ES_tradnl"/>
        </w:rPr>
        <w:t>s</w:t>
      </w:r>
      <w:r w:rsidRPr="0051415A">
        <w:rPr>
          <w:b/>
          <w:bCs/>
          <w:sz w:val="24"/>
          <w:szCs w:val="24"/>
          <w:lang w:val="es-ES_tradnl"/>
        </w:rPr>
        <w:t xml:space="preserve"> adjunto</w:t>
      </w:r>
      <w:r w:rsidR="00F74CED">
        <w:rPr>
          <w:b/>
          <w:bCs/>
          <w:sz w:val="24"/>
          <w:szCs w:val="24"/>
          <w:lang w:val="es-ES_tradnl"/>
        </w:rPr>
        <w:t>s</w:t>
      </w:r>
      <w:r w:rsidRPr="0051415A">
        <w:rPr>
          <w:b/>
          <w:bCs/>
          <w:sz w:val="24"/>
          <w:szCs w:val="24"/>
          <w:lang w:val="es-ES_tradnl"/>
        </w:rPr>
        <w:t>:</w:t>
      </w:r>
      <w:r w:rsidRPr="0051415A">
        <w:rPr>
          <w:sz w:val="24"/>
          <w:szCs w:val="24"/>
          <w:lang w:val="es-ES_tradnl"/>
        </w:rPr>
        <w:t xml:space="preserve"> </w:t>
      </w:r>
      <w:r w:rsidR="00BF1E44" w:rsidRPr="00BF2C15">
        <w:rPr>
          <w:sz w:val="24"/>
          <w:szCs w:val="24"/>
          <w:lang w:val="es-ES"/>
        </w:rPr>
        <w:t xml:space="preserve">Documents 4/28(Rev.1), 4/37(Rev.1), 4/38(Rev.1), 4/40(Rev.1), </w:t>
      </w:r>
      <w:r w:rsidR="00F74CED">
        <w:rPr>
          <w:sz w:val="24"/>
          <w:szCs w:val="24"/>
          <w:lang w:val="es-ES"/>
        </w:rPr>
        <w:t>4</w:t>
      </w:r>
      <w:r w:rsidR="00BF1E44" w:rsidRPr="00BF2C15">
        <w:rPr>
          <w:sz w:val="24"/>
          <w:szCs w:val="24"/>
          <w:lang w:val="es-ES"/>
        </w:rPr>
        <w:t>/43(Rev.1)</w:t>
      </w:r>
    </w:p>
    <w:p w:rsidR="00BF1E44" w:rsidRPr="00BF2C15" w:rsidRDefault="00BF1E44" w:rsidP="00BF1E44">
      <w:pPr>
        <w:jc w:val="left"/>
        <w:rPr>
          <w:rStyle w:val="Hyperlink"/>
          <w:sz w:val="24"/>
          <w:szCs w:val="24"/>
          <w:lang w:val="es-ES"/>
        </w:rPr>
      </w:pPr>
      <w:r w:rsidRPr="000619EC">
        <w:rPr>
          <w:rFonts w:asciiTheme="minorHAnsi" w:hAnsiTheme="minorHAnsi" w:cstheme="minorHAnsi"/>
          <w:color w:val="000000"/>
          <w:sz w:val="24"/>
          <w:szCs w:val="24"/>
          <w:lang w:val="es-ES_tradnl"/>
        </w:rPr>
        <w:t>Estos documentos están disponibles en formato electrónico en</w:t>
      </w:r>
      <w:r w:rsidRPr="000619EC">
        <w:rPr>
          <w:rFonts w:asciiTheme="minorHAnsi" w:hAnsiTheme="minorHAnsi" w:cstheme="minorHAnsi"/>
          <w:sz w:val="24"/>
          <w:szCs w:val="24"/>
          <w:lang w:val="es-ES_tradnl"/>
        </w:rPr>
        <w:t xml:space="preserve">: </w:t>
      </w:r>
      <w:r>
        <w:rPr>
          <w:rFonts w:asciiTheme="minorHAnsi" w:hAnsiTheme="minorHAnsi" w:cstheme="minorHAnsi"/>
          <w:sz w:val="24"/>
          <w:szCs w:val="24"/>
          <w:lang w:val="es-ES_tradnl"/>
        </w:rPr>
        <w:br/>
      </w:r>
      <w:hyperlink r:id="rId11" w:history="1">
        <w:r w:rsidRPr="00BF1E44">
          <w:rPr>
            <w:rStyle w:val="Hyperlink"/>
            <w:sz w:val="24"/>
            <w:szCs w:val="24"/>
            <w:lang w:val="es-ES"/>
          </w:rPr>
          <w:t>http://www.itu.int/md/R12-SG04-C/en</w:t>
        </w:r>
      </w:hyperlink>
    </w:p>
    <w:p w:rsidR="002509FF" w:rsidRPr="00F74CED" w:rsidRDefault="002509FF" w:rsidP="00BF1E44">
      <w:pPr>
        <w:spacing w:before="2880"/>
        <w:jc w:val="left"/>
        <w:rPr>
          <w:b/>
          <w:bCs/>
          <w:sz w:val="18"/>
          <w:szCs w:val="18"/>
          <w:lang w:val="es-ES_tradnl"/>
        </w:rPr>
      </w:pPr>
      <w:r w:rsidRPr="00F74CED">
        <w:rPr>
          <w:b/>
          <w:bCs/>
          <w:sz w:val="18"/>
          <w:szCs w:val="18"/>
          <w:lang w:val="es-ES_tradnl"/>
        </w:rPr>
        <w:t>Distribución:</w:t>
      </w:r>
    </w:p>
    <w:p w:rsidR="002509FF" w:rsidRPr="00F74CED" w:rsidRDefault="00F74CED" w:rsidP="00F74CED">
      <w:pPr>
        <w:tabs>
          <w:tab w:val="left" w:pos="284"/>
          <w:tab w:val="left" w:pos="6237"/>
        </w:tabs>
        <w:spacing w:before="0" w:line="240" w:lineRule="auto"/>
        <w:ind w:left="284" w:hanging="284"/>
        <w:jc w:val="left"/>
        <w:rPr>
          <w:sz w:val="18"/>
          <w:szCs w:val="18"/>
          <w:lang w:val="es-ES_tradnl"/>
        </w:rPr>
      </w:pPr>
      <w:r>
        <w:rPr>
          <w:sz w:val="18"/>
          <w:szCs w:val="18"/>
          <w:lang w:val="es-ES_tradnl"/>
        </w:rPr>
        <w:t>–</w:t>
      </w:r>
      <w:r>
        <w:rPr>
          <w:sz w:val="18"/>
          <w:szCs w:val="18"/>
          <w:lang w:val="es-ES_tradnl"/>
        </w:rPr>
        <w:tab/>
      </w:r>
      <w:r w:rsidR="002509FF" w:rsidRPr="00F74CED">
        <w:rPr>
          <w:sz w:val="18"/>
          <w:szCs w:val="18"/>
          <w:lang w:val="es-ES_tradnl"/>
        </w:rPr>
        <w:t xml:space="preserve">Administraciones de los Estados Miembros </w:t>
      </w:r>
      <w:r w:rsidR="0051415A" w:rsidRPr="00F74CED">
        <w:rPr>
          <w:sz w:val="18"/>
          <w:szCs w:val="18"/>
          <w:lang w:val="es-ES_tradnl"/>
        </w:rPr>
        <w:t xml:space="preserve">de la UIT y </w:t>
      </w:r>
      <w:r w:rsidR="002509FF" w:rsidRPr="00F74CED">
        <w:rPr>
          <w:sz w:val="18"/>
          <w:szCs w:val="18"/>
          <w:lang w:val="es-ES_tradnl"/>
        </w:rPr>
        <w:t>del Sector de Radiocomunicaciones que participan en los trabajos</w:t>
      </w:r>
      <w:r w:rsidR="002509FF" w:rsidRPr="00F74CED">
        <w:rPr>
          <w:sz w:val="18"/>
          <w:szCs w:val="18"/>
          <w:lang w:val="es-ES_tradnl"/>
        </w:rPr>
        <w:br/>
        <w:t xml:space="preserve">de la Comisión de Estudio </w:t>
      </w:r>
      <w:r w:rsidR="00BF1E44" w:rsidRPr="00F74CED">
        <w:rPr>
          <w:sz w:val="18"/>
          <w:szCs w:val="18"/>
          <w:lang w:val="es-ES_tradnl"/>
        </w:rPr>
        <w:t>4</w:t>
      </w:r>
      <w:r w:rsidR="002509FF" w:rsidRPr="00F74CED">
        <w:rPr>
          <w:sz w:val="18"/>
          <w:szCs w:val="18"/>
          <w:lang w:val="es-ES_tradnl"/>
        </w:rPr>
        <w:t xml:space="preserve"> de Radiocomunicaciones </w:t>
      </w:r>
    </w:p>
    <w:p w:rsidR="002509FF" w:rsidRPr="00F74CED" w:rsidRDefault="00F74CED" w:rsidP="00F74CED">
      <w:pPr>
        <w:tabs>
          <w:tab w:val="left" w:pos="567"/>
          <w:tab w:val="left" w:pos="6237"/>
        </w:tabs>
        <w:spacing w:before="0" w:line="240" w:lineRule="auto"/>
        <w:ind w:left="284" w:hanging="284"/>
        <w:jc w:val="left"/>
        <w:rPr>
          <w:sz w:val="18"/>
          <w:szCs w:val="18"/>
          <w:lang w:val="es-ES_tradnl"/>
        </w:rPr>
      </w:pPr>
      <w:r>
        <w:rPr>
          <w:sz w:val="18"/>
          <w:szCs w:val="18"/>
          <w:lang w:val="es-ES_tradnl"/>
        </w:rPr>
        <w:t>–</w:t>
      </w:r>
      <w:r>
        <w:rPr>
          <w:sz w:val="18"/>
          <w:szCs w:val="18"/>
          <w:lang w:val="es-ES_tradnl"/>
        </w:rPr>
        <w:tab/>
      </w:r>
      <w:r w:rsidR="002509FF" w:rsidRPr="00F74CED">
        <w:rPr>
          <w:sz w:val="18"/>
          <w:szCs w:val="18"/>
          <w:lang w:val="es-ES_tradnl"/>
        </w:rPr>
        <w:t>Asociados del UIT-R que participan en los trab</w:t>
      </w:r>
      <w:r w:rsidR="00BF1E44" w:rsidRPr="00F74CED">
        <w:rPr>
          <w:sz w:val="18"/>
          <w:szCs w:val="18"/>
          <w:lang w:val="es-ES_tradnl"/>
        </w:rPr>
        <w:t>ajos de la Comisión de Estudio 4</w:t>
      </w:r>
      <w:r w:rsidR="002509FF" w:rsidRPr="00F74CED">
        <w:rPr>
          <w:sz w:val="18"/>
          <w:szCs w:val="18"/>
          <w:lang w:val="es-ES_tradnl"/>
        </w:rPr>
        <w:t xml:space="preserve"> de Radiocomunicaciones </w:t>
      </w:r>
    </w:p>
    <w:p w:rsidR="002509FF" w:rsidRPr="00F74CED" w:rsidRDefault="00F74CED" w:rsidP="00F74CED">
      <w:pPr>
        <w:tabs>
          <w:tab w:val="left" w:pos="284"/>
          <w:tab w:val="left" w:pos="6237"/>
        </w:tabs>
        <w:spacing w:before="0" w:line="240" w:lineRule="auto"/>
        <w:ind w:left="284" w:hanging="284"/>
        <w:jc w:val="left"/>
        <w:rPr>
          <w:sz w:val="18"/>
          <w:szCs w:val="18"/>
          <w:lang w:val="es-ES_tradnl"/>
        </w:rPr>
      </w:pPr>
      <w:r>
        <w:rPr>
          <w:sz w:val="18"/>
          <w:szCs w:val="18"/>
          <w:lang w:val="es-ES_tradnl"/>
        </w:rPr>
        <w:t>–</w:t>
      </w:r>
      <w:r>
        <w:rPr>
          <w:sz w:val="18"/>
          <w:szCs w:val="18"/>
          <w:lang w:val="es-ES_tradnl"/>
        </w:rPr>
        <w:tab/>
      </w:r>
      <w:r w:rsidR="002509FF" w:rsidRPr="00F74CED">
        <w:rPr>
          <w:sz w:val="18"/>
          <w:szCs w:val="18"/>
          <w:lang w:val="es-ES_tradnl"/>
        </w:rPr>
        <w:t>Presidentes y Vicepresidentes de las Comisiones de Estudio de Radiocomunicaciones y Comisión Especial</w:t>
      </w:r>
      <w:r>
        <w:rPr>
          <w:sz w:val="18"/>
          <w:szCs w:val="18"/>
          <w:lang w:val="es-ES_tradnl"/>
        </w:rPr>
        <w:t xml:space="preserve"> </w:t>
      </w:r>
      <w:r w:rsidR="002509FF" w:rsidRPr="00F74CED">
        <w:rPr>
          <w:sz w:val="18"/>
          <w:szCs w:val="18"/>
          <w:lang w:val="es-ES_tradnl"/>
        </w:rPr>
        <w:t xml:space="preserve">para Asuntos Reglamentarios y de Procedimiento </w:t>
      </w:r>
    </w:p>
    <w:p w:rsidR="002509FF" w:rsidRPr="00F74CED" w:rsidRDefault="00F74CED" w:rsidP="00F74CED">
      <w:pPr>
        <w:tabs>
          <w:tab w:val="left" w:pos="567"/>
          <w:tab w:val="left" w:pos="6237"/>
        </w:tabs>
        <w:spacing w:before="0" w:line="240" w:lineRule="auto"/>
        <w:ind w:left="284" w:hanging="284"/>
        <w:jc w:val="left"/>
        <w:rPr>
          <w:sz w:val="18"/>
          <w:szCs w:val="18"/>
          <w:lang w:val="es-ES_tradnl"/>
        </w:rPr>
      </w:pPr>
      <w:r>
        <w:rPr>
          <w:sz w:val="18"/>
          <w:szCs w:val="18"/>
          <w:lang w:val="es-ES_tradnl"/>
        </w:rPr>
        <w:t>–</w:t>
      </w:r>
      <w:r>
        <w:rPr>
          <w:sz w:val="18"/>
          <w:szCs w:val="18"/>
          <w:lang w:val="es-ES_tradnl"/>
        </w:rPr>
        <w:tab/>
      </w:r>
      <w:r w:rsidR="002509FF" w:rsidRPr="00F74CED">
        <w:rPr>
          <w:sz w:val="18"/>
          <w:szCs w:val="18"/>
          <w:lang w:val="es-ES_tradnl"/>
        </w:rPr>
        <w:t xml:space="preserve">Presidente y Vicepresidentes de la Reunión Preparatoria de la Conferencia </w:t>
      </w:r>
    </w:p>
    <w:p w:rsidR="002509FF" w:rsidRPr="00F74CED" w:rsidRDefault="00F74CED" w:rsidP="00F74CED">
      <w:pPr>
        <w:tabs>
          <w:tab w:val="left" w:pos="567"/>
          <w:tab w:val="left" w:pos="6237"/>
        </w:tabs>
        <w:spacing w:before="0" w:line="240" w:lineRule="auto"/>
        <w:ind w:left="284" w:hanging="284"/>
        <w:jc w:val="left"/>
        <w:rPr>
          <w:sz w:val="18"/>
          <w:szCs w:val="18"/>
          <w:lang w:val="es-ES_tradnl"/>
        </w:rPr>
      </w:pPr>
      <w:r>
        <w:rPr>
          <w:sz w:val="18"/>
          <w:szCs w:val="18"/>
          <w:lang w:val="es-ES_tradnl"/>
        </w:rPr>
        <w:t>–</w:t>
      </w:r>
      <w:r>
        <w:rPr>
          <w:sz w:val="18"/>
          <w:szCs w:val="18"/>
          <w:lang w:val="es-ES_tradnl"/>
        </w:rPr>
        <w:tab/>
      </w:r>
      <w:r w:rsidR="002509FF" w:rsidRPr="00F74CED">
        <w:rPr>
          <w:sz w:val="18"/>
          <w:szCs w:val="18"/>
          <w:lang w:val="es-ES_tradnl"/>
        </w:rPr>
        <w:t xml:space="preserve">Miembros de la Junta del Reglamento de Radiocomunicaciones </w:t>
      </w:r>
    </w:p>
    <w:p w:rsidR="002509FF" w:rsidRPr="00F74CED" w:rsidRDefault="00F74CED" w:rsidP="00F74CED">
      <w:pPr>
        <w:tabs>
          <w:tab w:val="left" w:pos="284"/>
          <w:tab w:val="left" w:pos="6237"/>
        </w:tabs>
        <w:overflowPunct/>
        <w:autoSpaceDE/>
        <w:autoSpaceDN/>
        <w:adjustRightInd/>
        <w:spacing w:before="0" w:line="240" w:lineRule="auto"/>
        <w:ind w:left="284" w:hanging="284"/>
        <w:jc w:val="left"/>
        <w:textAlignment w:val="auto"/>
        <w:rPr>
          <w:sz w:val="18"/>
          <w:szCs w:val="18"/>
          <w:lang w:val="es-ES_tradnl"/>
        </w:rPr>
      </w:pPr>
      <w:r>
        <w:rPr>
          <w:sz w:val="18"/>
          <w:szCs w:val="18"/>
          <w:lang w:val="es-ES_tradnl"/>
        </w:rPr>
        <w:t>–</w:t>
      </w:r>
      <w:r>
        <w:rPr>
          <w:sz w:val="18"/>
          <w:szCs w:val="18"/>
          <w:lang w:val="es-ES_tradnl"/>
        </w:rPr>
        <w:tab/>
      </w:r>
      <w:r w:rsidR="002509FF" w:rsidRPr="00F74CED">
        <w:rPr>
          <w:sz w:val="18"/>
          <w:szCs w:val="18"/>
          <w:lang w:val="es-ES_tradnl"/>
        </w:rPr>
        <w:t>Secretario General de la UIT, Director de la Oficina de Normalización de las Telecomunicaciones,</w:t>
      </w:r>
      <w:r w:rsidR="002509FF" w:rsidRPr="00F74CED">
        <w:rPr>
          <w:sz w:val="18"/>
          <w:szCs w:val="18"/>
          <w:lang w:val="es-ES_tradnl"/>
        </w:rPr>
        <w:br/>
        <w:t xml:space="preserve">Director de la Oficina de Desarrollo de Telecomunicaciones </w:t>
      </w:r>
    </w:p>
    <w:p w:rsidR="002509FF" w:rsidRDefault="002509F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r>
        <w:rPr>
          <w:rFonts w:asciiTheme="minorHAnsi" w:hAnsiTheme="minorHAnsi" w:cstheme="minorHAnsi"/>
          <w:sz w:val="24"/>
          <w:szCs w:val="24"/>
          <w:lang w:val="es-ES_tradnl"/>
        </w:rPr>
        <w:br w:type="page"/>
      </w:r>
    </w:p>
    <w:p w:rsidR="004574E8" w:rsidRDefault="004574E8" w:rsidP="004574E8">
      <w:pPr>
        <w:pStyle w:val="a"/>
      </w:pPr>
      <w:r w:rsidRPr="0062447D">
        <w:lastRenderedPageBreak/>
        <w:t>Anexo</w:t>
      </w:r>
      <w:r w:rsidRPr="0062447D">
        <w:br/>
      </w:r>
      <w:r w:rsidRPr="0062447D">
        <w:br/>
      </w:r>
      <w:r w:rsidRPr="007047E9">
        <w:rPr>
          <w:rFonts w:asciiTheme="minorHAnsi" w:hAnsiTheme="minorHAnsi" w:cstheme="minorHAnsi"/>
        </w:rPr>
        <w:t>Títulos y resúmenes de los proyectos de Recomendaciones</w:t>
      </w:r>
    </w:p>
    <w:p w:rsidR="004574E8" w:rsidRPr="004574E8" w:rsidRDefault="004574E8" w:rsidP="00461C4E">
      <w:pPr>
        <w:spacing w:before="480"/>
        <w:rPr>
          <w:sz w:val="24"/>
          <w:szCs w:val="24"/>
          <w:lang w:val="es-ES"/>
        </w:rPr>
      </w:pPr>
      <w:r w:rsidRPr="004574E8">
        <w:rPr>
          <w:sz w:val="24"/>
          <w:szCs w:val="24"/>
          <w:u w:val="single"/>
          <w:lang w:val="es-ES"/>
        </w:rPr>
        <w:t>Proyecto de nueva Recomendación UIT-R M.[MSS 400 MHz]-0</w:t>
      </w:r>
      <w:r w:rsidRPr="004574E8">
        <w:rPr>
          <w:sz w:val="24"/>
          <w:szCs w:val="24"/>
          <w:lang w:val="es-ES"/>
        </w:rPr>
        <w:tab/>
      </w:r>
      <w:r w:rsidRPr="004574E8">
        <w:rPr>
          <w:sz w:val="24"/>
          <w:szCs w:val="24"/>
          <w:lang w:val="es-ES"/>
        </w:rPr>
        <w:tab/>
      </w:r>
      <w:r w:rsidRPr="004574E8">
        <w:rPr>
          <w:sz w:val="24"/>
          <w:szCs w:val="24"/>
          <w:lang w:val="es-ES"/>
        </w:rPr>
        <w:tab/>
        <w:t>Doc. 4/37(Rev.1)</w:t>
      </w:r>
    </w:p>
    <w:p w:rsidR="004574E8" w:rsidRPr="004574E8" w:rsidRDefault="004574E8" w:rsidP="004574E8">
      <w:pPr>
        <w:keepNext/>
        <w:keepLines/>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Características y criterios de protección para los sistemas del servicio móvil por satélite no geoestacionario que operan en la banda 399,9-400,05 MHz</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Esta Recomendación proporciona una descripción, y los criterios de protección correspondientes contra el ruido de banda ancha y la interferencia de banda estrecha, de un sistema del servicio móvil por satélite que utiliza la banda de frecuencia 399,9-400,05 MHz (Tierra-espacio).</w:t>
      </w:r>
    </w:p>
    <w:p w:rsidR="004574E8" w:rsidRPr="004574E8" w:rsidRDefault="004574E8" w:rsidP="004574E8">
      <w:pPr>
        <w:tabs>
          <w:tab w:val="right" w:pos="9639"/>
        </w:tabs>
        <w:spacing w:before="480" w:line="240" w:lineRule="auto"/>
        <w:rPr>
          <w:sz w:val="24"/>
          <w:szCs w:val="20"/>
          <w:lang w:val="es-ES"/>
        </w:rPr>
      </w:pPr>
      <w:r w:rsidRPr="004574E8">
        <w:rPr>
          <w:sz w:val="24"/>
          <w:szCs w:val="20"/>
          <w:u w:val="single"/>
          <w:lang w:val="es-ES"/>
        </w:rPr>
        <w:t>Proyecto de nueva Recomendación UIT-R M.[IMT-ADVANCED-SAT]-0</w:t>
      </w:r>
      <w:r w:rsidRPr="004574E8">
        <w:rPr>
          <w:sz w:val="24"/>
          <w:szCs w:val="20"/>
          <w:lang w:val="es-ES"/>
        </w:rPr>
        <w:tab/>
        <w:t>Doc. 4/40(Rev.1)</w:t>
      </w:r>
    </w:p>
    <w:p w:rsidR="004574E8" w:rsidRPr="004574E8" w:rsidRDefault="004574E8" w:rsidP="004574E8">
      <w:pPr>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Especificaciones detalladas de las interfaces radioeléctricas de satélite de las telecomunicaciones móviles internacionales-avanzadas (IMT-Avanzadas)</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Esta nueva Recomendación identifica las tecnologías de interfaz radioeléctrica de satélite de las</w:t>
      </w:r>
      <w:r w:rsidRPr="004574E8">
        <w:rPr>
          <w:rFonts w:asciiTheme="minorHAnsi" w:hAnsiTheme="minorHAnsi" w:cstheme="minorHAnsi"/>
          <w:lang w:val="es-ES"/>
        </w:rPr>
        <w:t xml:space="preserve"> </w:t>
      </w:r>
      <w:r w:rsidRPr="004574E8">
        <w:rPr>
          <w:rFonts w:asciiTheme="minorHAnsi" w:hAnsiTheme="minorHAnsi" w:cstheme="minorHAnsi"/>
          <w:sz w:val="24"/>
          <w:szCs w:val="20"/>
          <w:lang w:val="es-ES"/>
        </w:rPr>
        <w:t>telecomunicaciones móviles internacionales-avanzadas (IMT-Avanzadas), SAT-OFDM y BMsat, y proporciona especificaciones detalladas de las interfaces radioeléctricas.</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Dichas especificaciones de las interfaces radioeléctricas detallan las características y los parámetros del componente de satélite de las IMT-Avanzadas. Esta Recomendación incluye la capacidad de garantizar la compatibilidad a escala mundial, la itinerancia internacional y el acceso a los servicios de datos de alta velocidad.</w:t>
      </w:r>
    </w:p>
    <w:p w:rsidR="004574E8" w:rsidRPr="004574E8" w:rsidRDefault="004574E8" w:rsidP="00461C4E">
      <w:pPr>
        <w:tabs>
          <w:tab w:val="right" w:pos="9639"/>
        </w:tabs>
        <w:spacing w:before="480" w:line="240" w:lineRule="auto"/>
        <w:rPr>
          <w:sz w:val="24"/>
          <w:szCs w:val="20"/>
          <w:lang w:val="es-ES" w:eastAsia="ko-KR"/>
        </w:rPr>
      </w:pPr>
      <w:r w:rsidRPr="004574E8">
        <w:rPr>
          <w:sz w:val="24"/>
          <w:szCs w:val="20"/>
          <w:u w:val="single"/>
          <w:lang w:val="es-ES"/>
        </w:rPr>
        <w:t xml:space="preserve">Proyecto de revisión de la Recomendación UIT-R </w:t>
      </w:r>
      <w:r w:rsidRPr="004574E8">
        <w:rPr>
          <w:sz w:val="24"/>
          <w:szCs w:val="20"/>
          <w:u w:val="single"/>
          <w:lang w:val="es-ES" w:eastAsia="ko-KR"/>
        </w:rPr>
        <w:t>SF.674-2</w:t>
      </w:r>
      <w:r w:rsidRPr="004574E8">
        <w:rPr>
          <w:sz w:val="24"/>
          <w:szCs w:val="20"/>
          <w:lang w:val="es-ES" w:eastAsia="ko-KR"/>
        </w:rPr>
        <w:tab/>
        <w:t>Doc. 4/28(Rev.1)</w:t>
      </w:r>
    </w:p>
    <w:p w:rsidR="004574E8" w:rsidRPr="004574E8" w:rsidRDefault="004574E8" w:rsidP="0004554C">
      <w:pPr>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 xml:space="preserve">Determinación del impacto en el servicio fijo que funciona en la banda </w:t>
      </w:r>
      <w:r w:rsidR="0004554C">
        <w:rPr>
          <w:rFonts w:asciiTheme="minorHAnsi" w:hAnsiTheme="minorHAnsi" w:cstheme="minorHAnsi"/>
          <w:b/>
          <w:sz w:val="28"/>
          <w:szCs w:val="20"/>
          <w:lang w:val="es-ES"/>
        </w:rPr>
        <w:br/>
      </w:r>
      <w:r w:rsidRPr="004574E8">
        <w:rPr>
          <w:rFonts w:asciiTheme="minorHAnsi" w:hAnsiTheme="minorHAnsi" w:cstheme="minorHAnsi"/>
          <w:b/>
          <w:sz w:val="28"/>
          <w:szCs w:val="20"/>
          <w:lang w:val="es-ES"/>
        </w:rPr>
        <w:t>11,7</w:t>
      </w:r>
      <w:r w:rsidR="0004554C">
        <w:rPr>
          <w:rFonts w:asciiTheme="minorHAnsi" w:hAnsiTheme="minorHAnsi" w:cstheme="minorHAnsi"/>
          <w:b/>
          <w:sz w:val="28"/>
          <w:szCs w:val="20"/>
          <w:lang w:val="es-ES"/>
        </w:rPr>
        <w:t>-</w:t>
      </w:r>
      <w:r w:rsidRPr="004574E8">
        <w:rPr>
          <w:rFonts w:asciiTheme="minorHAnsi" w:hAnsiTheme="minorHAnsi" w:cstheme="minorHAnsi"/>
          <w:b/>
          <w:sz w:val="28"/>
          <w:szCs w:val="20"/>
          <w:lang w:val="es-ES"/>
        </w:rPr>
        <w:t xml:space="preserve">12,2 GHz cuando redes del servicio fijo por satélite con satélites geoestacionarios en la Región 2 rebasan los umbrales de densidad </w:t>
      </w:r>
      <w:r w:rsidRPr="004574E8">
        <w:rPr>
          <w:rFonts w:asciiTheme="minorHAnsi" w:hAnsiTheme="minorHAnsi" w:cstheme="minorHAnsi"/>
          <w:b/>
          <w:sz w:val="28"/>
          <w:szCs w:val="20"/>
          <w:lang w:val="es-ES"/>
        </w:rPr>
        <w:br/>
        <w:t>de flujo de potencia indicados en la Resolución 77 (CMR-2000)</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 xml:space="preserve">Esta revisión añade el alcance, actualiza textos antiguos en relación con los resultados de las últimas Conferencias Mundiales de Radiocomunicaciones y elimina el antiguo Apéndice 1 al Anexo 1 que trata de la interferencia a los sistemas analógicos del servicio fijo. </w:t>
      </w:r>
    </w:p>
    <w:p w:rsidR="004574E8" w:rsidRPr="004574E8" w:rsidRDefault="004574E8" w:rsidP="004574E8">
      <w:pPr>
        <w:keepNext/>
        <w:keepLines/>
        <w:tabs>
          <w:tab w:val="right" w:pos="9639"/>
        </w:tabs>
        <w:spacing w:before="360" w:line="240" w:lineRule="auto"/>
        <w:rPr>
          <w:rFonts w:asciiTheme="minorHAnsi" w:hAnsiTheme="minorHAnsi" w:cstheme="minorHAnsi"/>
          <w:sz w:val="24"/>
          <w:szCs w:val="20"/>
          <w:lang w:val="es-ES" w:eastAsia="ko-KR"/>
        </w:rPr>
      </w:pPr>
      <w:r w:rsidRPr="004574E8">
        <w:rPr>
          <w:rFonts w:asciiTheme="minorHAnsi" w:hAnsiTheme="minorHAnsi" w:cstheme="minorHAnsi"/>
          <w:sz w:val="24"/>
          <w:szCs w:val="20"/>
          <w:u w:val="single"/>
          <w:lang w:val="es-ES"/>
        </w:rPr>
        <w:lastRenderedPageBreak/>
        <w:t xml:space="preserve">Proyecto de revisión de la Recomendación UIT-R </w:t>
      </w:r>
      <w:r w:rsidRPr="004574E8">
        <w:rPr>
          <w:rFonts w:asciiTheme="minorHAnsi" w:hAnsiTheme="minorHAnsi" w:cstheme="minorHAnsi"/>
          <w:sz w:val="24"/>
          <w:szCs w:val="20"/>
          <w:u w:val="single"/>
          <w:lang w:val="es-ES" w:eastAsia="ko-KR"/>
        </w:rPr>
        <w:t>M.1901-0</w:t>
      </w:r>
      <w:r w:rsidRPr="004574E8">
        <w:rPr>
          <w:rFonts w:asciiTheme="minorHAnsi" w:hAnsiTheme="minorHAnsi" w:cstheme="minorHAnsi"/>
          <w:sz w:val="24"/>
          <w:szCs w:val="20"/>
          <w:lang w:val="es-ES" w:eastAsia="ko-KR"/>
        </w:rPr>
        <w:tab/>
        <w:t>Doc. 4/38(Rev.1)</w:t>
      </w:r>
    </w:p>
    <w:p w:rsidR="004574E8" w:rsidRPr="004574E8" w:rsidRDefault="004574E8" w:rsidP="0004554C">
      <w:pPr>
        <w:keepNext/>
        <w:keepLines/>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 xml:space="preserve">Directrices sobre Recomendaciones del UIT-R relativas a sistemas y redes del servicio de radionavegación por satélite que funcionan en las bandas de frecuencias 1 164-1 215 MHz, 1 215-1 </w:t>
      </w:r>
      <w:r w:rsidR="0004554C">
        <w:rPr>
          <w:rFonts w:asciiTheme="minorHAnsi" w:hAnsiTheme="minorHAnsi" w:cstheme="minorHAnsi"/>
          <w:b/>
          <w:sz w:val="28"/>
          <w:szCs w:val="20"/>
          <w:lang w:val="es-ES"/>
        </w:rPr>
        <w:t>300 MHz, 1 559-1 610 MHz,</w:t>
      </w:r>
      <w:r w:rsidR="0004554C">
        <w:rPr>
          <w:rFonts w:asciiTheme="minorHAnsi" w:hAnsiTheme="minorHAnsi" w:cstheme="minorHAnsi"/>
          <w:b/>
          <w:sz w:val="28"/>
          <w:szCs w:val="20"/>
          <w:lang w:val="es-ES"/>
        </w:rPr>
        <w:br/>
        <w:t>5 000-</w:t>
      </w:r>
      <w:r w:rsidRPr="004574E8">
        <w:rPr>
          <w:rFonts w:asciiTheme="minorHAnsi" w:hAnsiTheme="minorHAnsi" w:cstheme="minorHAnsi"/>
          <w:b/>
          <w:sz w:val="28"/>
          <w:szCs w:val="20"/>
          <w:lang w:val="es-ES"/>
        </w:rPr>
        <w:t>5 010 MHz y 5 010-5 030 MHz</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 xml:space="preserve">El UIT-R ha aprobado las Recomendaciones UIT-R M.2030 y UIT-R M-2031, lo cual queda reflejado en el proyecto de revisión de la Recomendación UIT-R M.1901. Al mismo tiempo, con arreglo a la orientación ofrecida por el nuevo formato de las Recomendaciones UIT-R, los </w:t>
      </w:r>
      <w:r w:rsidRPr="004574E8">
        <w:rPr>
          <w:rFonts w:asciiTheme="minorHAnsi" w:hAnsiTheme="minorHAnsi" w:cstheme="minorHAnsi"/>
          <w:i/>
          <w:iCs/>
          <w:sz w:val="24"/>
          <w:szCs w:val="20"/>
          <w:lang w:val="es-ES"/>
        </w:rPr>
        <w:t>observando</w:t>
      </w:r>
      <w:r w:rsidRPr="004574E8">
        <w:rPr>
          <w:rFonts w:asciiTheme="minorHAnsi" w:hAnsiTheme="minorHAnsi" w:cstheme="minorHAnsi"/>
          <w:sz w:val="24"/>
          <w:szCs w:val="20"/>
          <w:lang w:val="es-ES"/>
        </w:rPr>
        <w:t xml:space="preserve"> han sido cambiados por </w:t>
      </w:r>
      <w:r w:rsidRPr="004574E8">
        <w:rPr>
          <w:rFonts w:asciiTheme="minorHAnsi" w:hAnsiTheme="minorHAnsi" w:cstheme="minorHAnsi"/>
          <w:i/>
          <w:iCs/>
          <w:sz w:val="24"/>
          <w:szCs w:val="20"/>
          <w:lang w:val="es-ES"/>
        </w:rPr>
        <w:t>reconociendo</w:t>
      </w:r>
      <w:r w:rsidRPr="004574E8">
        <w:rPr>
          <w:rFonts w:asciiTheme="minorHAnsi" w:hAnsiTheme="minorHAnsi" w:cstheme="minorHAnsi"/>
          <w:sz w:val="24"/>
          <w:szCs w:val="20"/>
          <w:lang w:val="es-ES"/>
        </w:rPr>
        <w:t xml:space="preserve">, dado que se refieren a documentos de la UIT. Los cambios consiguientes concretos que lo reflejan son la eliminación del </w:t>
      </w:r>
      <w:r w:rsidRPr="004574E8">
        <w:rPr>
          <w:rFonts w:asciiTheme="minorHAnsi" w:hAnsiTheme="minorHAnsi" w:cstheme="minorHAnsi"/>
          <w:i/>
          <w:iCs/>
          <w:sz w:val="24"/>
          <w:szCs w:val="20"/>
          <w:lang w:val="es-ES"/>
        </w:rPr>
        <w:t>observando además</w:t>
      </w:r>
      <w:r w:rsidRPr="004574E8">
        <w:rPr>
          <w:rFonts w:asciiTheme="minorHAnsi" w:hAnsiTheme="minorHAnsi" w:cstheme="minorHAnsi"/>
          <w:sz w:val="24"/>
          <w:szCs w:val="20"/>
          <w:lang w:val="es-ES"/>
        </w:rPr>
        <w:t xml:space="preserve"> y la incorporación de los nuevos </w:t>
      </w:r>
      <w:r w:rsidRPr="004574E8">
        <w:rPr>
          <w:rFonts w:asciiTheme="minorHAnsi" w:hAnsiTheme="minorHAnsi" w:cstheme="minorHAnsi"/>
          <w:i/>
          <w:iCs/>
          <w:sz w:val="24"/>
          <w:szCs w:val="20"/>
          <w:lang w:val="es-ES"/>
        </w:rPr>
        <w:t>reconociendo c)</w:t>
      </w:r>
      <w:r w:rsidRPr="004574E8">
        <w:rPr>
          <w:rFonts w:asciiTheme="minorHAnsi" w:hAnsiTheme="minorHAnsi" w:cstheme="minorHAnsi"/>
          <w:sz w:val="24"/>
          <w:szCs w:val="20"/>
          <w:lang w:val="es-ES"/>
        </w:rPr>
        <w:t xml:space="preserve"> y </w:t>
      </w:r>
      <w:r w:rsidRPr="004574E8">
        <w:rPr>
          <w:rFonts w:asciiTheme="minorHAnsi" w:hAnsiTheme="minorHAnsi" w:cstheme="minorHAnsi"/>
          <w:i/>
          <w:iCs/>
          <w:sz w:val="24"/>
          <w:szCs w:val="20"/>
          <w:lang w:val="es-ES"/>
        </w:rPr>
        <w:t>f)</w:t>
      </w:r>
      <w:r w:rsidRPr="004574E8">
        <w:rPr>
          <w:rFonts w:asciiTheme="minorHAnsi" w:hAnsiTheme="minorHAnsi" w:cstheme="minorHAnsi"/>
          <w:sz w:val="24"/>
          <w:szCs w:val="20"/>
          <w:lang w:val="es-ES"/>
        </w:rPr>
        <w:t xml:space="preserve">. También se han introducido algunas mejoras de carácter editorial y de formato en el Anexo 1. </w:t>
      </w:r>
    </w:p>
    <w:p w:rsidR="004574E8" w:rsidRPr="004574E8" w:rsidRDefault="004574E8" w:rsidP="00461C4E">
      <w:pPr>
        <w:tabs>
          <w:tab w:val="right" w:pos="9639"/>
        </w:tabs>
        <w:spacing w:before="480" w:line="240" w:lineRule="auto"/>
        <w:rPr>
          <w:rFonts w:asciiTheme="minorHAnsi" w:hAnsiTheme="minorHAnsi" w:cstheme="minorHAnsi"/>
          <w:sz w:val="24"/>
          <w:szCs w:val="20"/>
          <w:lang w:val="es-ES" w:eastAsia="ko-KR"/>
        </w:rPr>
      </w:pPr>
      <w:r w:rsidRPr="004574E8">
        <w:rPr>
          <w:rFonts w:asciiTheme="minorHAnsi" w:hAnsiTheme="minorHAnsi" w:cstheme="minorHAnsi"/>
          <w:sz w:val="24"/>
          <w:szCs w:val="20"/>
          <w:u w:val="single"/>
          <w:lang w:val="es-ES"/>
        </w:rPr>
        <w:t>Proyecto de revisión de la Recomendación UIT-R S.1503-1</w:t>
      </w:r>
      <w:r w:rsidRPr="004574E8">
        <w:rPr>
          <w:rFonts w:asciiTheme="minorHAnsi" w:hAnsiTheme="minorHAnsi" w:cstheme="minorHAnsi"/>
          <w:sz w:val="24"/>
          <w:szCs w:val="20"/>
          <w:lang w:val="es-ES" w:eastAsia="ko-KR"/>
        </w:rPr>
        <w:tab/>
        <w:t>Doc. 4/43(Rev.1)</w:t>
      </w:r>
    </w:p>
    <w:p w:rsidR="004574E8" w:rsidRPr="004574E8" w:rsidRDefault="004574E8" w:rsidP="004574E8">
      <w:pPr>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 xml:space="preserve">Descripción funcional que ha de utilizarse en el desarrollo de herramientas informáticas para determinar la conformidad de las redes de sistemas de satélites de la órbita de satélites no geoestacionarios del servicio fijo por </w:t>
      </w:r>
      <w:r w:rsidRPr="004574E8">
        <w:rPr>
          <w:rFonts w:asciiTheme="minorHAnsi" w:hAnsiTheme="minorHAnsi" w:cstheme="minorHAnsi"/>
          <w:b/>
          <w:sz w:val="28"/>
          <w:szCs w:val="20"/>
          <w:lang w:val="es-ES"/>
        </w:rPr>
        <w:br/>
        <w:t>satélite con los límites contenidos en el Artículo 22 del Reglamento de Radiocomunicaciones</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 xml:space="preserve">Esta Recomendación UIT-R define la metodología que debería utilizarse para calcular si un sistema no geoestacionario del SFS se conforma a los límites de densidad de flujo de potencia equivalente (dfpe) recogidos en el Artículo </w:t>
      </w:r>
      <w:r w:rsidRPr="004574E8">
        <w:rPr>
          <w:rFonts w:asciiTheme="minorHAnsi" w:hAnsiTheme="minorHAnsi" w:cstheme="minorHAnsi"/>
          <w:b/>
          <w:bCs/>
          <w:sz w:val="24"/>
          <w:szCs w:val="20"/>
          <w:lang w:val="es-ES"/>
        </w:rPr>
        <w:t>22</w:t>
      </w:r>
      <w:r w:rsidRPr="004574E8">
        <w:rPr>
          <w:rFonts w:asciiTheme="minorHAnsi" w:hAnsiTheme="minorHAnsi" w:cstheme="minorHAnsi"/>
          <w:sz w:val="24"/>
          <w:szCs w:val="20"/>
          <w:lang w:val="es-ES"/>
        </w:rPr>
        <w:t xml:space="preserve"> del Reglamento de Radiocomunicaciones. </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El algoritmo que figura en esta Recomendación se ha utilizado como el requisito funcional de las herramientas informáticas proporcionadas a la BR para comprobar la conformidad de los sistemas no geoestacionarios con los Artículos correspondientes del Reglamento de Radiocomunicaciones.</w:t>
      </w:r>
    </w:p>
    <w:p w:rsidR="004574E8" w:rsidRPr="004574E8" w:rsidRDefault="004574E8" w:rsidP="004574E8">
      <w:pPr>
        <w:spacing w:before="240" w:line="240" w:lineRule="auto"/>
        <w:rPr>
          <w:rFonts w:asciiTheme="minorHAnsi" w:hAnsiTheme="minorHAnsi" w:cstheme="minorHAnsi"/>
          <w:sz w:val="24"/>
          <w:szCs w:val="20"/>
          <w:lang w:val="es-ES"/>
        </w:rPr>
      </w:pPr>
      <w:r w:rsidRPr="004574E8">
        <w:rPr>
          <w:rFonts w:asciiTheme="minorHAnsi" w:hAnsiTheme="minorHAnsi" w:cstheme="minorHAnsi"/>
          <w:sz w:val="24"/>
          <w:szCs w:val="20"/>
          <w:lang w:val="es-ES"/>
        </w:rPr>
        <w:t>Esta revisión contiene las siguientes modificaciones:</w:t>
      </w:r>
    </w:p>
    <w:p w:rsidR="004574E8" w:rsidRPr="004574E8" w:rsidRDefault="004574E8" w:rsidP="004574E8">
      <w:pPr>
        <w:pStyle w:val="enumlev1"/>
        <w:rPr>
          <w:rFonts w:asciiTheme="minorHAnsi" w:hAnsiTheme="minorHAnsi" w:cstheme="minorHAnsi"/>
          <w:sz w:val="24"/>
          <w:szCs w:val="24"/>
          <w:lang w:val="es-ES"/>
        </w:rPr>
      </w:pPr>
      <w:r w:rsidRPr="004574E8">
        <w:rPr>
          <w:rFonts w:asciiTheme="minorHAnsi" w:hAnsiTheme="minorHAnsi" w:cstheme="minorHAnsi"/>
          <w:sz w:val="24"/>
          <w:szCs w:val="24"/>
          <w:lang w:val="es-ES"/>
        </w:rPr>
        <w:t>1)</w:t>
      </w:r>
      <w:r w:rsidRPr="004574E8">
        <w:rPr>
          <w:rFonts w:asciiTheme="minorHAnsi" w:hAnsiTheme="minorHAnsi" w:cstheme="minorHAnsi"/>
          <w:sz w:val="24"/>
          <w:szCs w:val="24"/>
          <w:lang w:val="es-ES"/>
        </w:rPr>
        <w:tab/>
      </w:r>
      <w:r w:rsidR="000F64A8">
        <w:rPr>
          <w:rFonts w:asciiTheme="minorHAnsi" w:hAnsiTheme="minorHAnsi" w:cstheme="minorHAnsi"/>
          <w:sz w:val="24"/>
          <w:szCs w:val="24"/>
          <w:lang w:val="es-ES"/>
        </w:rPr>
        <w:t>m</w:t>
      </w:r>
      <w:r w:rsidRPr="004574E8">
        <w:rPr>
          <w:rFonts w:asciiTheme="minorHAnsi" w:hAnsiTheme="minorHAnsi" w:cstheme="minorHAnsi"/>
          <w:sz w:val="24"/>
          <w:szCs w:val="24"/>
          <w:lang w:val="es-ES"/>
        </w:rPr>
        <w:t>ejoras del algoritmo fundamental para permitirle analizar una mayor variedad de tipos de órbita de sistemas no geoestacionarios incluyendo las constelaciones ecuatoriales circulares y muy el</w:t>
      </w:r>
      <w:r w:rsidR="000F64A8">
        <w:rPr>
          <w:rFonts w:asciiTheme="minorHAnsi" w:hAnsiTheme="minorHAnsi" w:cstheme="minorHAnsi"/>
          <w:sz w:val="24"/>
          <w:szCs w:val="24"/>
          <w:lang w:val="es-ES"/>
        </w:rPr>
        <w:t>ípticas;</w:t>
      </w:r>
    </w:p>
    <w:p w:rsidR="004574E8" w:rsidRPr="004574E8" w:rsidRDefault="004574E8" w:rsidP="000F64A8">
      <w:pPr>
        <w:pStyle w:val="enumlev1"/>
        <w:rPr>
          <w:rFonts w:asciiTheme="minorHAnsi" w:hAnsiTheme="minorHAnsi" w:cstheme="minorHAnsi"/>
          <w:sz w:val="24"/>
          <w:szCs w:val="24"/>
          <w:lang w:val="es-ES"/>
        </w:rPr>
      </w:pPr>
      <w:r w:rsidRPr="004574E8">
        <w:rPr>
          <w:rFonts w:asciiTheme="minorHAnsi" w:hAnsiTheme="minorHAnsi" w:cstheme="minorHAnsi"/>
          <w:sz w:val="24"/>
          <w:szCs w:val="24"/>
          <w:lang w:val="es-ES"/>
        </w:rPr>
        <w:t>2)</w:t>
      </w:r>
      <w:r w:rsidRPr="004574E8">
        <w:rPr>
          <w:rFonts w:asciiTheme="minorHAnsi" w:hAnsiTheme="minorHAnsi" w:cstheme="minorHAnsi"/>
          <w:sz w:val="24"/>
          <w:szCs w:val="24"/>
          <w:lang w:val="es-ES"/>
        </w:rPr>
        <w:tab/>
      </w:r>
      <w:r w:rsidR="000F64A8">
        <w:rPr>
          <w:rFonts w:asciiTheme="minorHAnsi" w:hAnsiTheme="minorHAnsi" w:cstheme="minorHAnsi"/>
          <w:sz w:val="24"/>
          <w:szCs w:val="24"/>
          <w:lang w:val="es-ES"/>
        </w:rPr>
        <w:t>m</w:t>
      </w:r>
      <w:r w:rsidRPr="004574E8">
        <w:rPr>
          <w:rFonts w:asciiTheme="minorHAnsi" w:hAnsiTheme="minorHAnsi" w:cstheme="minorHAnsi"/>
          <w:sz w:val="24"/>
          <w:szCs w:val="24"/>
          <w:lang w:val="es-ES"/>
        </w:rPr>
        <w:t>ejoras al algoritmo de posición geométrica más desfavorable</w:t>
      </w:r>
      <w:r w:rsidR="000F64A8">
        <w:rPr>
          <w:rFonts w:asciiTheme="minorHAnsi" w:hAnsiTheme="minorHAnsi" w:cstheme="minorHAnsi"/>
          <w:sz w:val="24"/>
          <w:szCs w:val="24"/>
          <w:lang w:val="es-ES"/>
        </w:rPr>
        <w:t>;</w:t>
      </w:r>
    </w:p>
    <w:p w:rsidR="004574E8" w:rsidRPr="004574E8" w:rsidRDefault="004574E8" w:rsidP="0004554C">
      <w:pPr>
        <w:pStyle w:val="enumlev1"/>
        <w:rPr>
          <w:rFonts w:asciiTheme="minorHAnsi" w:hAnsiTheme="minorHAnsi" w:cstheme="minorHAnsi"/>
          <w:sz w:val="24"/>
          <w:szCs w:val="24"/>
          <w:lang w:val="es-ES"/>
        </w:rPr>
      </w:pPr>
      <w:r w:rsidRPr="004574E8">
        <w:rPr>
          <w:rFonts w:asciiTheme="minorHAnsi" w:hAnsiTheme="minorHAnsi" w:cstheme="minorHAnsi"/>
          <w:sz w:val="24"/>
          <w:szCs w:val="24"/>
          <w:lang w:val="es-ES"/>
        </w:rPr>
        <w:t>3)</w:t>
      </w:r>
      <w:r w:rsidRPr="004574E8">
        <w:rPr>
          <w:rFonts w:asciiTheme="minorHAnsi" w:hAnsiTheme="minorHAnsi" w:cstheme="minorHAnsi"/>
          <w:sz w:val="24"/>
          <w:szCs w:val="24"/>
          <w:lang w:val="es-ES"/>
        </w:rPr>
        <w:tab/>
      </w:r>
      <w:r w:rsidR="000F64A8">
        <w:rPr>
          <w:rFonts w:asciiTheme="minorHAnsi" w:hAnsiTheme="minorHAnsi" w:cstheme="minorHAnsi"/>
          <w:sz w:val="24"/>
          <w:szCs w:val="24"/>
          <w:lang w:val="es-ES"/>
        </w:rPr>
        <w:t>r</w:t>
      </w:r>
      <w:r w:rsidRPr="004574E8">
        <w:rPr>
          <w:rFonts w:asciiTheme="minorHAnsi" w:hAnsiTheme="minorHAnsi" w:cstheme="minorHAnsi"/>
          <w:sz w:val="24"/>
          <w:szCs w:val="24"/>
          <w:lang w:val="es-ES"/>
        </w:rPr>
        <w:t>eestructuración a fin de mejorar la facilidad de lectura</w:t>
      </w:r>
      <w:r w:rsidR="000F64A8">
        <w:rPr>
          <w:rFonts w:asciiTheme="minorHAnsi" w:hAnsiTheme="minorHAnsi" w:cstheme="minorHAnsi"/>
          <w:sz w:val="24"/>
          <w:szCs w:val="24"/>
          <w:lang w:val="es-ES"/>
        </w:rPr>
        <w:t>;</w:t>
      </w:r>
    </w:p>
    <w:p w:rsidR="004574E8" w:rsidRPr="000F64A8" w:rsidRDefault="0004554C" w:rsidP="0004554C">
      <w:pPr>
        <w:pStyle w:val="Reasons"/>
        <w:tabs>
          <w:tab w:val="left" w:pos="794"/>
        </w:tabs>
        <w:rPr>
          <w:lang w:val="es-ES"/>
        </w:rPr>
      </w:pPr>
      <w:r>
        <w:rPr>
          <w:rFonts w:asciiTheme="minorHAnsi" w:hAnsiTheme="minorHAnsi" w:cstheme="minorHAnsi"/>
          <w:szCs w:val="24"/>
          <w:lang w:val="es-ES"/>
        </w:rPr>
        <w:t>4)</w:t>
      </w:r>
      <w:r>
        <w:rPr>
          <w:rFonts w:asciiTheme="minorHAnsi" w:hAnsiTheme="minorHAnsi" w:cstheme="minorHAnsi"/>
          <w:szCs w:val="24"/>
          <w:lang w:val="es-ES"/>
        </w:rPr>
        <w:tab/>
      </w:r>
      <w:r w:rsidR="000F64A8">
        <w:rPr>
          <w:rFonts w:asciiTheme="minorHAnsi" w:hAnsiTheme="minorHAnsi" w:cstheme="minorHAnsi"/>
          <w:szCs w:val="24"/>
          <w:lang w:val="es-ES"/>
        </w:rPr>
        <w:t>s</w:t>
      </w:r>
      <w:r w:rsidR="004574E8" w:rsidRPr="004574E8">
        <w:rPr>
          <w:rFonts w:asciiTheme="minorHAnsi" w:hAnsiTheme="minorHAnsi" w:cstheme="minorHAnsi"/>
          <w:szCs w:val="24"/>
          <w:lang w:val="es-ES"/>
        </w:rPr>
        <w:t>implificación mediante la eliminación del método analíti</w:t>
      </w:r>
      <w:r>
        <w:rPr>
          <w:rFonts w:asciiTheme="minorHAnsi" w:hAnsiTheme="minorHAnsi" w:cstheme="minorHAnsi"/>
          <w:szCs w:val="24"/>
          <w:lang w:val="es-ES"/>
        </w:rPr>
        <w:t xml:space="preserve">co que no se utiliza durante </w:t>
      </w:r>
      <w:r>
        <w:rPr>
          <w:rFonts w:asciiTheme="minorHAnsi" w:hAnsiTheme="minorHAnsi" w:cstheme="minorHAnsi"/>
          <w:szCs w:val="24"/>
          <w:lang w:val="es-ES"/>
        </w:rPr>
        <w:tab/>
        <w:t>el</w:t>
      </w:r>
      <w:r w:rsidR="004574E8" w:rsidRPr="004574E8">
        <w:rPr>
          <w:rFonts w:asciiTheme="minorHAnsi" w:hAnsiTheme="minorHAnsi" w:cstheme="minorHAnsi"/>
          <w:szCs w:val="24"/>
          <w:lang w:val="es-ES"/>
        </w:rPr>
        <w:t>desarrollo de programas informáticos para la BR.</w:t>
      </w:r>
    </w:p>
    <w:p w:rsidR="004574E8" w:rsidRDefault="004574E8" w:rsidP="004574E8">
      <w:pPr>
        <w:spacing w:before="840"/>
        <w:jc w:val="center"/>
      </w:pPr>
      <w:r>
        <w:t>______________</w:t>
      </w:r>
    </w:p>
    <w:p w:rsidR="004574E8" w:rsidRPr="004574E8" w:rsidRDefault="004574E8" w:rsidP="004574E8">
      <w:pPr>
        <w:pStyle w:val="enumlev1"/>
        <w:rPr>
          <w:rFonts w:asciiTheme="minorHAnsi" w:hAnsiTheme="minorHAnsi" w:cstheme="minorHAnsi"/>
          <w:sz w:val="24"/>
          <w:szCs w:val="24"/>
          <w:lang w:val="es-ES"/>
        </w:rPr>
      </w:pPr>
    </w:p>
    <w:sectPr w:rsidR="004574E8" w:rsidRPr="004574E8" w:rsidSect="00F74CED">
      <w:headerReference w:type="even" r:id="rId12"/>
      <w:headerReference w:type="default" r:id="rId13"/>
      <w:headerReference w:type="first" r:id="rId14"/>
      <w:footerReference w:type="first" r:id="rId15"/>
      <w:pgSz w:w="11907" w:h="16834" w:code="9"/>
      <w:pgMar w:top="1134" w:right="992"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FF" w:rsidRDefault="002509FF">
      <w:r>
        <w:separator/>
      </w:r>
    </w:p>
  </w:endnote>
  <w:endnote w:type="continuationSeparator" w:id="0">
    <w:p w:rsidR="002509FF" w:rsidRDefault="0025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0B1B6B">
      <w:fldChar w:fldCharType="begin"/>
    </w:r>
    <w:r w:rsidR="000B1B6B" w:rsidRPr="000B1B6B">
      <w:rPr>
        <w:lang w:val="es-ES_tradnl"/>
        <w:rPrChange w:id="1" w:author="mostyn" w:date="2013-05-08T11:11:00Z">
          <w:rPr/>
        </w:rPrChange>
      </w:rPr>
      <w:instrText xml:space="preserve"> HYPERLINK "mailto:itumail@itu.int" </w:instrText>
    </w:r>
    <w:r w:rsidR="000B1B6B">
      <w:fldChar w:fldCharType="separate"/>
    </w:r>
    <w:r w:rsidRPr="00A96D3A">
      <w:rPr>
        <w:rStyle w:val="Hyperlink"/>
        <w:sz w:val="18"/>
        <w:szCs w:val="18"/>
        <w:lang w:val="es-ES"/>
      </w:rPr>
      <w:t>itumail@itu.int</w:t>
    </w:r>
    <w:r w:rsidR="000B1B6B">
      <w:rPr>
        <w:rStyle w:val="Hyperlink"/>
        <w:sz w:val="18"/>
        <w:szCs w:val="18"/>
        <w:lang w:val="es-ES"/>
      </w:rPr>
      <w:fldChar w:fldCharType="end"/>
    </w:r>
    <w:r w:rsidRPr="00A96D3A">
      <w:rPr>
        <w:sz w:val="18"/>
        <w:szCs w:val="18"/>
        <w:lang w:val="es-ES"/>
      </w:rPr>
      <w:t xml:space="preserve"> • </w:t>
    </w:r>
    <w:r w:rsidR="000B1B6B">
      <w:fldChar w:fldCharType="begin"/>
    </w:r>
    <w:r w:rsidR="000B1B6B" w:rsidRPr="000B1B6B">
      <w:rPr>
        <w:lang w:val="es-ES_tradnl"/>
        <w:rPrChange w:id="2" w:author="mostyn" w:date="2013-05-08T11:11:00Z">
          <w:rPr/>
        </w:rPrChange>
      </w:rPr>
      <w:instrText xml:space="preserve"> HYPERLINK "http://www.itu.int/en/pages/default.aspx" </w:instrText>
    </w:r>
    <w:r w:rsidR="000B1B6B">
      <w:fldChar w:fldCharType="separate"/>
    </w:r>
    <w:r w:rsidRPr="00A96D3A">
      <w:rPr>
        <w:rStyle w:val="Hyperlink"/>
        <w:sz w:val="18"/>
        <w:szCs w:val="18"/>
        <w:lang w:val="es-ES"/>
      </w:rPr>
      <w:t>www.itu.int</w:t>
    </w:r>
    <w:r w:rsidR="000B1B6B">
      <w:rPr>
        <w:rStyle w:val="Hyperlink"/>
        <w:sz w:val="18"/>
        <w:szCs w:val="18"/>
        <w:lang w:val="es-ES"/>
      </w:rPr>
      <w:fldChar w:fldCharType="end"/>
    </w:r>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FF" w:rsidRDefault="002509FF">
      <w:r>
        <w:t>____________________</w:t>
      </w:r>
    </w:p>
  </w:footnote>
  <w:footnote w:type="continuationSeparator" w:id="0">
    <w:p w:rsidR="002509FF" w:rsidRDefault="0025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A2CE5" w:rsidRDefault="002A2CE5" w:rsidP="002A2CE5">
    <w:pPr>
      <w:pStyle w:val="Header"/>
      <w:jc w:val="center"/>
      <w:rPr>
        <w:sz w:val="18"/>
        <w:szCs w:val="18"/>
      </w:rPr>
    </w:pPr>
    <w:r w:rsidRPr="002A2CE5">
      <w:rPr>
        <w:sz w:val="18"/>
        <w:szCs w:val="18"/>
      </w:rPr>
      <w:t xml:space="preserve">- </w:t>
    </w:r>
    <w:r w:rsidR="001B42C9" w:rsidRPr="002A2CE5">
      <w:rPr>
        <w:rStyle w:val="PageNumber"/>
        <w:sz w:val="18"/>
        <w:szCs w:val="18"/>
      </w:rPr>
      <w:fldChar w:fldCharType="begin"/>
    </w:r>
    <w:r w:rsidR="00E915AF" w:rsidRPr="002A2CE5">
      <w:rPr>
        <w:rStyle w:val="PageNumber"/>
        <w:sz w:val="18"/>
        <w:szCs w:val="18"/>
      </w:rPr>
      <w:instrText xml:space="preserve"> PAGE </w:instrText>
    </w:r>
    <w:r w:rsidR="001B42C9" w:rsidRPr="002A2CE5">
      <w:rPr>
        <w:rStyle w:val="PageNumber"/>
        <w:sz w:val="18"/>
        <w:szCs w:val="18"/>
      </w:rPr>
      <w:fldChar w:fldCharType="separate"/>
    </w:r>
    <w:r w:rsidR="009214FC">
      <w:rPr>
        <w:rStyle w:val="PageNumber"/>
        <w:noProof/>
        <w:sz w:val="18"/>
        <w:szCs w:val="18"/>
      </w:rPr>
      <w:t>4</w:t>
    </w:r>
    <w:r w:rsidR="001B42C9" w:rsidRPr="002A2CE5">
      <w:rPr>
        <w:rStyle w:val="PageNumber"/>
        <w:sz w:val="18"/>
        <w:szCs w:val="18"/>
      </w:rPr>
      <w:fldChar w:fldCharType="end"/>
    </w:r>
    <w:r w:rsidR="00E915AF" w:rsidRPr="002A2CE5">
      <w:rPr>
        <w:rStyle w:val="PageNumber"/>
        <w:sz w:val="18"/>
        <w:szCs w:val="18"/>
      </w:rPr>
      <w:t xml:space="preserve"> </w:t>
    </w:r>
    <w:r w:rsidRPr="002A2CE5">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A2CE5" w:rsidRDefault="002A2CE5" w:rsidP="002A2CE5">
    <w:pPr>
      <w:pStyle w:val="Header"/>
      <w:jc w:val="center"/>
      <w:rPr>
        <w:iCs/>
        <w:sz w:val="18"/>
        <w:szCs w:val="18"/>
      </w:rPr>
    </w:pPr>
    <w:r w:rsidRPr="002A2CE5">
      <w:rPr>
        <w:iCs/>
        <w:sz w:val="18"/>
        <w:szCs w:val="18"/>
      </w:rPr>
      <w:t xml:space="preserve">- </w:t>
    </w:r>
    <w:r w:rsidR="001B42C9" w:rsidRPr="002A2CE5">
      <w:rPr>
        <w:iCs/>
        <w:sz w:val="18"/>
        <w:szCs w:val="18"/>
      </w:rPr>
      <w:fldChar w:fldCharType="begin"/>
    </w:r>
    <w:r w:rsidR="00E915AF" w:rsidRPr="002A2CE5">
      <w:rPr>
        <w:iCs/>
        <w:sz w:val="18"/>
        <w:szCs w:val="18"/>
      </w:rPr>
      <w:instrText xml:space="preserve"> PAGE  \* MERGEFORMAT </w:instrText>
    </w:r>
    <w:r w:rsidR="001B42C9" w:rsidRPr="002A2CE5">
      <w:rPr>
        <w:iCs/>
        <w:sz w:val="18"/>
        <w:szCs w:val="18"/>
      </w:rPr>
      <w:fldChar w:fldCharType="separate"/>
    </w:r>
    <w:r w:rsidR="009214FC">
      <w:rPr>
        <w:iCs/>
        <w:noProof/>
        <w:sz w:val="18"/>
        <w:szCs w:val="18"/>
      </w:rPr>
      <w:t>3</w:t>
    </w:r>
    <w:r w:rsidR="001B42C9" w:rsidRPr="002A2CE5">
      <w:rPr>
        <w:iCs/>
        <w:sz w:val="18"/>
        <w:szCs w:val="18"/>
      </w:rPr>
      <w:fldChar w:fldCharType="end"/>
    </w:r>
    <w:r w:rsidRPr="002A2CE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99E16D6" wp14:editId="50DEF8B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509FF"/>
    <w:rsid w:val="00006A31"/>
    <w:rsid w:val="00006C82"/>
    <w:rsid w:val="00010E30"/>
    <w:rsid w:val="00015C76"/>
    <w:rsid w:val="00026CF8"/>
    <w:rsid w:val="00030BD7"/>
    <w:rsid w:val="00031E64"/>
    <w:rsid w:val="00034340"/>
    <w:rsid w:val="00035CB3"/>
    <w:rsid w:val="0004554C"/>
    <w:rsid w:val="00045A8D"/>
    <w:rsid w:val="0005167A"/>
    <w:rsid w:val="00054E5D"/>
    <w:rsid w:val="000626C7"/>
    <w:rsid w:val="00070258"/>
    <w:rsid w:val="0007323C"/>
    <w:rsid w:val="00086D03"/>
    <w:rsid w:val="000A096A"/>
    <w:rsid w:val="000A375E"/>
    <w:rsid w:val="000A7051"/>
    <w:rsid w:val="000B0AF6"/>
    <w:rsid w:val="000B0E9B"/>
    <w:rsid w:val="000B1B6B"/>
    <w:rsid w:val="000B2CAE"/>
    <w:rsid w:val="000C03C7"/>
    <w:rsid w:val="000C2AD0"/>
    <w:rsid w:val="000E3DEE"/>
    <w:rsid w:val="000F64A8"/>
    <w:rsid w:val="00100B72"/>
    <w:rsid w:val="00101F7D"/>
    <w:rsid w:val="00103C76"/>
    <w:rsid w:val="0011265F"/>
    <w:rsid w:val="00117282"/>
    <w:rsid w:val="00117389"/>
    <w:rsid w:val="00121C2D"/>
    <w:rsid w:val="00134404"/>
    <w:rsid w:val="00144DFB"/>
    <w:rsid w:val="00166F97"/>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09FF"/>
    <w:rsid w:val="00266E74"/>
    <w:rsid w:val="00283C3B"/>
    <w:rsid w:val="002861E6"/>
    <w:rsid w:val="00287D18"/>
    <w:rsid w:val="002A2618"/>
    <w:rsid w:val="002A2CE5"/>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4E8"/>
    <w:rsid w:val="004577EF"/>
    <w:rsid w:val="00461C4E"/>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15A"/>
    <w:rsid w:val="005224A1"/>
    <w:rsid w:val="00533CE0"/>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3BD4"/>
    <w:rsid w:val="006550F8"/>
    <w:rsid w:val="006829F3"/>
    <w:rsid w:val="006A518B"/>
    <w:rsid w:val="006B0590"/>
    <w:rsid w:val="006B49DA"/>
    <w:rsid w:val="006C53F8"/>
    <w:rsid w:val="006C7CDE"/>
    <w:rsid w:val="007047E9"/>
    <w:rsid w:val="00714952"/>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14FC"/>
    <w:rsid w:val="00925023"/>
    <w:rsid w:val="009277BC"/>
    <w:rsid w:val="00927D57"/>
    <w:rsid w:val="00931A51"/>
    <w:rsid w:val="00947185"/>
    <w:rsid w:val="009518B3"/>
    <w:rsid w:val="00963D9D"/>
    <w:rsid w:val="00970B69"/>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1E44"/>
    <w:rsid w:val="00BF2C15"/>
    <w:rsid w:val="00C07319"/>
    <w:rsid w:val="00C16FD2"/>
    <w:rsid w:val="00C1795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46F"/>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04A"/>
    <w:rsid w:val="00EA15B3"/>
    <w:rsid w:val="00EB2358"/>
    <w:rsid w:val="00EB3EB8"/>
    <w:rsid w:val="00EC00EF"/>
    <w:rsid w:val="00EC02FE"/>
    <w:rsid w:val="00EC4A96"/>
    <w:rsid w:val="00EE03A0"/>
    <w:rsid w:val="00F424BF"/>
    <w:rsid w:val="00F44FC3"/>
    <w:rsid w:val="00F46107"/>
    <w:rsid w:val="00F468C5"/>
    <w:rsid w:val="00F52F39"/>
    <w:rsid w:val="00F6184F"/>
    <w:rsid w:val="00F74CED"/>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2509FF"/>
    <w:pPr>
      <w:ind w:left="720"/>
      <w:contextualSpacing/>
    </w:pPr>
  </w:style>
  <w:style w:type="paragraph" w:customStyle="1" w:styleId="AnnexNotitle0">
    <w:name w:val="Annex_No &amp; title"/>
    <w:basedOn w:val="Normal"/>
    <w:next w:val="Normalaftertitle"/>
    <w:rsid w:val="002509FF"/>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BF1E4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
    <w:name w:val="a"/>
    <w:basedOn w:val="Normal"/>
    <w:rsid w:val="004574E8"/>
    <w:pPr>
      <w:keepNext/>
      <w:keepLines/>
      <w:spacing w:before="240" w:line="240" w:lineRule="auto"/>
      <w:jc w:val="center"/>
    </w:pPr>
    <w:rPr>
      <w:rFonts w:ascii="Times New Roman" w:hAnsi="Times New Roman" w:cs="Times New Roman"/>
      <w:b/>
      <w:sz w:val="28"/>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2509FF"/>
    <w:pPr>
      <w:ind w:left="720"/>
      <w:contextualSpacing/>
    </w:pPr>
  </w:style>
  <w:style w:type="paragraph" w:customStyle="1" w:styleId="AnnexNotitle0">
    <w:name w:val="Annex_No &amp; title"/>
    <w:basedOn w:val="Normal"/>
    <w:next w:val="Normalaftertitle"/>
    <w:rsid w:val="002509FF"/>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BF1E4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
    <w:name w:val="a"/>
    <w:basedOn w:val="Normal"/>
    <w:rsid w:val="004574E8"/>
    <w:pPr>
      <w:keepNext/>
      <w:keepLines/>
      <w:spacing w:before="240" w:line="240" w:lineRule="auto"/>
      <w:jc w:val="center"/>
    </w:pPr>
    <w:rPr>
      <w:rFonts w:ascii="Times New Roman" w:hAnsi="Times New Roman" w:cs="Times New Roman"/>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0641-506B-4D97-951D-509D2199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20</TotalTime>
  <Pages>4</Pages>
  <Words>1124</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15</cp:revision>
  <cp:lastPrinted>2013-03-08T10:15:00Z</cp:lastPrinted>
  <dcterms:created xsi:type="dcterms:W3CDTF">2013-10-18T08:31:00Z</dcterms:created>
  <dcterms:modified xsi:type="dcterms:W3CDTF">2013-10-25T11:30:00Z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