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33E0E" w:rsidTr="006160CB">
        <w:tc>
          <w:tcPr>
            <w:tcW w:w="9889" w:type="dxa"/>
            <w:gridSpan w:val="3"/>
            <w:shd w:val="clear" w:color="auto" w:fill="auto"/>
          </w:tcPr>
          <w:p w:rsidR="00E53DCE" w:rsidRPr="00033E0E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33E0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33E0E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C82784" w:rsidRPr="00033E0E" w:rsidTr="006160CB">
        <w:tc>
          <w:tcPr>
            <w:tcW w:w="7054" w:type="dxa"/>
            <w:gridSpan w:val="2"/>
            <w:shd w:val="clear" w:color="auto" w:fill="auto"/>
          </w:tcPr>
          <w:p w:rsidR="00C82784" w:rsidRPr="00033E0E" w:rsidRDefault="00C82784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bookmarkStart w:id="0" w:name="_GoBack" w:colFirst="1" w:colLast="1"/>
            <w:r w:rsidRPr="00033E0E">
              <w:rPr>
                <w:lang w:val="ru-RU"/>
              </w:rPr>
              <w:t>Административный циркуляр</w:t>
            </w:r>
          </w:p>
          <w:p w:rsidR="00C82784" w:rsidRPr="00033E0E" w:rsidRDefault="00C82784" w:rsidP="00C151DB">
            <w:pPr>
              <w:spacing w:before="0"/>
              <w:rPr>
                <w:b/>
                <w:bCs/>
                <w:lang w:val="ru-RU"/>
              </w:rPr>
            </w:pPr>
            <w:r w:rsidRPr="00033E0E">
              <w:rPr>
                <w:b/>
                <w:bCs/>
                <w:lang w:val="ru-RU"/>
              </w:rPr>
              <w:t>CACE/637</w:t>
            </w:r>
          </w:p>
        </w:tc>
        <w:tc>
          <w:tcPr>
            <w:tcW w:w="2835" w:type="dxa"/>
            <w:shd w:val="clear" w:color="auto" w:fill="auto"/>
          </w:tcPr>
          <w:p w:rsidR="00C82784" w:rsidRPr="002A017E" w:rsidRDefault="00C82784" w:rsidP="00F90B69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40E46D18D241448992B0D0901843D163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Content>
                <w:r w:rsidRPr="002A017E">
                  <w:rPr>
                    <w:rFonts w:cs="Arial"/>
                    <w:lang w:val="ru-RU"/>
                  </w:rPr>
                  <w:t>2</w:t>
                </w:r>
                <w:r>
                  <w:rPr>
                    <w:rFonts w:cs="Arial"/>
                    <w:lang w:val="fr-CH"/>
                  </w:rPr>
                  <w:t>8</w:t>
                </w:r>
                <w:r w:rsidRPr="002A017E">
                  <w:rPr>
                    <w:rFonts w:cs="Arial"/>
                    <w:lang w:val="ru-RU"/>
                  </w:rPr>
                  <w:t xml:space="preserve"> октября 2013 года</w:t>
                </w:r>
              </w:sdtContent>
            </w:sdt>
          </w:p>
        </w:tc>
      </w:tr>
      <w:bookmarkEnd w:id="0"/>
      <w:tr w:rsidR="00E53DCE" w:rsidRPr="00033E0E" w:rsidTr="006160CB">
        <w:tc>
          <w:tcPr>
            <w:tcW w:w="9889" w:type="dxa"/>
            <w:gridSpan w:val="3"/>
            <w:shd w:val="clear" w:color="auto" w:fill="auto"/>
          </w:tcPr>
          <w:p w:rsidR="00E53DCE" w:rsidRPr="00033E0E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33E0E" w:rsidTr="006160CB">
        <w:tc>
          <w:tcPr>
            <w:tcW w:w="9889" w:type="dxa"/>
            <w:gridSpan w:val="3"/>
            <w:shd w:val="clear" w:color="auto" w:fill="auto"/>
          </w:tcPr>
          <w:p w:rsidR="00E53DCE" w:rsidRPr="00033E0E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72C24" w:rsidTr="006160CB">
        <w:tc>
          <w:tcPr>
            <w:tcW w:w="9889" w:type="dxa"/>
            <w:gridSpan w:val="3"/>
            <w:shd w:val="clear" w:color="auto" w:fill="auto"/>
          </w:tcPr>
          <w:p w:rsidR="00E53DCE" w:rsidRPr="00033E0E" w:rsidRDefault="00C151DB" w:rsidP="00B25D0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33E0E">
              <w:rPr>
                <w:b/>
                <w:bCs/>
                <w:lang w:val="ru-RU"/>
              </w:rPr>
              <w:t>Администрациям Государств – Членов МСЭ, Членам Сектора радиосвязи и Ассоциированным членам МСЭ-R, принимающим участие в работе 4-й Исследовательской комиссии по радиосвязи</w:t>
            </w:r>
          </w:p>
        </w:tc>
      </w:tr>
      <w:tr w:rsidR="00E53DCE" w:rsidRPr="00C72C24" w:rsidTr="006160CB">
        <w:tc>
          <w:tcPr>
            <w:tcW w:w="9889" w:type="dxa"/>
            <w:gridSpan w:val="3"/>
            <w:shd w:val="clear" w:color="auto" w:fill="auto"/>
          </w:tcPr>
          <w:p w:rsidR="00E53DCE" w:rsidRPr="00033E0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72C24" w:rsidTr="006160CB">
        <w:tc>
          <w:tcPr>
            <w:tcW w:w="9889" w:type="dxa"/>
            <w:gridSpan w:val="3"/>
            <w:shd w:val="clear" w:color="auto" w:fill="auto"/>
          </w:tcPr>
          <w:p w:rsidR="00E53DCE" w:rsidRPr="00033E0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72C24" w:rsidTr="006160CB">
        <w:tc>
          <w:tcPr>
            <w:tcW w:w="1526" w:type="dxa"/>
            <w:shd w:val="clear" w:color="auto" w:fill="auto"/>
          </w:tcPr>
          <w:p w:rsidR="00E53DCE" w:rsidRPr="00033E0E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33E0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51DB" w:rsidRPr="00033E0E" w:rsidRDefault="00C151DB" w:rsidP="00C151DB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/>
                <w:lang w:val="ru-RU"/>
              </w:rPr>
            </w:pPr>
            <w:r w:rsidRPr="00033E0E">
              <w:rPr>
                <w:rFonts w:asciiTheme="majorBidi" w:hAnsiTheme="majorBidi" w:cstheme="majorBidi"/>
                <w:b/>
                <w:bCs/>
                <w:lang w:val="ru-RU"/>
              </w:rPr>
              <w:t>4</w:t>
            </w:r>
            <w:r w:rsidRPr="00033E0E">
              <w:rPr>
                <w:b/>
                <w:lang w:val="ru-RU"/>
              </w:rPr>
              <w:t>-я Исследовательская комиссия по радиосвязи (Спутниковые службы)</w:t>
            </w:r>
          </w:p>
          <w:p w:rsidR="00C151DB" w:rsidRPr="00033E0E" w:rsidRDefault="00C151DB" w:rsidP="00C151D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033E0E">
              <w:rPr>
                <w:rFonts w:asciiTheme="majorBidi" w:hAnsiTheme="majorBidi" w:cstheme="majorBidi"/>
                <w:b/>
                <w:bCs/>
                <w:lang w:val="ru-RU"/>
              </w:rPr>
              <w:t>–</w:t>
            </w:r>
            <w:r w:rsidRPr="00033E0E">
              <w:rPr>
                <w:b/>
                <w:lang w:val="ru-RU"/>
              </w:rPr>
              <w:tab/>
              <w:t xml:space="preserve">Предлагаемое одобрение двух проектов новых Рекомендаций МСЭ-R и трех проектов пересмотренных Рекомендаций МСЭ-R и их одновременное утверждение по переписке в соответствии с п. 10.3 Резолюции МСЭ-R </w:t>
            </w:r>
            <w:r w:rsidR="008D77AF">
              <w:rPr>
                <w:b/>
                <w:lang w:val="ru-RU"/>
              </w:rPr>
              <w:t xml:space="preserve">1-6 </w:t>
            </w:r>
            <w:r w:rsidRPr="00033E0E">
              <w:rPr>
                <w:b/>
                <w:lang w:val="ru-RU"/>
              </w:rPr>
              <w:t>(Процедура одновременного одобрения и утверждения по переписке)</w:t>
            </w:r>
          </w:p>
        </w:tc>
      </w:tr>
      <w:tr w:rsidR="00E53DCE" w:rsidRPr="00C72C24" w:rsidTr="006160CB">
        <w:tc>
          <w:tcPr>
            <w:tcW w:w="1526" w:type="dxa"/>
            <w:shd w:val="clear" w:color="auto" w:fill="auto"/>
          </w:tcPr>
          <w:p w:rsidR="00E53DCE" w:rsidRPr="00033E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33E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C72C24" w:rsidTr="006160CB">
        <w:tc>
          <w:tcPr>
            <w:tcW w:w="1526" w:type="dxa"/>
            <w:shd w:val="clear" w:color="auto" w:fill="auto"/>
          </w:tcPr>
          <w:p w:rsidR="00E53DCE" w:rsidRPr="00033E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33E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151DB" w:rsidRPr="00033E0E" w:rsidRDefault="00C151DB" w:rsidP="00C151DB">
      <w:pPr>
        <w:pStyle w:val="Normalaftertitle"/>
        <w:rPr>
          <w:rFonts w:asciiTheme="minorHAnsi" w:hAnsiTheme="minorHAnsi" w:cstheme="minorHAnsi"/>
          <w:lang w:val="ru-RU"/>
        </w:rPr>
      </w:pPr>
      <w:r w:rsidRPr="00033E0E">
        <w:rPr>
          <w:rFonts w:asciiTheme="minorHAnsi" w:hAnsiTheme="minorHAnsi" w:cstheme="minorHAnsi"/>
          <w:lang w:val="ru-RU"/>
        </w:rPr>
        <w:t>В ходе собрания 4-й Исследовательской комиссии МСЭ-R, состоявшегося 11 октября 2013 года, Исследовательская комиссия решила добиваться одобрения двух</w:t>
      </w:r>
      <w:r w:rsidRPr="00033E0E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033E0E">
        <w:rPr>
          <w:rFonts w:asciiTheme="minorHAnsi" w:hAnsiTheme="minorHAnsi" w:cstheme="minorHAnsi"/>
          <w:lang w:val="ru-RU"/>
        </w:rPr>
        <w:t>проектов новых Рекомендаций МСЭ-R и трех проектов пересмотренных Рекомендаций МСЭ-R по переписке (п. 10.2.3 Резолюции МСЭ-R 1-6) и далее решила применить процедуру</w:t>
      </w:r>
      <w:r w:rsidRPr="00033E0E">
        <w:rPr>
          <w:rFonts w:asciiTheme="minorHAnsi" w:hAnsiTheme="minorHAnsi" w:cstheme="minorHAnsi"/>
          <w:b/>
          <w:bCs/>
          <w:color w:val="000000"/>
          <w:lang w:val="ru-RU"/>
        </w:rPr>
        <w:t xml:space="preserve"> </w:t>
      </w:r>
      <w:r w:rsidRPr="00033E0E">
        <w:rPr>
          <w:rFonts w:asciiTheme="minorHAnsi" w:hAnsiTheme="minorHAnsi" w:cstheme="minorHAnsi"/>
          <w:color w:val="000000"/>
          <w:lang w:val="ru-RU"/>
        </w:rPr>
        <w:t>одновременного одобрения и утверждения по переписке</w:t>
      </w:r>
      <w:r w:rsidRPr="00033E0E">
        <w:rPr>
          <w:rFonts w:asciiTheme="minorHAnsi" w:hAnsiTheme="minorHAnsi" w:cstheme="minorHAnsi"/>
          <w:lang w:val="ru-RU"/>
        </w:rPr>
        <w:t xml:space="preserve"> (PSAA) (п. 10.3 Резолюции МСЭ</w:t>
      </w:r>
      <w:r w:rsidRPr="00033E0E">
        <w:rPr>
          <w:rFonts w:asciiTheme="minorHAnsi" w:hAnsiTheme="minorHAnsi" w:cstheme="minorHAnsi"/>
          <w:lang w:val="ru-RU"/>
        </w:rPr>
        <w:noBreakHyphen/>
        <w:t>R 1-6). Названия и резюме проектов Рекомендаций приведены в Приложении.</w:t>
      </w:r>
    </w:p>
    <w:p w:rsidR="00C151DB" w:rsidRPr="00033E0E" w:rsidRDefault="00C151DB" w:rsidP="00C151DB">
      <w:pPr>
        <w:rPr>
          <w:lang w:val="ru-RU"/>
        </w:rPr>
      </w:pPr>
      <w:r w:rsidRPr="00033E0E">
        <w:rPr>
          <w:lang w:val="ru-RU"/>
        </w:rPr>
        <w:t xml:space="preserve">Период рассмотрения продлится два месяца и завершится </w:t>
      </w:r>
      <w:r w:rsidR="00C72C24">
        <w:rPr>
          <w:u w:val="single"/>
          <w:lang w:val="ru-RU"/>
        </w:rPr>
        <w:t>2</w:t>
      </w:r>
      <w:r w:rsidR="00C72C24" w:rsidRPr="00C72C24">
        <w:rPr>
          <w:u w:val="single"/>
          <w:lang w:val="ru-RU"/>
        </w:rPr>
        <w:t>8</w:t>
      </w:r>
      <w:r w:rsidRPr="00FF3B26">
        <w:rPr>
          <w:u w:val="single"/>
          <w:lang w:val="ru-RU"/>
        </w:rPr>
        <w:t> декабря 2013 года</w:t>
      </w:r>
      <w:r w:rsidRPr="00033E0E">
        <w:rPr>
          <w:lang w:val="ru-RU"/>
        </w:rPr>
        <w:t>. Если в течение этого периода от Государств-Членов не поступает возражений, то проекты Рекомендаций будут считаться одобренными 4-й Исследовательской комиссией. Кроме того, поскольку применяется процедура PSAA, то эти проекты Рекомендаций также будут считаться утвержденными.</w:t>
      </w:r>
    </w:p>
    <w:p w:rsidR="00C151DB" w:rsidRPr="00033E0E" w:rsidRDefault="00C151DB" w:rsidP="00C151DB">
      <w:pPr>
        <w:rPr>
          <w:lang w:val="ru-RU"/>
        </w:rPr>
      </w:pPr>
      <w:r w:rsidRPr="00033E0E">
        <w:rPr>
          <w:lang w:val="ru-RU"/>
        </w:rPr>
        <w:t>Любому Государству-Члену, выступающему против одобрения проекта какой-либо Рекомендации, предлагается сообщить Директору и Председателю Исследовательской комиссии о причинах такого несогласия.</w:t>
      </w:r>
    </w:p>
    <w:p w:rsidR="00C151DB" w:rsidRPr="00033E0E" w:rsidRDefault="00C151DB" w:rsidP="00C151DB">
      <w:pPr>
        <w:rPr>
          <w:lang w:val="ru-RU"/>
        </w:rPr>
      </w:pPr>
      <w:r w:rsidRPr="00033E0E">
        <w:rPr>
          <w:lang w:val="ru-RU"/>
        </w:rPr>
        <w:t xml:space="preserve">После указанного выше предельного срока результаты процедуры PSAA будут изложены в административном циркуляре, а утвержденные Рекомендации – в возможно короткий срок опубликованы (см. </w:t>
      </w:r>
      <w:hyperlink r:id="rId9" w:history="1">
        <w:r w:rsidRPr="00033E0E">
          <w:rPr>
            <w:rStyle w:val="Hyperlink"/>
            <w:lang w:val="ru-RU"/>
          </w:rPr>
          <w:t>http://www.itu.int/pub/R-REC</w:t>
        </w:r>
      </w:hyperlink>
      <w:r w:rsidRPr="00033E0E">
        <w:rPr>
          <w:lang w:val="ru-RU"/>
        </w:rPr>
        <w:t>).</w:t>
      </w:r>
    </w:p>
    <w:p w:rsidR="00C151DB" w:rsidRPr="00033E0E" w:rsidRDefault="00C151DB" w:rsidP="00C151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33E0E">
        <w:rPr>
          <w:lang w:val="ru-RU"/>
        </w:rPr>
        <w:br w:type="page"/>
      </w:r>
    </w:p>
    <w:p w:rsidR="00C151DB" w:rsidRPr="00033E0E" w:rsidRDefault="00C151DB" w:rsidP="00C151DB">
      <w:pPr>
        <w:rPr>
          <w:lang w:val="ru-RU"/>
        </w:rPr>
      </w:pPr>
      <w:r w:rsidRPr="00033E0E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секретариат по возможности незамедлительно. С общей патентной политикой МСЭ-T/МСЭ-R/ИСО/МЭК можно ознакомиться по адресу: </w:t>
      </w:r>
      <w:hyperlink r:id="rId10" w:history="1">
        <w:r w:rsidRPr="00033E0E">
          <w:rPr>
            <w:rStyle w:val="Hyperlink"/>
            <w:lang w:val="ru-RU"/>
          </w:rPr>
          <w:t>http://www.itu.int/en/ITU-T/ipr/Pages/policy.aspx</w:t>
        </w:r>
      </w:hyperlink>
      <w:r w:rsidRPr="00064E26">
        <w:rPr>
          <w:rStyle w:val="Hyperlink"/>
          <w:color w:val="auto"/>
          <w:u w:val="none"/>
          <w:lang w:val="ru-RU"/>
        </w:rPr>
        <w:t>.</w:t>
      </w:r>
    </w:p>
    <w:p w:rsidR="00C151DB" w:rsidRPr="00033E0E" w:rsidRDefault="00C151DB" w:rsidP="00C151D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"/>
        <w:rPr>
          <w:lang w:val="ru-RU"/>
        </w:rPr>
      </w:pPr>
      <w:r w:rsidRPr="00033E0E">
        <w:rPr>
          <w:lang w:val="ru-RU"/>
        </w:rPr>
        <w:tab/>
        <w:t>Франсуа Ранси</w:t>
      </w:r>
    </w:p>
    <w:p w:rsidR="00C151DB" w:rsidRPr="00033E0E" w:rsidRDefault="00C151DB" w:rsidP="00C151D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lang w:val="ru-RU"/>
        </w:rPr>
      </w:pPr>
      <w:r w:rsidRPr="00033E0E">
        <w:rPr>
          <w:lang w:val="ru-RU"/>
        </w:rPr>
        <w:tab/>
        <w:t>Директор Бюро радиосвязи</w:t>
      </w:r>
    </w:p>
    <w:p w:rsidR="00C151DB" w:rsidRPr="00033E0E" w:rsidRDefault="00C151DB" w:rsidP="00C151DB">
      <w:pPr>
        <w:tabs>
          <w:tab w:val="clear" w:pos="794"/>
          <w:tab w:val="clear" w:pos="1191"/>
          <w:tab w:val="clear" w:pos="1588"/>
          <w:tab w:val="clear" w:pos="1985"/>
          <w:tab w:val="left" w:pos="1418"/>
          <w:tab w:val="left" w:pos="4820"/>
        </w:tabs>
        <w:spacing w:before="1440"/>
        <w:rPr>
          <w:lang w:val="ru-RU"/>
        </w:rPr>
      </w:pPr>
      <w:r w:rsidRPr="00033E0E">
        <w:rPr>
          <w:b/>
          <w:lang w:val="ru-RU"/>
        </w:rPr>
        <w:t>Приложение</w:t>
      </w:r>
      <w:r w:rsidRPr="00033E0E">
        <w:rPr>
          <w:bCs/>
          <w:lang w:val="ru-RU"/>
        </w:rPr>
        <w:t>:</w:t>
      </w:r>
      <w:r w:rsidRPr="00033E0E">
        <w:rPr>
          <w:lang w:val="ru-RU"/>
        </w:rPr>
        <w:tab/>
        <w:t>Названия и резюме проектов Рекомендаций</w:t>
      </w:r>
      <w:r w:rsidRPr="00033E0E">
        <w:rPr>
          <w:cs/>
          <w:lang w:val="ru-RU"/>
        </w:rPr>
        <w:t>‎</w:t>
      </w:r>
    </w:p>
    <w:p w:rsidR="00C151DB" w:rsidRPr="00033E0E" w:rsidRDefault="00C151DB" w:rsidP="00C151DB">
      <w:pPr>
        <w:tabs>
          <w:tab w:val="clear" w:pos="794"/>
          <w:tab w:val="clear" w:pos="1191"/>
          <w:tab w:val="clear" w:pos="1588"/>
          <w:tab w:val="clear" w:pos="1985"/>
          <w:tab w:val="left" w:pos="1418"/>
          <w:tab w:val="left" w:pos="2552"/>
        </w:tabs>
        <w:rPr>
          <w:lang w:val="ru-RU"/>
        </w:rPr>
      </w:pPr>
      <w:r w:rsidRPr="00033E0E">
        <w:rPr>
          <w:b/>
          <w:bCs/>
          <w:lang w:val="ru-RU"/>
        </w:rPr>
        <w:t>Документы</w:t>
      </w:r>
      <w:r w:rsidRPr="00033E0E">
        <w:rPr>
          <w:bCs/>
          <w:lang w:val="ru-RU"/>
        </w:rPr>
        <w:t>:</w:t>
      </w:r>
      <w:r w:rsidRPr="00033E0E">
        <w:rPr>
          <w:bCs/>
          <w:lang w:val="ru-RU"/>
        </w:rPr>
        <w:tab/>
      </w:r>
      <w:r w:rsidRPr="00033E0E">
        <w:rPr>
          <w:lang w:val="ru-RU"/>
        </w:rPr>
        <w:t>Документы 4/28(Rev.1), 4/37(Rev.1), 4/38(Rev.1), 4/40(Rev.1), 4/43(Rev.1)</w:t>
      </w:r>
    </w:p>
    <w:p w:rsidR="00C151DB" w:rsidRPr="00033E0E" w:rsidRDefault="00C151DB" w:rsidP="00C151DB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lang w:val="ru-RU"/>
        </w:rPr>
      </w:pPr>
      <w:r w:rsidRPr="00033E0E">
        <w:rPr>
          <w:lang w:val="ru-RU"/>
        </w:rPr>
        <w:t xml:space="preserve">Эти документы в электронном виде размещены по адресу: </w:t>
      </w:r>
      <w:hyperlink r:id="rId11" w:history="1">
        <w:r w:rsidRPr="00033E0E">
          <w:rPr>
            <w:rStyle w:val="Hyperlink"/>
            <w:lang w:val="ru-RU"/>
          </w:rPr>
          <w:t>http://www.itu.int/md/R12-SG04-C/en</w:t>
        </w:r>
      </w:hyperlink>
      <w:r w:rsidR="000F778E" w:rsidRPr="00033E0E">
        <w:rPr>
          <w:lang w:val="ru-RU"/>
        </w:rPr>
        <w:t>.</w:t>
      </w:r>
    </w:p>
    <w:p w:rsidR="00C151DB" w:rsidRPr="00033E0E" w:rsidRDefault="00C151DB" w:rsidP="00C151DB">
      <w:pPr>
        <w:tabs>
          <w:tab w:val="left" w:pos="6237"/>
        </w:tabs>
        <w:spacing w:before="5600"/>
        <w:rPr>
          <w:sz w:val="18"/>
          <w:szCs w:val="18"/>
          <w:lang w:val="ru-RU"/>
        </w:rPr>
      </w:pPr>
      <w:r w:rsidRPr="00033E0E">
        <w:rPr>
          <w:b/>
          <w:bCs/>
          <w:sz w:val="18"/>
          <w:szCs w:val="18"/>
          <w:lang w:val="ru-RU"/>
        </w:rPr>
        <w:t>Рассылка</w:t>
      </w:r>
      <w:r w:rsidRPr="00033E0E">
        <w:rPr>
          <w:sz w:val="18"/>
          <w:szCs w:val="18"/>
          <w:lang w:val="ru-RU"/>
        </w:rPr>
        <w:t>:</w:t>
      </w:r>
    </w:p>
    <w:p w:rsidR="00C151DB" w:rsidRPr="00033E0E" w:rsidRDefault="00C151DB" w:rsidP="000F778E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033E0E">
        <w:rPr>
          <w:sz w:val="18"/>
          <w:szCs w:val="18"/>
          <w:lang w:val="ru-RU"/>
        </w:rPr>
        <w:t>–</w:t>
      </w:r>
      <w:r w:rsidRPr="00033E0E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4</w:t>
      </w:r>
      <w:r w:rsidR="000F778E" w:rsidRPr="00033E0E">
        <w:rPr>
          <w:sz w:val="18"/>
          <w:szCs w:val="18"/>
          <w:lang w:val="ru-RU"/>
        </w:rPr>
        <w:noBreakHyphen/>
      </w:r>
      <w:r w:rsidRPr="00033E0E">
        <w:rPr>
          <w:sz w:val="18"/>
          <w:szCs w:val="18"/>
          <w:lang w:val="ru-RU"/>
        </w:rPr>
        <w:t>й</w:t>
      </w:r>
      <w:r w:rsidR="000F778E" w:rsidRPr="00033E0E">
        <w:rPr>
          <w:sz w:val="18"/>
          <w:szCs w:val="18"/>
          <w:lang w:val="ru-RU"/>
        </w:rPr>
        <w:t> </w:t>
      </w:r>
      <w:r w:rsidRPr="00033E0E">
        <w:rPr>
          <w:sz w:val="18"/>
          <w:szCs w:val="18"/>
          <w:lang w:val="ru-RU"/>
        </w:rPr>
        <w:t>Исследовательской комиссии по радиосвязи</w:t>
      </w:r>
    </w:p>
    <w:p w:rsidR="00C151DB" w:rsidRPr="00033E0E" w:rsidRDefault="00C151DB" w:rsidP="000F77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33E0E">
        <w:rPr>
          <w:sz w:val="18"/>
          <w:szCs w:val="18"/>
          <w:lang w:val="ru-RU"/>
        </w:rPr>
        <w:t>–</w:t>
      </w:r>
      <w:r w:rsidRPr="00033E0E">
        <w:rPr>
          <w:sz w:val="18"/>
          <w:szCs w:val="18"/>
          <w:lang w:val="ru-RU"/>
        </w:rPr>
        <w:tab/>
        <w:t>Ассоциированным членам МСЭ-R, принимающим участие в работе 4-й Исследовательской комиссии по радиосвязи</w:t>
      </w:r>
    </w:p>
    <w:p w:rsidR="00C151DB" w:rsidRPr="00033E0E" w:rsidRDefault="00C151DB" w:rsidP="000F77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33E0E">
        <w:rPr>
          <w:sz w:val="18"/>
          <w:szCs w:val="18"/>
          <w:lang w:val="ru-RU"/>
        </w:rPr>
        <w:t>–</w:t>
      </w:r>
      <w:r w:rsidRPr="00033E0E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C151DB" w:rsidRPr="00033E0E" w:rsidRDefault="00C151DB" w:rsidP="000F77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33E0E">
        <w:rPr>
          <w:sz w:val="18"/>
          <w:szCs w:val="18"/>
          <w:lang w:val="ru-RU"/>
        </w:rPr>
        <w:t>–</w:t>
      </w:r>
      <w:r w:rsidRPr="00033E0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C151DB" w:rsidRPr="00033E0E" w:rsidRDefault="00C151DB" w:rsidP="000F77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33E0E">
        <w:rPr>
          <w:sz w:val="18"/>
          <w:szCs w:val="18"/>
          <w:lang w:val="ru-RU"/>
        </w:rPr>
        <w:t>–</w:t>
      </w:r>
      <w:r w:rsidRPr="00033E0E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C151DB" w:rsidRPr="00033E0E" w:rsidRDefault="00C151DB" w:rsidP="000F77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33E0E">
        <w:rPr>
          <w:sz w:val="18"/>
          <w:szCs w:val="18"/>
          <w:lang w:val="ru-RU"/>
        </w:rPr>
        <w:t>–</w:t>
      </w:r>
      <w:r w:rsidRPr="00033E0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F778E" w:rsidRPr="00033E0E" w:rsidRDefault="000F778E" w:rsidP="000F778E">
      <w:pPr>
        <w:pStyle w:val="AnnexNo"/>
      </w:pPr>
      <w:r w:rsidRPr="00033E0E">
        <w:lastRenderedPageBreak/>
        <w:t>ПРИЛОЖЕНИЕ</w:t>
      </w:r>
    </w:p>
    <w:p w:rsidR="000F778E" w:rsidRPr="00033E0E" w:rsidRDefault="000F778E" w:rsidP="000F778E">
      <w:pPr>
        <w:pStyle w:val="Annextitle"/>
      </w:pPr>
      <w:r w:rsidRPr="00033E0E">
        <w:t>Названия и резюме проектов Рекомендаций</w:t>
      </w:r>
    </w:p>
    <w:p w:rsidR="000F778E" w:rsidRPr="00033E0E" w:rsidRDefault="000F778E" w:rsidP="00C72C24">
      <w:pPr>
        <w:pStyle w:val="Normalaftertitle0"/>
        <w:spacing w:before="480"/>
        <w:rPr>
          <w:rStyle w:val="href"/>
        </w:rPr>
      </w:pPr>
      <w:r w:rsidRPr="00033E0E">
        <w:rPr>
          <w:u w:val="single"/>
        </w:rPr>
        <w:t xml:space="preserve">Проект новой Рекомендации МСЭ-R </w:t>
      </w:r>
      <w:r w:rsidRPr="00033E0E">
        <w:rPr>
          <w:rStyle w:val="href"/>
          <w:u w:val="single"/>
        </w:rPr>
        <w:t>M.[MSS 400 MHz]-0</w:t>
      </w:r>
      <w:r w:rsidRPr="00033E0E">
        <w:rPr>
          <w:rStyle w:val="href"/>
        </w:rPr>
        <w:tab/>
        <w:t>Док. 4/37(Rev.1)</w:t>
      </w:r>
    </w:p>
    <w:p w:rsidR="000F778E" w:rsidRPr="00033E0E" w:rsidRDefault="000F778E" w:rsidP="000F778E">
      <w:pPr>
        <w:pStyle w:val="Rectitle"/>
        <w:rPr>
          <w:lang w:val="ru-RU"/>
        </w:rPr>
      </w:pPr>
      <w:r w:rsidRPr="00033E0E">
        <w:rPr>
          <w:lang w:val="ru-RU"/>
        </w:rPr>
        <w:t>Характеристики и критерии защиты для негеостационарных систем подвижной спутниковой службы, работающих в полосе 399,9–400,05 МГц</w:t>
      </w:r>
    </w:p>
    <w:p w:rsidR="000F778E" w:rsidRPr="00033E0E" w:rsidRDefault="000F778E" w:rsidP="000F778E">
      <w:pPr>
        <w:rPr>
          <w:lang w:val="ru-RU"/>
        </w:rPr>
      </w:pPr>
      <w:r w:rsidRPr="00033E0E">
        <w:rPr>
          <w:lang w:val="ru-RU"/>
        </w:rPr>
        <w:t xml:space="preserve">В данной Рекомендации представлено описание системы в подвижной спутниковой службе, использующей полосу частот 399,9–400,05 МГц (Земля-космос), а также ее соответствующие критерии защиты для широкополосного шума и узкополосных помех. </w:t>
      </w:r>
    </w:p>
    <w:p w:rsidR="000F778E" w:rsidRPr="00033E0E" w:rsidRDefault="000F778E" w:rsidP="00C72C24">
      <w:pPr>
        <w:pStyle w:val="Normalaftertitle"/>
        <w:spacing w:before="480"/>
        <w:rPr>
          <w:rStyle w:val="href"/>
          <w:lang w:val="ru-RU"/>
        </w:rPr>
      </w:pPr>
      <w:r w:rsidRPr="00033E0E">
        <w:rPr>
          <w:u w:val="single"/>
          <w:lang w:val="ru-RU"/>
        </w:rPr>
        <w:t xml:space="preserve">Проект новой Рекомендации МСЭ-R </w:t>
      </w:r>
      <w:r w:rsidRPr="00033E0E">
        <w:rPr>
          <w:rStyle w:val="href"/>
          <w:u w:val="single"/>
          <w:lang w:val="ru-RU"/>
        </w:rPr>
        <w:t>M.[IMT-ADVANCED-SAT]-0</w:t>
      </w:r>
      <w:r w:rsidRPr="00033E0E">
        <w:rPr>
          <w:rStyle w:val="href"/>
          <w:lang w:val="ru-RU"/>
        </w:rPr>
        <w:tab/>
        <w:t>Док. 4/40(Rev.1)</w:t>
      </w:r>
    </w:p>
    <w:p w:rsidR="000F778E" w:rsidRPr="00033E0E" w:rsidRDefault="000F778E" w:rsidP="000F778E">
      <w:pPr>
        <w:pStyle w:val="Rectitle"/>
        <w:rPr>
          <w:lang w:val="ru-RU"/>
        </w:rPr>
      </w:pPr>
      <w:r w:rsidRPr="00033E0E">
        <w:rPr>
          <w:lang w:val="ru-RU"/>
        </w:rPr>
        <w:t>Подробные спецификации спутниковых радиоинтерфейсов перспективной</w:t>
      </w:r>
      <w:r w:rsidRPr="00033E0E">
        <w:rPr>
          <w:lang w:val="ru-RU"/>
        </w:rPr>
        <w:br/>
        <w:t>Международной подвижной электросвязи (IMT-Advanced)</w:t>
      </w:r>
    </w:p>
    <w:p w:rsidR="000F778E" w:rsidRPr="00033E0E" w:rsidRDefault="000F778E" w:rsidP="000F778E">
      <w:pPr>
        <w:rPr>
          <w:lang w:val="ru-RU"/>
        </w:rPr>
      </w:pPr>
      <w:r w:rsidRPr="00033E0E">
        <w:rPr>
          <w:lang w:val="ru-RU" w:eastAsia="ja-JP"/>
        </w:rPr>
        <w:t xml:space="preserve">В данной новой Рекомендации МСЭ-R определяются технологий </w:t>
      </w:r>
      <w:r w:rsidR="00033E0E">
        <w:rPr>
          <w:lang w:val="ru-RU" w:eastAsia="ja-JP"/>
        </w:rPr>
        <w:t xml:space="preserve">и </w:t>
      </w:r>
      <w:r w:rsidRPr="00033E0E">
        <w:rPr>
          <w:lang w:val="ru-RU" w:eastAsia="ja-JP"/>
        </w:rPr>
        <w:t>спутниковых радиоинтерфейсов перспективной Международной подвижной электросвязи</w:t>
      </w:r>
      <w:r w:rsidRPr="00033E0E">
        <w:rPr>
          <w:lang w:val="ru-RU"/>
        </w:rPr>
        <w:t xml:space="preserve"> (IMT-Advanced)</w:t>
      </w:r>
      <w:r w:rsidRPr="00033E0E">
        <w:rPr>
          <w:lang w:val="ru-RU" w:eastAsia="ko-KR"/>
        </w:rPr>
        <w:t>, SAT-OFDM и BMsat и представлены подробные спецификации радиоинтерфейсов</w:t>
      </w:r>
      <w:r w:rsidRPr="00033E0E">
        <w:rPr>
          <w:lang w:val="ru-RU"/>
        </w:rPr>
        <w:t>.</w:t>
      </w:r>
    </w:p>
    <w:p w:rsidR="000F778E" w:rsidRPr="00033E0E" w:rsidRDefault="000F778E" w:rsidP="00033E0E">
      <w:pPr>
        <w:rPr>
          <w:lang w:val="ru-RU"/>
        </w:rPr>
      </w:pPr>
      <w:r w:rsidRPr="00033E0E">
        <w:rPr>
          <w:lang w:val="ru-RU"/>
        </w:rPr>
        <w:t xml:space="preserve">В этих спецификациях радиоинтерфейсов </w:t>
      </w:r>
      <w:r w:rsidR="00033E0E">
        <w:rPr>
          <w:lang w:val="ru-RU"/>
        </w:rPr>
        <w:t>подробно</w:t>
      </w:r>
      <w:r w:rsidRPr="00033E0E">
        <w:rPr>
          <w:lang w:val="ru-RU"/>
        </w:rPr>
        <w:t xml:space="preserve"> описаны функциональные возможности и параметры спутникового сегмента IMT-Advanced. В данной Рекомендации рассматриваются возможности обеспечения всемирной совместимости, международного роуминга и доступа к высокоскоростным услугам передачи данных.</w:t>
      </w:r>
    </w:p>
    <w:p w:rsidR="000F778E" w:rsidRPr="00033E0E" w:rsidRDefault="000F778E" w:rsidP="00C72C24">
      <w:pPr>
        <w:pStyle w:val="Normalaftertitle"/>
        <w:spacing w:before="480"/>
        <w:rPr>
          <w:rStyle w:val="href"/>
          <w:lang w:val="ru-RU"/>
        </w:rPr>
      </w:pPr>
      <w:r w:rsidRPr="00033E0E">
        <w:rPr>
          <w:u w:val="single"/>
          <w:lang w:val="ru-RU"/>
        </w:rPr>
        <w:t xml:space="preserve">Проект пересмотренной Рекомендации МСЭ-R </w:t>
      </w:r>
      <w:r w:rsidRPr="00033E0E">
        <w:rPr>
          <w:rStyle w:val="href"/>
          <w:u w:val="single"/>
          <w:lang w:val="ru-RU"/>
        </w:rPr>
        <w:t>SF.674-2</w:t>
      </w:r>
      <w:r w:rsidRPr="00033E0E">
        <w:rPr>
          <w:rStyle w:val="href"/>
          <w:lang w:val="ru-RU"/>
        </w:rPr>
        <w:tab/>
        <w:t>Док. 4/28(Rev.1)</w:t>
      </w:r>
    </w:p>
    <w:p w:rsidR="000F778E" w:rsidRPr="00033E0E" w:rsidRDefault="000F778E" w:rsidP="000F778E">
      <w:pPr>
        <w:pStyle w:val="Rectitle"/>
        <w:rPr>
          <w:lang w:val="ru-RU"/>
        </w:rPr>
      </w:pPr>
      <w:bookmarkStart w:id="1" w:name="Pre_title"/>
      <w:r w:rsidRPr="00033E0E">
        <w:rPr>
          <w:lang w:val="ru-RU"/>
        </w:rPr>
        <w:t xml:space="preserve">Определение воздействия на фиксированную службу, работающую в полосе 11,7−12,2 ГГц, когда геостационарные сети фиксированной спутниковой службы в Районе 2 превышают пороговые значения плотности потока мощности, установленные в Резолюции 77 (ВКР-2000) </w:t>
      </w:r>
      <w:bookmarkEnd w:id="1"/>
    </w:p>
    <w:p w:rsidR="000F778E" w:rsidRPr="00033E0E" w:rsidRDefault="000F778E" w:rsidP="000F778E">
      <w:pPr>
        <w:rPr>
          <w:lang w:val="ru-RU" w:eastAsia="ja-JP"/>
        </w:rPr>
      </w:pPr>
      <w:r w:rsidRPr="00033E0E">
        <w:rPr>
          <w:lang w:val="ru-RU" w:eastAsia="ja-JP"/>
        </w:rPr>
        <w:t>В данном пересмотре добавлена сфера применения, обновлен старый текст, касающийся результатов прошедших всемирных конференций радиосвязи, и исключено старое Дополнение 1 к Приложению 1, в котором рассматриваются помехи аналоговым системам фиксированной службы.</w:t>
      </w:r>
    </w:p>
    <w:p w:rsidR="00C72C24" w:rsidRDefault="00C72C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0F778E" w:rsidRPr="00033E0E" w:rsidRDefault="000F778E" w:rsidP="000F778E">
      <w:pPr>
        <w:pStyle w:val="Normalaftertitle"/>
        <w:rPr>
          <w:rStyle w:val="href"/>
          <w:lang w:val="ru-RU"/>
        </w:rPr>
      </w:pPr>
      <w:r w:rsidRPr="00033E0E">
        <w:rPr>
          <w:u w:val="single"/>
          <w:lang w:val="ru-RU"/>
        </w:rPr>
        <w:lastRenderedPageBreak/>
        <w:t xml:space="preserve">Проект пересмотренной Рекомендации МСЭ-R </w:t>
      </w:r>
      <w:r w:rsidRPr="00033E0E">
        <w:rPr>
          <w:rStyle w:val="href"/>
          <w:u w:val="single"/>
          <w:lang w:val="ru-RU"/>
        </w:rPr>
        <w:t>M.1901-0</w:t>
      </w:r>
      <w:r w:rsidRPr="00033E0E">
        <w:rPr>
          <w:rStyle w:val="href"/>
          <w:lang w:val="ru-RU"/>
        </w:rPr>
        <w:tab/>
        <w:t>Док. 4/38(Rev.1)</w:t>
      </w:r>
    </w:p>
    <w:p w:rsidR="000F778E" w:rsidRPr="00033E0E" w:rsidRDefault="000F778E" w:rsidP="000F778E">
      <w:pPr>
        <w:pStyle w:val="Rectitle"/>
        <w:rPr>
          <w:lang w:val="ru-RU"/>
        </w:rPr>
      </w:pPr>
      <w:r w:rsidRPr="00033E0E">
        <w:rPr>
          <w:lang w:val="ru-RU"/>
        </w:rPr>
        <w:t>Руководство по Рекомендациям МСЭ-R, касающимся систем и сетей радионавигационной спутниковой службы, работающих в полосах частот 1164−1215 МГц, 1215–1300 МГц, 1559–1610 МГц, 5000–5010 МГц и 5010–5030 МГц</w:t>
      </w:r>
    </w:p>
    <w:p w:rsidR="000F778E" w:rsidRPr="00033E0E" w:rsidRDefault="000F778E" w:rsidP="000F778E">
      <w:pPr>
        <w:rPr>
          <w:lang w:val="ru-RU"/>
        </w:rPr>
      </w:pPr>
      <w:r w:rsidRPr="00033E0E">
        <w:rPr>
          <w:lang w:val="ru-RU"/>
        </w:rPr>
        <w:t>МСЭ-R утвердил Рекомендации МСЭ-R M.2030 и</w:t>
      </w:r>
      <w:r w:rsidR="008D77AF" w:rsidRPr="008D77AF">
        <w:rPr>
          <w:lang w:val="ru-RU"/>
        </w:rPr>
        <w:t xml:space="preserve"> </w:t>
      </w:r>
      <w:r w:rsidR="008D77AF" w:rsidRPr="00033E0E">
        <w:rPr>
          <w:lang w:val="ru-RU"/>
        </w:rPr>
        <w:t>МСЭ-R</w:t>
      </w:r>
      <w:r w:rsidRPr="00033E0E">
        <w:rPr>
          <w:lang w:val="ru-RU"/>
        </w:rPr>
        <w:t xml:space="preserve"> M.2031, что было отражено в данном проекте пересмотренной Рекомендации МСЭ-R M.1901. Конкретные вытекающие из этого изменения состоят в исключении раздела </w:t>
      </w:r>
      <w:r w:rsidRPr="00033E0E">
        <w:rPr>
          <w:i/>
          <w:iCs/>
          <w:lang w:val="ru-RU"/>
        </w:rPr>
        <w:t xml:space="preserve">отмечая далее </w:t>
      </w:r>
      <w:r w:rsidRPr="00033E0E">
        <w:rPr>
          <w:lang w:val="ru-RU"/>
        </w:rPr>
        <w:t>и включении новых пунктов </w:t>
      </w:r>
      <w:r w:rsidRPr="00033E0E">
        <w:rPr>
          <w:i/>
          <w:lang w:val="ru-RU"/>
        </w:rPr>
        <w:t>c)</w:t>
      </w:r>
      <w:r w:rsidRPr="00033E0E">
        <w:rPr>
          <w:lang w:val="ru-RU"/>
        </w:rPr>
        <w:t xml:space="preserve"> и </w:t>
      </w:r>
      <w:r w:rsidRPr="00033E0E">
        <w:rPr>
          <w:i/>
          <w:lang w:val="ru-RU"/>
        </w:rPr>
        <w:t xml:space="preserve">f) </w:t>
      </w:r>
      <w:r w:rsidRPr="00033E0E">
        <w:rPr>
          <w:iCs/>
          <w:lang w:val="ru-RU"/>
        </w:rPr>
        <w:t xml:space="preserve">раздела </w:t>
      </w:r>
      <w:r w:rsidRPr="00033E0E">
        <w:rPr>
          <w:i/>
          <w:lang w:val="ru-RU"/>
        </w:rPr>
        <w:t>признавая</w:t>
      </w:r>
      <w:r w:rsidRPr="00033E0E">
        <w:rPr>
          <w:lang w:val="ru-RU"/>
        </w:rPr>
        <w:t xml:space="preserve">. При этом, следуя руководству, содержащемуся в документе по формату новых Рекомендаций МСЭ-R, название раздела </w:t>
      </w:r>
      <w:r w:rsidRPr="008D77AF">
        <w:rPr>
          <w:lang w:val="ru-RU"/>
        </w:rPr>
        <w:t>"</w:t>
      </w:r>
      <w:r w:rsidRPr="00033E0E">
        <w:rPr>
          <w:i/>
          <w:iCs/>
          <w:lang w:val="ru-RU"/>
        </w:rPr>
        <w:t>отмечая</w:t>
      </w:r>
      <w:r w:rsidRPr="008D77AF">
        <w:rPr>
          <w:lang w:val="ru-RU"/>
        </w:rPr>
        <w:t>"</w:t>
      </w:r>
      <w:r w:rsidRPr="00033E0E">
        <w:rPr>
          <w:i/>
          <w:iCs/>
          <w:lang w:val="ru-RU"/>
        </w:rPr>
        <w:t xml:space="preserve"> </w:t>
      </w:r>
      <w:r w:rsidRPr="00033E0E">
        <w:rPr>
          <w:lang w:val="ru-RU"/>
        </w:rPr>
        <w:t>изменено на "</w:t>
      </w:r>
      <w:r w:rsidRPr="00033E0E">
        <w:rPr>
          <w:i/>
          <w:iCs/>
          <w:lang w:val="ru-RU"/>
        </w:rPr>
        <w:t>признавая</w:t>
      </w:r>
      <w:r w:rsidRPr="008D77AF">
        <w:rPr>
          <w:lang w:val="ru-RU"/>
        </w:rPr>
        <w:t>"</w:t>
      </w:r>
      <w:r w:rsidRPr="00033E0E">
        <w:rPr>
          <w:lang w:val="ru-RU"/>
        </w:rPr>
        <w:t>, так как этот раздел содержит ссылки на документы МСЭ. Кроме того, в Приложение 1 внесены редакционные поправки и усовершенствован его формат.</w:t>
      </w:r>
    </w:p>
    <w:p w:rsidR="000F778E" w:rsidRPr="00033E0E" w:rsidRDefault="000F778E" w:rsidP="00C72C24">
      <w:pPr>
        <w:pStyle w:val="Normalaftertitle0"/>
        <w:spacing w:before="480"/>
        <w:rPr>
          <w:rStyle w:val="href"/>
        </w:rPr>
      </w:pPr>
      <w:r w:rsidRPr="00033E0E">
        <w:rPr>
          <w:u w:val="single"/>
        </w:rPr>
        <w:t xml:space="preserve">Проект пересмотренной Рекомендации МСЭ-R </w:t>
      </w:r>
      <w:r w:rsidRPr="00033E0E">
        <w:rPr>
          <w:rStyle w:val="href"/>
          <w:u w:val="single"/>
        </w:rPr>
        <w:t>S.1503-1</w:t>
      </w:r>
      <w:r w:rsidRPr="00033E0E">
        <w:rPr>
          <w:rStyle w:val="href"/>
        </w:rPr>
        <w:tab/>
        <w:t>Док. 4/43(Rev.1)</w:t>
      </w:r>
    </w:p>
    <w:p w:rsidR="000F778E" w:rsidRPr="00033E0E" w:rsidRDefault="000F778E" w:rsidP="000F778E">
      <w:pPr>
        <w:pStyle w:val="Rectitle"/>
        <w:rPr>
          <w:lang w:val="ru-RU"/>
        </w:rPr>
      </w:pPr>
      <w:r w:rsidRPr="00033E0E">
        <w:rPr>
          <w:lang w:val="ru-RU"/>
        </w:rPr>
        <w:t>Функциональное описание, которое следует использовать при разработке программных средств для определения соответствия сетей негеостационарных спутниковых систем фиксированной спутниковой службы ограничениям, указанным в Статье 22 Регламента радиосвязи</w:t>
      </w:r>
    </w:p>
    <w:p w:rsidR="000F778E" w:rsidRPr="00033E0E" w:rsidRDefault="000F778E" w:rsidP="00033E0E">
      <w:pPr>
        <w:rPr>
          <w:lang w:val="ru-RU"/>
        </w:rPr>
      </w:pPr>
      <w:r w:rsidRPr="00033E0E">
        <w:rPr>
          <w:lang w:val="ru-RU"/>
        </w:rPr>
        <w:t>В данной Рекомендации МСЭ-R определяется методика, которую следует использовать для вычислений в целях определения, соответствует ли система НГСО ФСС пределам эквивалентной плотности потока мощности (э.п.п.м.), содержащимся в Статье </w:t>
      </w:r>
      <w:r w:rsidRPr="00033E0E">
        <w:rPr>
          <w:b/>
          <w:bCs/>
          <w:lang w:val="ru-RU"/>
        </w:rPr>
        <w:t>22</w:t>
      </w:r>
      <w:r w:rsidRPr="00033E0E">
        <w:rPr>
          <w:lang w:val="ru-RU"/>
        </w:rPr>
        <w:t xml:space="preserve"> Регламента радиосвязи. Рекомендация применима к тем полосам частот, для которых </w:t>
      </w:r>
      <w:r w:rsidR="00033E0E">
        <w:rPr>
          <w:lang w:val="ru-RU"/>
        </w:rPr>
        <w:t>установлены</w:t>
      </w:r>
      <w:r w:rsidRPr="00033E0E">
        <w:rPr>
          <w:lang w:val="ru-RU"/>
        </w:rPr>
        <w:t xml:space="preserve"> пределы э.п.п.м. </w:t>
      </w:r>
    </w:p>
    <w:p w:rsidR="000F778E" w:rsidRPr="00033E0E" w:rsidRDefault="000F778E" w:rsidP="00033E0E">
      <w:pPr>
        <w:rPr>
          <w:lang w:val="ru-RU"/>
        </w:rPr>
      </w:pPr>
      <w:r w:rsidRPr="00033E0E">
        <w:rPr>
          <w:lang w:val="ru-RU"/>
        </w:rPr>
        <w:t xml:space="preserve">Представленный в данной Рекомендации алгоритм используется в качестве функциональных требований к программным средствам, предоставляемым для БР в целях проверки систем НГСО на соответствие </w:t>
      </w:r>
      <w:r w:rsidR="00033E0E">
        <w:rPr>
          <w:lang w:val="ru-RU"/>
        </w:rPr>
        <w:t>применимым</w:t>
      </w:r>
      <w:r w:rsidRPr="00033E0E">
        <w:rPr>
          <w:lang w:val="ru-RU"/>
        </w:rPr>
        <w:t xml:space="preserve"> статьям Регламента радиосвязи.</w:t>
      </w:r>
    </w:p>
    <w:p w:rsidR="000F778E" w:rsidRPr="00033E0E" w:rsidRDefault="000F778E" w:rsidP="000F778E">
      <w:pPr>
        <w:rPr>
          <w:lang w:val="ru-RU"/>
        </w:rPr>
      </w:pPr>
      <w:r w:rsidRPr="00033E0E">
        <w:rPr>
          <w:lang w:val="ru-RU"/>
        </w:rPr>
        <w:t>Данный пересмотр включает следующие изменения:</w:t>
      </w:r>
    </w:p>
    <w:p w:rsidR="000F778E" w:rsidRPr="00033E0E" w:rsidRDefault="000F778E" w:rsidP="000F778E">
      <w:pPr>
        <w:pStyle w:val="enumlev1"/>
        <w:rPr>
          <w:lang w:val="ru-RU"/>
        </w:rPr>
      </w:pPr>
      <w:r w:rsidRPr="00033E0E">
        <w:rPr>
          <w:lang w:val="ru-RU"/>
        </w:rPr>
        <w:t>1)</w:t>
      </w:r>
      <w:r w:rsidRPr="00033E0E">
        <w:rPr>
          <w:lang w:val="ru-RU"/>
        </w:rPr>
        <w:tab/>
        <w:t>усовершенствование основного алгоритма, обеспечивающее возможность анализа более широкого диапазона типов орбит систем НГСО, включая группировки на экваториальной круговой и высокоэллиптической орбитах;</w:t>
      </w:r>
    </w:p>
    <w:p w:rsidR="000F778E" w:rsidRPr="00033E0E" w:rsidRDefault="000F778E" w:rsidP="000F778E">
      <w:pPr>
        <w:pStyle w:val="enumlev1"/>
        <w:rPr>
          <w:lang w:val="ru-RU"/>
        </w:rPr>
      </w:pPr>
      <w:r w:rsidRPr="00033E0E">
        <w:rPr>
          <w:lang w:val="ru-RU"/>
        </w:rPr>
        <w:t>2)</w:t>
      </w:r>
      <w:r w:rsidRPr="00033E0E">
        <w:rPr>
          <w:lang w:val="ru-RU"/>
        </w:rPr>
        <w:tab/>
        <w:t>усовершенствование алгоритма расчета геометрии наихудшего случая;</w:t>
      </w:r>
    </w:p>
    <w:p w:rsidR="000F778E" w:rsidRPr="00033E0E" w:rsidRDefault="000F778E" w:rsidP="000F778E">
      <w:pPr>
        <w:pStyle w:val="enumlev1"/>
        <w:rPr>
          <w:lang w:val="ru-RU"/>
        </w:rPr>
      </w:pPr>
      <w:r w:rsidRPr="00033E0E">
        <w:rPr>
          <w:lang w:val="ru-RU"/>
        </w:rPr>
        <w:t>3)</w:t>
      </w:r>
      <w:r w:rsidRPr="00033E0E">
        <w:rPr>
          <w:lang w:val="ru-RU"/>
        </w:rPr>
        <w:tab/>
        <w:t>изменение структуры для придания тексту большей четкости;</w:t>
      </w:r>
    </w:p>
    <w:p w:rsidR="000F778E" w:rsidRPr="00033E0E" w:rsidRDefault="000F778E" w:rsidP="000F778E">
      <w:pPr>
        <w:pStyle w:val="enumlev1"/>
        <w:rPr>
          <w:lang w:val="ru-RU"/>
        </w:rPr>
      </w:pPr>
      <w:r w:rsidRPr="00033E0E">
        <w:rPr>
          <w:lang w:val="ru-RU"/>
        </w:rPr>
        <w:t>4)</w:t>
      </w:r>
      <w:r w:rsidRPr="00033E0E">
        <w:rPr>
          <w:lang w:val="ru-RU"/>
        </w:rPr>
        <w:tab/>
        <w:t>упрощение путем исключения аналитического метода, не используемого в процессе разработки п</w:t>
      </w:r>
      <w:r w:rsidR="00033E0E">
        <w:rPr>
          <w:lang w:val="ru-RU"/>
        </w:rPr>
        <w:t>рограммного обеспечения для БР.</w:t>
      </w:r>
    </w:p>
    <w:p w:rsidR="002F2489" w:rsidRPr="00033E0E" w:rsidRDefault="00784CD9" w:rsidP="00784CD9">
      <w:pPr>
        <w:spacing w:before="720"/>
        <w:jc w:val="center"/>
        <w:rPr>
          <w:lang w:val="ru-RU"/>
        </w:rPr>
      </w:pPr>
      <w:r w:rsidRPr="00033E0E">
        <w:rPr>
          <w:lang w:val="ru-RU"/>
        </w:rPr>
        <w:t>______________</w:t>
      </w:r>
    </w:p>
    <w:sectPr w:rsidR="002F2489" w:rsidRPr="00033E0E" w:rsidSect="001F79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B5" w:rsidRDefault="00FE35B5">
      <w:r>
        <w:separator/>
      </w:r>
    </w:p>
  </w:endnote>
  <w:endnote w:type="continuationSeparator" w:id="0">
    <w:p w:rsidR="00FE35B5" w:rsidRDefault="00FE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FF3B26">
      <w:rPr>
        <w:noProof/>
        <w:sz w:val="16"/>
        <w:szCs w:val="16"/>
        <w:lang w:val="fr-CH"/>
      </w:rPr>
      <w:t>P:\RUS\ITU-R\BR\DIR\CACE\600\637R.DOCX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C82784">
      <w:rPr>
        <w:noProof/>
        <w:sz w:val="16"/>
        <w:szCs w:val="16"/>
      </w:rPr>
      <w:t>24.10.13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FF3B26">
      <w:rPr>
        <w:noProof/>
        <w:sz w:val="16"/>
        <w:szCs w:val="16"/>
      </w:rPr>
      <w:t>21.10.13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E7" w:rsidRPr="002414E7" w:rsidRDefault="002414E7" w:rsidP="00C151DB">
    <w:pPr>
      <w:pStyle w:val="Footer"/>
      <w:tabs>
        <w:tab w:val="clear" w:pos="4320"/>
        <w:tab w:val="clear" w:pos="8640"/>
        <w:tab w:val="center" w:pos="5387"/>
        <w:tab w:val="right" w:pos="9639"/>
      </w:tabs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B5" w:rsidRDefault="00FE35B5">
      <w:r>
        <w:t>____________________</w:t>
      </w:r>
    </w:p>
  </w:footnote>
  <w:footnote w:type="continuationSeparator" w:id="0">
    <w:p w:rsidR="00FE35B5" w:rsidRDefault="00FE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DA12F1" w:rsidRDefault="00D9300B" w:rsidP="00C72C24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C82784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  <w:r w:rsidR="00CB4B06">
      <w:rPr>
        <w:rStyle w:val="PageNumber"/>
        <w:sz w:val="18"/>
        <w:szCs w:val="18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5984427" wp14:editId="1D7B779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46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52A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CA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BE4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566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E27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62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52B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0AE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62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64B"/>
    <w:rsid w:val="00010E30"/>
    <w:rsid w:val="00015C76"/>
    <w:rsid w:val="00026CF8"/>
    <w:rsid w:val="00030BD7"/>
    <w:rsid w:val="00031E64"/>
    <w:rsid w:val="00033788"/>
    <w:rsid w:val="00033E0E"/>
    <w:rsid w:val="00034340"/>
    <w:rsid w:val="00035CB3"/>
    <w:rsid w:val="000365A6"/>
    <w:rsid w:val="00045A8D"/>
    <w:rsid w:val="00047BF6"/>
    <w:rsid w:val="0005167A"/>
    <w:rsid w:val="00054E5D"/>
    <w:rsid w:val="00057D97"/>
    <w:rsid w:val="00064E26"/>
    <w:rsid w:val="0006608A"/>
    <w:rsid w:val="00070258"/>
    <w:rsid w:val="0007323C"/>
    <w:rsid w:val="00086641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E4187"/>
    <w:rsid w:val="000F13FE"/>
    <w:rsid w:val="000F1443"/>
    <w:rsid w:val="000F239E"/>
    <w:rsid w:val="000F23D2"/>
    <w:rsid w:val="000F778E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031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3477"/>
    <w:rsid w:val="001E4276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15CC"/>
    <w:rsid w:val="00235A29"/>
    <w:rsid w:val="00236262"/>
    <w:rsid w:val="002414E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40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0F4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72271"/>
    <w:rsid w:val="00480F51"/>
    <w:rsid w:val="00481124"/>
    <w:rsid w:val="004815EB"/>
    <w:rsid w:val="00486E85"/>
    <w:rsid w:val="00487569"/>
    <w:rsid w:val="00491676"/>
    <w:rsid w:val="00496864"/>
    <w:rsid w:val="00496920"/>
    <w:rsid w:val="004A3CE4"/>
    <w:rsid w:val="004A4496"/>
    <w:rsid w:val="004A7739"/>
    <w:rsid w:val="004B11AB"/>
    <w:rsid w:val="004B201F"/>
    <w:rsid w:val="004B65A9"/>
    <w:rsid w:val="004B7C9A"/>
    <w:rsid w:val="004C6779"/>
    <w:rsid w:val="004D1AEB"/>
    <w:rsid w:val="004D6060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2D09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27695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29F3"/>
    <w:rsid w:val="006939D8"/>
    <w:rsid w:val="006A518B"/>
    <w:rsid w:val="006A5E3E"/>
    <w:rsid w:val="006A640A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00E8"/>
    <w:rsid w:val="0076455B"/>
    <w:rsid w:val="007704B6"/>
    <w:rsid w:val="00774656"/>
    <w:rsid w:val="0077505E"/>
    <w:rsid w:val="00775DB8"/>
    <w:rsid w:val="00782354"/>
    <w:rsid w:val="00783CB4"/>
    <w:rsid w:val="00784CD9"/>
    <w:rsid w:val="007921A7"/>
    <w:rsid w:val="0079684E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4BA4"/>
    <w:rsid w:val="0081513E"/>
    <w:rsid w:val="0083007A"/>
    <w:rsid w:val="00834A7E"/>
    <w:rsid w:val="00852428"/>
    <w:rsid w:val="00854131"/>
    <w:rsid w:val="0085541A"/>
    <w:rsid w:val="0085652D"/>
    <w:rsid w:val="00872395"/>
    <w:rsid w:val="0087694B"/>
    <w:rsid w:val="00880F4D"/>
    <w:rsid w:val="008B0F82"/>
    <w:rsid w:val="008B35A3"/>
    <w:rsid w:val="008B37E1"/>
    <w:rsid w:val="008B45F8"/>
    <w:rsid w:val="008C2E74"/>
    <w:rsid w:val="008D5409"/>
    <w:rsid w:val="008D77AF"/>
    <w:rsid w:val="008E006D"/>
    <w:rsid w:val="008E38B4"/>
    <w:rsid w:val="008E4306"/>
    <w:rsid w:val="008F4F21"/>
    <w:rsid w:val="009010EB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92AF0"/>
    <w:rsid w:val="009A009A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76C01"/>
    <w:rsid w:val="00A92E6B"/>
    <w:rsid w:val="00A963DF"/>
    <w:rsid w:val="00AA3D49"/>
    <w:rsid w:val="00AA481C"/>
    <w:rsid w:val="00AC0C22"/>
    <w:rsid w:val="00AC256E"/>
    <w:rsid w:val="00AC3896"/>
    <w:rsid w:val="00AC5DF3"/>
    <w:rsid w:val="00AD10B8"/>
    <w:rsid w:val="00AD29A6"/>
    <w:rsid w:val="00AD2CF2"/>
    <w:rsid w:val="00AD5A32"/>
    <w:rsid w:val="00AD657E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25D04"/>
    <w:rsid w:val="00B3127F"/>
    <w:rsid w:val="00B3151B"/>
    <w:rsid w:val="00B34CF9"/>
    <w:rsid w:val="00B37559"/>
    <w:rsid w:val="00B4054B"/>
    <w:rsid w:val="00B444EE"/>
    <w:rsid w:val="00B466AF"/>
    <w:rsid w:val="00B50814"/>
    <w:rsid w:val="00B513D9"/>
    <w:rsid w:val="00B579B0"/>
    <w:rsid w:val="00B57B37"/>
    <w:rsid w:val="00B57D11"/>
    <w:rsid w:val="00B6450D"/>
    <w:rsid w:val="00B649D7"/>
    <w:rsid w:val="00B76A9F"/>
    <w:rsid w:val="00B81C2F"/>
    <w:rsid w:val="00B83AD1"/>
    <w:rsid w:val="00B844FC"/>
    <w:rsid w:val="00B90743"/>
    <w:rsid w:val="00B90C45"/>
    <w:rsid w:val="00B933BE"/>
    <w:rsid w:val="00BA406E"/>
    <w:rsid w:val="00BA6976"/>
    <w:rsid w:val="00BB0911"/>
    <w:rsid w:val="00BC67F3"/>
    <w:rsid w:val="00BD1315"/>
    <w:rsid w:val="00BD6738"/>
    <w:rsid w:val="00BD7E5E"/>
    <w:rsid w:val="00BE1424"/>
    <w:rsid w:val="00BE63DB"/>
    <w:rsid w:val="00BE6574"/>
    <w:rsid w:val="00BE7F96"/>
    <w:rsid w:val="00BF799F"/>
    <w:rsid w:val="00C06E84"/>
    <w:rsid w:val="00C07319"/>
    <w:rsid w:val="00C151DB"/>
    <w:rsid w:val="00C16FD2"/>
    <w:rsid w:val="00C26D6B"/>
    <w:rsid w:val="00C4395E"/>
    <w:rsid w:val="00C47FFD"/>
    <w:rsid w:val="00C51E92"/>
    <w:rsid w:val="00C57E2C"/>
    <w:rsid w:val="00C608B7"/>
    <w:rsid w:val="00C65354"/>
    <w:rsid w:val="00C66C84"/>
    <w:rsid w:val="00C66F24"/>
    <w:rsid w:val="00C72C24"/>
    <w:rsid w:val="00C74486"/>
    <w:rsid w:val="00C76D7F"/>
    <w:rsid w:val="00C813AA"/>
    <w:rsid w:val="00C82784"/>
    <w:rsid w:val="00C9291E"/>
    <w:rsid w:val="00CA29C1"/>
    <w:rsid w:val="00CA3F44"/>
    <w:rsid w:val="00CA4E58"/>
    <w:rsid w:val="00CA578F"/>
    <w:rsid w:val="00CB3771"/>
    <w:rsid w:val="00CB44BF"/>
    <w:rsid w:val="00CB4B06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1A47"/>
    <w:rsid w:val="00E17344"/>
    <w:rsid w:val="00E20F30"/>
    <w:rsid w:val="00E2189C"/>
    <w:rsid w:val="00E23775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A1EC3"/>
    <w:rsid w:val="00EB078A"/>
    <w:rsid w:val="00EB2358"/>
    <w:rsid w:val="00EB3EB8"/>
    <w:rsid w:val="00EC00EF"/>
    <w:rsid w:val="00EC02FE"/>
    <w:rsid w:val="00EC455D"/>
    <w:rsid w:val="00EC4A96"/>
    <w:rsid w:val="00EE03A0"/>
    <w:rsid w:val="00EF4ECD"/>
    <w:rsid w:val="00F06759"/>
    <w:rsid w:val="00F12B34"/>
    <w:rsid w:val="00F16076"/>
    <w:rsid w:val="00F26672"/>
    <w:rsid w:val="00F31A4B"/>
    <w:rsid w:val="00F376D6"/>
    <w:rsid w:val="00F42233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187D"/>
    <w:rsid w:val="00FB2592"/>
    <w:rsid w:val="00FB2810"/>
    <w:rsid w:val="00FB7A2C"/>
    <w:rsid w:val="00FC2947"/>
    <w:rsid w:val="00FC6991"/>
    <w:rsid w:val="00FD2E06"/>
    <w:rsid w:val="00FE0818"/>
    <w:rsid w:val="00FE35B5"/>
    <w:rsid w:val="00FE6FB1"/>
    <w:rsid w:val="00FF1B09"/>
    <w:rsid w:val="00FF33E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F778E"/>
    <w:pPr>
      <w:tabs>
        <w:tab w:val="right" w:pos="9639"/>
      </w:tabs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0F77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right" w:pos="9639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F77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F778E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0F778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F778E"/>
    <w:pPr>
      <w:tabs>
        <w:tab w:val="right" w:pos="9639"/>
      </w:tabs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0F77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right" w:pos="9639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F77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F778E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0F778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4-C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E46D18D241448992B0D0901843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1227-3418-47BC-833A-545F5997FA57}"/>
      </w:docPartPr>
      <w:docPartBody>
        <w:p w:rsidR="00000000" w:rsidRDefault="00E07219" w:rsidP="00E07219">
          <w:pPr>
            <w:pStyle w:val="40E46D18D241448992B0D0901843D16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0C7ADD"/>
    <w:rsid w:val="00216E75"/>
    <w:rsid w:val="006E6B2A"/>
    <w:rsid w:val="00702184"/>
    <w:rsid w:val="00E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219"/>
    <w:rPr>
      <w:color w:val="808080"/>
    </w:rPr>
  </w:style>
  <w:style w:type="paragraph" w:customStyle="1" w:styleId="A360BECB130C4B1BB89A25E789343059">
    <w:name w:val="A360BECB130C4B1BB89A25E789343059"/>
  </w:style>
  <w:style w:type="paragraph" w:customStyle="1" w:styleId="40E46D18D241448992B0D0901843D163">
    <w:name w:val="40E46D18D241448992B0D0901843D163"/>
    <w:rsid w:val="00E07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219"/>
    <w:rPr>
      <w:color w:val="808080"/>
    </w:rPr>
  </w:style>
  <w:style w:type="paragraph" w:customStyle="1" w:styleId="A360BECB130C4B1BB89A25E789343059">
    <w:name w:val="A360BECB130C4B1BB89A25E789343059"/>
  </w:style>
  <w:style w:type="paragraph" w:customStyle="1" w:styleId="40E46D18D241448992B0D0901843D163">
    <w:name w:val="40E46D18D241448992B0D0901843D163"/>
    <w:rsid w:val="00E07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7D29-D512-4CAC-A332-259EA0B1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4</Pages>
  <Words>831</Words>
  <Characters>6571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7388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jovet</cp:lastModifiedBy>
  <cp:revision>4</cp:revision>
  <cp:lastPrinted>2013-10-21T11:50:00Z</cp:lastPrinted>
  <dcterms:created xsi:type="dcterms:W3CDTF">2013-10-24T05:47:00Z</dcterms:created>
  <dcterms:modified xsi:type="dcterms:W3CDTF">2013-10-24T06:06:00Z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