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52" w:type="dxa"/>
        <w:jc w:val="center"/>
        <w:tblLayout w:type="fixed"/>
        <w:tblLook w:val="04A0" w:firstRow="1" w:lastRow="0" w:firstColumn="1" w:lastColumn="0" w:noHBand="0" w:noVBand="1"/>
      </w:tblPr>
      <w:tblGrid>
        <w:gridCol w:w="1526"/>
        <w:gridCol w:w="5528"/>
        <w:gridCol w:w="3698"/>
      </w:tblGrid>
      <w:tr w:rsidR="00E53DCE" w:rsidRPr="007B3DB1" w:rsidTr="003362CE">
        <w:trPr>
          <w:jc w:val="center"/>
        </w:trPr>
        <w:tc>
          <w:tcPr>
            <w:tcW w:w="10752"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 xml:space="preserve">Bureau des </w:t>
            </w:r>
            <w:proofErr w:type="spellStart"/>
            <w:r w:rsidRPr="00140FEC">
              <w:rPr>
                <w:rFonts w:cstheme="minorHAnsi"/>
                <w:b/>
                <w:bCs/>
                <w:color w:val="808080"/>
                <w:sz w:val="28"/>
                <w:szCs w:val="28"/>
              </w:rPr>
              <w:t>radiocommunications</w:t>
            </w:r>
            <w:proofErr w:type="spellEnd"/>
            <w:r w:rsidRPr="00140FEC">
              <w:rPr>
                <w:rFonts w:cstheme="minorHAnsi"/>
                <w:b/>
                <w:bCs/>
                <w:color w:val="808080"/>
                <w:sz w:val="28"/>
                <w:szCs w:val="28"/>
              </w:rPr>
              <w:t xml:space="preserve">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9B6D2A" w:rsidTr="003362CE">
        <w:trPr>
          <w:jc w:val="center"/>
        </w:trPr>
        <w:tc>
          <w:tcPr>
            <w:tcW w:w="7054" w:type="dxa"/>
            <w:gridSpan w:val="2"/>
            <w:shd w:val="clear" w:color="auto" w:fill="auto"/>
          </w:tcPr>
          <w:p w:rsidR="00E53DCE" w:rsidRPr="009B6D2A" w:rsidRDefault="00E53DCE" w:rsidP="006160CB">
            <w:pPr>
              <w:spacing w:before="0"/>
              <w:jc w:val="left"/>
              <w:rPr>
                <w:sz w:val="24"/>
                <w:szCs w:val="24"/>
                <w:lang w:val="fr-CH"/>
              </w:rPr>
            </w:pPr>
            <w:proofErr w:type="spellStart"/>
            <w:r w:rsidRPr="00841154">
              <w:rPr>
                <w:sz w:val="24"/>
                <w:szCs w:val="24"/>
              </w:rPr>
              <w:t>Circulaire</w:t>
            </w:r>
            <w:proofErr w:type="spellEnd"/>
            <w:r w:rsidRPr="00841154">
              <w:rPr>
                <w:sz w:val="24"/>
                <w:szCs w:val="24"/>
              </w:rPr>
              <w:t xml:space="preserve"> administrative</w:t>
            </w:r>
          </w:p>
          <w:p w:rsidR="00E53DCE" w:rsidRPr="009B6D2A" w:rsidRDefault="00E53DCE" w:rsidP="006160CB">
            <w:pPr>
              <w:spacing w:before="0"/>
              <w:jc w:val="left"/>
              <w:rPr>
                <w:b/>
                <w:bCs/>
                <w:sz w:val="24"/>
                <w:szCs w:val="24"/>
                <w:lang w:val="fr-CH"/>
              </w:rPr>
            </w:pPr>
            <w:r w:rsidRPr="009B6D2A">
              <w:rPr>
                <w:b/>
                <w:bCs/>
                <w:sz w:val="24"/>
                <w:szCs w:val="24"/>
                <w:lang w:val="fr-CH"/>
              </w:rPr>
              <w:t>CA</w:t>
            </w:r>
            <w:r w:rsidR="00CA6718" w:rsidRPr="009B6D2A">
              <w:rPr>
                <w:b/>
                <w:bCs/>
                <w:sz w:val="24"/>
                <w:szCs w:val="24"/>
                <w:lang w:val="fr-CH"/>
              </w:rPr>
              <w:t>CE</w:t>
            </w:r>
            <w:r w:rsidRPr="009B6D2A">
              <w:rPr>
                <w:b/>
                <w:bCs/>
                <w:sz w:val="24"/>
                <w:szCs w:val="24"/>
                <w:lang w:val="fr-CH"/>
              </w:rPr>
              <w:t>/</w:t>
            </w:r>
            <w:r w:rsidR="00841154">
              <w:rPr>
                <w:b/>
                <w:bCs/>
                <w:sz w:val="24"/>
                <w:szCs w:val="24"/>
                <w:lang w:val="fr-CH"/>
              </w:rPr>
              <w:t>637</w:t>
            </w:r>
          </w:p>
        </w:tc>
        <w:tc>
          <w:tcPr>
            <w:tcW w:w="3698" w:type="dxa"/>
            <w:shd w:val="clear" w:color="auto" w:fill="auto"/>
          </w:tcPr>
          <w:p w:rsidR="00E53DCE" w:rsidRPr="00841154" w:rsidRDefault="00E53DCE" w:rsidP="006160CB">
            <w:pPr>
              <w:keepNext/>
              <w:keepLines/>
              <w:spacing w:before="0" w:after="120"/>
              <w:jc w:val="right"/>
              <w:rPr>
                <w:sz w:val="24"/>
                <w:szCs w:val="24"/>
                <w:highlight w:val="yellow"/>
                <w:lang w:val="en-GB"/>
              </w:rPr>
            </w:pPr>
            <w:r w:rsidRPr="00C56B78">
              <w:rPr>
                <w:sz w:val="24"/>
                <w:szCs w:val="24"/>
              </w:rPr>
              <w:t xml:space="preserve">le </w:t>
            </w:r>
            <w:sdt>
              <w:sdtPr>
                <w:rPr>
                  <w:rFonts w:cs="Arial"/>
                  <w:sz w:val="24"/>
                  <w:szCs w:val="24"/>
                </w:rPr>
                <w:alias w:val="Date"/>
                <w:tag w:val="Date"/>
                <w:id w:val="444659277"/>
                <w:placeholder>
                  <w:docPart w:val="D55190A227FF4CB7908A2B7C8930B48A"/>
                </w:placeholder>
                <w:date w:fullDate="2013-10-28T00:00:00Z">
                  <w:dateFormat w:val="d MMMM yyyy"/>
                  <w:lid w:val="fr-FR"/>
                  <w:storeMappedDataAs w:val="date"/>
                  <w:calendar w:val="gregorian"/>
                </w:date>
              </w:sdtPr>
              <w:sdtEndPr/>
              <w:sdtContent>
                <w:r w:rsidR="00E15F6A">
                  <w:rPr>
                    <w:rFonts w:cs="Arial"/>
                    <w:sz w:val="24"/>
                    <w:szCs w:val="24"/>
                    <w:lang w:val="fr-FR"/>
                  </w:rPr>
                  <w:t>28 octobre 2013</w:t>
                </w:r>
              </w:sdtContent>
            </w:sdt>
          </w:p>
        </w:tc>
      </w:tr>
      <w:tr w:rsidR="00E53DCE" w:rsidRPr="009B6D2A" w:rsidTr="003362CE">
        <w:trPr>
          <w:jc w:val="center"/>
        </w:trPr>
        <w:tc>
          <w:tcPr>
            <w:tcW w:w="10752" w:type="dxa"/>
            <w:gridSpan w:val="3"/>
            <w:shd w:val="clear" w:color="auto" w:fill="auto"/>
          </w:tcPr>
          <w:p w:rsidR="00E53DCE" w:rsidRPr="009B6D2A" w:rsidRDefault="00E53DCE" w:rsidP="006160CB">
            <w:pPr>
              <w:spacing w:before="0"/>
              <w:jc w:val="left"/>
              <w:rPr>
                <w:rFonts w:cs="Arial"/>
                <w:sz w:val="24"/>
                <w:szCs w:val="24"/>
                <w:lang w:val="en-GB"/>
              </w:rPr>
            </w:pPr>
          </w:p>
        </w:tc>
      </w:tr>
      <w:tr w:rsidR="00E53DCE" w:rsidRPr="009B6D2A" w:rsidTr="003362CE">
        <w:trPr>
          <w:jc w:val="center"/>
        </w:trPr>
        <w:tc>
          <w:tcPr>
            <w:tcW w:w="10752" w:type="dxa"/>
            <w:gridSpan w:val="3"/>
            <w:shd w:val="clear" w:color="auto" w:fill="auto"/>
          </w:tcPr>
          <w:p w:rsidR="00E53DCE" w:rsidRPr="009B6D2A" w:rsidRDefault="00E53DCE" w:rsidP="006160CB">
            <w:pPr>
              <w:spacing w:before="0"/>
              <w:jc w:val="left"/>
              <w:rPr>
                <w:sz w:val="24"/>
                <w:szCs w:val="24"/>
              </w:rPr>
            </w:pPr>
          </w:p>
        </w:tc>
      </w:tr>
      <w:tr w:rsidR="00E53DCE" w:rsidRPr="00A1601C" w:rsidTr="003362CE">
        <w:trPr>
          <w:jc w:val="center"/>
        </w:trPr>
        <w:tc>
          <w:tcPr>
            <w:tcW w:w="10752" w:type="dxa"/>
            <w:gridSpan w:val="3"/>
            <w:shd w:val="clear" w:color="auto" w:fill="auto"/>
          </w:tcPr>
          <w:p w:rsidR="00CA6718" w:rsidRPr="00841154" w:rsidRDefault="00CA6718" w:rsidP="003362CE">
            <w:pPr>
              <w:keepNext/>
              <w:keepLines/>
              <w:tabs>
                <w:tab w:val="left" w:pos="7513"/>
              </w:tabs>
              <w:spacing w:before="240" w:after="120"/>
              <w:jc w:val="left"/>
              <w:rPr>
                <w:b/>
                <w:sz w:val="24"/>
                <w:szCs w:val="24"/>
                <w:lang w:val="fr-CH"/>
              </w:rPr>
            </w:pPr>
            <w:r w:rsidRPr="00841154">
              <w:rPr>
                <w:b/>
                <w:sz w:val="24"/>
                <w:szCs w:val="24"/>
                <w:lang w:val="fr-CH"/>
              </w:rPr>
              <w:t>Aux Administrations des Etats Membres de l'UIT, aux Membres du Secteur</w:t>
            </w:r>
            <w:r w:rsidR="0063529E" w:rsidRPr="00841154">
              <w:rPr>
                <w:b/>
                <w:sz w:val="24"/>
                <w:szCs w:val="24"/>
                <w:lang w:val="fr-CH"/>
              </w:rPr>
              <w:t xml:space="preserve"> </w:t>
            </w:r>
            <w:r w:rsidRPr="00841154">
              <w:rPr>
                <w:b/>
                <w:sz w:val="24"/>
                <w:szCs w:val="24"/>
                <w:lang w:val="fr-CH"/>
              </w:rPr>
              <w:t>des radiocommunications</w:t>
            </w:r>
            <w:r w:rsidR="00041398">
              <w:rPr>
                <w:b/>
                <w:sz w:val="24"/>
                <w:szCs w:val="24"/>
                <w:lang w:val="fr-CH"/>
              </w:rPr>
              <w:t xml:space="preserve"> </w:t>
            </w:r>
            <w:r w:rsidR="000615AE" w:rsidRPr="00841154">
              <w:rPr>
                <w:b/>
                <w:sz w:val="24"/>
                <w:szCs w:val="24"/>
                <w:lang w:val="fr-CH"/>
              </w:rPr>
              <w:t xml:space="preserve">et </w:t>
            </w:r>
            <w:r w:rsidRPr="00841154">
              <w:rPr>
                <w:b/>
                <w:bCs/>
                <w:sz w:val="24"/>
                <w:szCs w:val="24"/>
                <w:lang w:val="fr-CH"/>
              </w:rPr>
              <w:t>aux</w:t>
            </w:r>
            <w:r w:rsidRPr="00841154">
              <w:rPr>
                <w:b/>
                <w:sz w:val="24"/>
                <w:szCs w:val="24"/>
                <w:lang w:val="fr-CH"/>
              </w:rPr>
              <w:t xml:space="preserve"> </w:t>
            </w:r>
            <w:r w:rsidR="00841154">
              <w:rPr>
                <w:b/>
                <w:bCs/>
                <w:sz w:val="24"/>
                <w:szCs w:val="24"/>
                <w:lang w:val="fr-CH"/>
              </w:rPr>
              <w:t>Associés de l'UIT-</w:t>
            </w:r>
            <w:r w:rsidRPr="00841154">
              <w:rPr>
                <w:b/>
                <w:bCs/>
                <w:sz w:val="24"/>
                <w:szCs w:val="24"/>
                <w:lang w:val="fr-CH"/>
              </w:rPr>
              <w:t>R</w:t>
            </w:r>
            <w:r w:rsidRPr="00841154">
              <w:rPr>
                <w:b/>
                <w:sz w:val="24"/>
                <w:szCs w:val="24"/>
                <w:lang w:val="fr-CH"/>
              </w:rPr>
              <w:t xml:space="preserve"> participant aux travaux de la Commission</w:t>
            </w:r>
            <w:r w:rsidR="0063529E" w:rsidRPr="00841154">
              <w:rPr>
                <w:b/>
                <w:sz w:val="24"/>
                <w:szCs w:val="24"/>
                <w:lang w:val="fr-CH"/>
              </w:rPr>
              <w:t xml:space="preserve"> </w:t>
            </w:r>
            <w:r w:rsidR="00841154">
              <w:rPr>
                <w:b/>
                <w:sz w:val="24"/>
                <w:szCs w:val="24"/>
                <w:lang w:val="fr-CH"/>
              </w:rPr>
              <w:t>d'études 4</w:t>
            </w:r>
            <w:r w:rsidRPr="00841154">
              <w:rPr>
                <w:b/>
                <w:sz w:val="24"/>
                <w:szCs w:val="24"/>
                <w:lang w:val="fr-CH"/>
              </w:rPr>
              <w:t xml:space="preserve"> des radiocommunications</w:t>
            </w:r>
          </w:p>
          <w:p w:rsidR="00E53DCE" w:rsidRPr="009B6D2A" w:rsidRDefault="00E53DCE" w:rsidP="00CA6718">
            <w:pPr>
              <w:spacing w:before="0"/>
              <w:jc w:val="left"/>
              <w:rPr>
                <w:b/>
                <w:bCs/>
                <w:sz w:val="24"/>
                <w:szCs w:val="24"/>
                <w:lang w:val="fr-CH"/>
              </w:rPr>
            </w:pPr>
          </w:p>
        </w:tc>
      </w:tr>
      <w:tr w:rsidR="00E53DCE" w:rsidRPr="00A1601C" w:rsidTr="003362CE">
        <w:trPr>
          <w:jc w:val="center"/>
        </w:trPr>
        <w:tc>
          <w:tcPr>
            <w:tcW w:w="10752" w:type="dxa"/>
            <w:gridSpan w:val="3"/>
            <w:shd w:val="clear" w:color="auto" w:fill="auto"/>
          </w:tcPr>
          <w:p w:rsidR="00E53DCE" w:rsidRPr="009B6D2A" w:rsidRDefault="00E53DCE" w:rsidP="006160CB">
            <w:pPr>
              <w:spacing w:before="0"/>
              <w:jc w:val="left"/>
              <w:rPr>
                <w:sz w:val="24"/>
                <w:szCs w:val="24"/>
                <w:lang w:val="fr-CH"/>
              </w:rPr>
            </w:pPr>
          </w:p>
        </w:tc>
      </w:tr>
      <w:tr w:rsidR="00E53DCE" w:rsidRPr="00A1601C" w:rsidTr="003362CE">
        <w:trPr>
          <w:jc w:val="center"/>
        </w:trPr>
        <w:tc>
          <w:tcPr>
            <w:tcW w:w="10752" w:type="dxa"/>
            <w:gridSpan w:val="3"/>
            <w:shd w:val="clear" w:color="auto" w:fill="auto"/>
          </w:tcPr>
          <w:p w:rsidR="00E53DCE" w:rsidRPr="009B6D2A" w:rsidRDefault="00E53DCE" w:rsidP="006160CB">
            <w:pPr>
              <w:spacing w:before="0"/>
              <w:jc w:val="left"/>
              <w:rPr>
                <w:sz w:val="24"/>
                <w:szCs w:val="24"/>
                <w:lang w:val="fr-CH"/>
              </w:rPr>
            </w:pPr>
          </w:p>
        </w:tc>
      </w:tr>
      <w:tr w:rsidR="00E53DCE" w:rsidRPr="00A1601C" w:rsidTr="003362CE">
        <w:trPr>
          <w:jc w:val="center"/>
        </w:trPr>
        <w:tc>
          <w:tcPr>
            <w:tcW w:w="1526" w:type="dxa"/>
            <w:shd w:val="clear" w:color="auto" w:fill="auto"/>
          </w:tcPr>
          <w:p w:rsidR="00E53DCE" w:rsidRPr="00841154" w:rsidRDefault="00E53DCE" w:rsidP="006160CB">
            <w:pPr>
              <w:keepNext/>
              <w:keepLines/>
              <w:tabs>
                <w:tab w:val="clear" w:pos="1588"/>
                <w:tab w:val="left" w:pos="1560"/>
              </w:tabs>
              <w:spacing w:before="0" w:after="120"/>
              <w:jc w:val="left"/>
              <w:rPr>
                <w:sz w:val="24"/>
                <w:szCs w:val="24"/>
                <w:lang w:val="fr-CH"/>
              </w:rPr>
            </w:pPr>
            <w:r w:rsidRPr="00841154">
              <w:rPr>
                <w:sz w:val="24"/>
                <w:szCs w:val="24"/>
                <w:lang w:val="fr-CH"/>
              </w:rPr>
              <w:t>Sujet:</w:t>
            </w:r>
          </w:p>
        </w:tc>
        <w:tc>
          <w:tcPr>
            <w:tcW w:w="9226" w:type="dxa"/>
            <w:gridSpan w:val="2"/>
            <w:vMerge w:val="restart"/>
            <w:shd w:val="clear" w:color="auto" w:fill="auto"/>
          </w:tcPr>
          <w:p w:rsidR="00E53DCE" w:rsidRPr="003362CE" w:rsidRDefault="00841154" w:rsidP="006160CB">
            <w:pPr>
              <w:keepNext/>
              <w:keepLines/>
              <w:tabs>
                <w:tab w:val="clear" w:pos="1588"/>
                <w:tab w:val="left" w:pos="1560"/>
              </w:tabs>
              <w:spacing w:before="0" w:after="120"/>
              <w:rPr>
                <w:b/>
                <w:bCs/>
                <w:sz w:val="24"/>
                <w:szCs w:val="24"/>
                <w:lang w:val="fr-CH"/>
              </w:rPr>
            </w:pPr>
            <w:r w:rsidRPr="003362CE">
              <w:rPr>
                <w:b/>
                <w:bCs/>
                <w:sz w:val="24"/>
                <w:szCs w:val="24"/>
                <w:lang w:val="fr-CH"/>
              </w:rPr>
              <w:t>Commission d'études 4</w:t>
            </w:r>
            <w:r w:rsidR="00CA6718" w:rsidRPr="003362CE">
              <w:rPr>
                <w:b/>
                <w:bCs/>
                <w:sz w:val="24"/>
                <w:szCs w:val="24"/>
                <w:lang w:val="fr-CH"/>
              </w:rPr>
              <w:t xml:space="preserve"> des radiocommunications</w:t>
            </w:r>
            <w:r w:rsidRPr="003362CE">
              <w:rPr>
                <w:b/>
                <w:bCs/>
                <w:sz w:val="24"/>
                <w:szCs w:val="24"/>
                <w:lang w:val="fr-CH"/>
              </w:rPr>
              <w:t xml:space="preserve"> (Services par satellite)</w:t>
            </w:r>
          </w:p>
          <w:p w:rsidR="00CA6718" w:rsidRPr="003362CE" w:rsidRDefault="00841154" w:rsidP="00841154">
            <w:pPr>
              <w:pStyle w:val="enumlev2"/>
              <w:tabs>
                <w:tab w:val="clear" w:pos="1588"/>
              </w:tabs>
              <w:ind w:left="317" w:hanging="317"/>
              <w:jc w:val="left"/>
              <w:rPr>
                <w:b/>
                <w:bCs/>
                <w:sz w:val="24"/>
                <w:szCs w:val="24"/>
                <w:lang w:val="fr-CH"/>
              </w:rPr>
            </w:pPr>
            <w:r w:rsidRPr="003362CE">
              <w:rPr>
                <w:b/>
                <w:bCs/>
                <w:sz w:val="24"/>
                <w:szCs w:val="24"/>
                <w:lang w:val="fr-CH"/>
              </w:rPr>
              <w:t>–</w:t>
            </w:r>
            <w:r w:rsidRPr="003362CE">
              <w:rPr>
                <w:b/>
                <w:bCs/>
                <w:sz w:val="24"/>
                <w:szCs w:val="24"/>
                <w:lang w:val="fr-CH"/>
              </w:rPr>
              <w:tab/>
              <w:t>Proposition d'adoption de deux</w:t>
            </w:r>
            <w:r w:rsidR="00CA6718" w:rsidRPr="003362CE">
              <w:rPr>
                <w:b/>
                <w:bCs/>
                <w:sz w:val="24"/>
                <w:szCs w:val="24"/>
                <w:lang w:val="fr-CH"/>
              </w:rPr>
              <w:t xml:space="preserve"> projets de nouve</w:t>
            </w:r>
            <w:r w:rsidRPr="003362CE">
              <w:rPr>
                <w:b/>
                <w:bCs/>
                <w:sz w:val="24"/>
                <w:szCs w:val="24"/>
                <w:lang w:val="fr-CH"/>
              </w:rPr>
              <w:t>lle Recommandation UIT-R et de trois</w:t>
            </w:r>
            <w:r w:rsidR="00CA6718" w:rsidRPr="003362CE">
              <w:rPr>
                <w:b/>
                <w:bCs/>
                <w:sz w:val="24"/>
                <w:szCs w:val="24"/>
                <w:lang w:val="fr-CH"/>
              </w:rPr>
              <w:t xml:space="preserve"> projets de Recommandation UIT-R révisée et approbation simultanée par correspondance de ces projets, conformément au § 10.3 de la Résolution UIT-R 1-6 (Procédure d'adoption et d'approbation simultanées par correspondance)</w:t>
            </w:r>
          </w:p>
        </w:tc>
      </w:tr>
      <w:tr w:rsidR="00E53DCE" w:rsidRPr="00A1601C" w:rsidTr="003362CE">
        <w:trPr>
          <w:jc w:val="center"/>
        </w:trPr>
        <w:tc>
          <w:tcPr>
            <w:tcW w:w="1526" w:type="dxa"/>
            <w:shd w:val="clear" w:color="auto" w:fill="auto"/>
          </w:tcPr>
          <w:p w:rsidR="00E53DCE" w:rsidRPr="009B6D2A" w:rsidRDefault="00E53DCE" w:rsidP="006160CB">
            <w:pPr>
              <w:tabs>
                <w:tab w:val="clear" w:pos="1588"/>
                <w:tab w:val="left" w:pos="1560"/>
              </w:tabs>
              <w:spacing w:before="0"/>
              <w:jc w:val="left"/>
              <w:rPr>
                <w:b/>
                <w:bCs/>
                <w:sz w:val="24"/>
                <w:szCs w:val="24"/>
                <w:lang w:val="fr-CH"/>
              </w:rPr>
            </w:pPr>
          </w:p>
        </w:tc>
        <w:tc>
          <w:tcPr>
            <w:tcW w:w="9226" w:type="dxa"/>
            <w:gridSpan w:val="2"/>
            <w:vMerge/>
            <w:shd w:val="clear" w:color="auto" w:fill="auto"/>
          </w:tcPr>
          <w:p w:rsidR="00E53DCE" w:rsidRPr="009B6D2A" w:rsidRDefault="00E53DCE" w:rsidP="006160CB">
            <w:pPr>
              <w:tabs>
                <w:tab w:val="clear" w:pos="1588"/>
                <w:tab w:val="left" w:pos="1560"/>
              </w:tabs>
              <w:spacing w:before="0"/>
              <w:rPr>
                <w:b/>
                <w:bCs/>
                <w:sz w:val="24"/>
                <w:szCs w:val="24"/>
                <w:lang w:val="fr-CH"/>
              </w:rPr>
            </w:pPr>
          </w:p>
        </w:tc>
      </w:tr>
      <w:tr w:rsidR="00E53DCE" w:rsidRPr="00A1601C" w:rsidTr="003362CE">
        <w:trPr>
          <w:jc w:val="center"/>
        </w:trPr>
        <w:tc>
          <w:tcPr>
            <w:tcW w:w="1526" w:type="dxa"/>
            <w:shd w:val="clear" w:color="auto" w:fill="auto"/>
          </w:tcPr>
          <w:p w:rsidR="00E53DCE" w:rsidRPr="009B6D2A" w:rsidRDefault="00E53DCE" w:rsidP="006160CB">
            <w:pPr>
              <w:tabs>
                <w:tab w:val="clear" w:pos="1588"/>
                <w:tab w:val="left" w:pos="1560"/>
              </w:tabs>
              <w:spacing w:before="0"/>
              <w:jc w:val="left"/>
              <w:rPr>
                <w:b/>
                <w:bCs/>
                <w:sz w:val="24"/>
                <w:szCs w:val="24"/>
                <w:lang w:val="fr-CH"/>
              </w:rPr>
            </w:pPr>
          </w:p>
        </w:tc>
        <w:tc>
          <w:tcPr>
            <w:tcW w:w="9226" w:type="dxa"/>
            <w:gridSpan w:val="2"/>
            <w:vMerge/>
            <w:shd w:val="clear" w:color="auto" w:fill="auto"/>
          </w:tcPr>
          <w:p w:rsidR="00E53DCE" w:rsidRPr="009B6D2A" w:rsidRDefault="00E53DCE" w:rsidP="006160CB">
            <w:pPr>
              <w:tabs>
                <w:tab w:val="clear" w:pos="1588"/>
                <w:tab w:val="left" w:pos="1560"/>
              </w:tabs>
              <w:spacing w:before="0"/>
              <w:rPr>
                <w:b/>
                <w:bCs/>
                <w:sz w:val="24"/>
                <w:szCs w:val="24"/>
                <w:lang w:val="fr-CH"/>
              </w:rPr>
            </w:pPr>
          </w:p>
        </w:tc>
      </w:tr>
    </w:tbl>
    <w:p w:rsidR="004B2A1F" w:rsidRPr="00841154" w:rsidRDefault="004B2A1F" w:rsidP="00841154">
      <w:pPr>
        <w:spacing w:before="600"/>
        <w:rPr>
          <w:sz w:val="24"/>
          <w:szCs w:val="24"/>
          <w:lang w:val="fr-CH"/>
        </w:rPr>
      </w:pPr>
      <w:r w:rsidRPr="00841154">
        <w:rPr>
          <w:sz w:val="24"/>
          <w:szCs w:val="24"/>
          <w:lang w:val="fr-CH"/>
        </w:rPr>
        <w:t xml:space="preserve">A sa réunion tenue </w:t>
      </w:r>
      <w:r w:rsidR="00841154">
        <w:rPr>
          <w:sz w:val="24"/>
          <w:szCs w:val="24"/>
          <w:lang w:val="fr-CH"/>
        </w:rPr>
        <w:t>le 11 octobre</w:t>
      </w:r>
      <w:r w:rsidRPr="00841154">
        <w:rPr>
          <w:sz w:val="24"/>
          <w:szCs w:val="24"/>
          <w:lang w:val="fr-CH"/>
        </w:rPr>
        <w:t xml:space="preserve"> 2013, la Commission d'études </w:t>
      </w:r>
      <w:r w:rsidR="00841154">
        <w:rPr>
          <w:sz w:val="24"/>
          <w:szCs w:val="24"/>
          <w:lang w:val="fr-CH"/>
        </w:rPr>
        <w:t>4</w:t>
      </w:r>
      <w:r w:rsidRPr="00841154">
        <w:rPr>
          <w:sz w:val="24"/>
          <w:szCs w:val="24"/>
          <w:lang w:val="fr-CH"/>
        </w:rPr>
        <w:t xml:space="preserve"> des radiocommunications a décidé de demander l'adoption par correspondance </w:t>
      </w:r>
      <w:r w:rsidR="00841154">
        <w:rPr>
          <w:sz w:val="24"/>
          <w:szCs w:val="24"/>
          <w:lang w:val="fr-CH"/>
        </w:rPr>
        <w:t>de deux</w:t>
      </w:r>
      <w:r w:rsidRPr="00841154">
        <w:rPr>
          <w:sz w:val="24"/>
          <w:szCs w:val="24"/>
          <w:lang w:val="fr-CH"/>
        </w:rPr>
        <w:t xml:space="preserve"> projets de</w:t>
      </w:r>
      <w:r w:rsidR="00841154">
        <w:rPr>
          <w:sz w:val="24"/>
          <w:szCs w:val="24"/>
          <w:lang w:val="fr-CH"/>
        </w:rPr>
        <w:t xml:space="preserve"> nouvelle Recommandation </w:t>
      </w:r>
      <w:r w:rsidR="000563B2">
        <w:rPr>
          <w:sz w:val="24"/>
          <w:szCs w:val="24"/>
          <w:lang w:val="fr-CH"/>
        </w:rPr>
        <w:t xml:space="preserve">UIT-R </w:t>
      </w:r>
      <w:r w:rsidR="00841154">
        <w:rPr>
          <w:sz w:val="24"/>
          <w:szCs w:val="24"/>
          <w:lang w:val="fr-CH"/>
        </w:rPr>
        <w:t>et de trois</w:t>
      </w:r>
      <w:r w:rsidRPr="00841154">
        <w:rPr>
          <w:sz w:val="24"/>
          <w:szCs w:val="24"/>
          <w:lang w:val="fr-CH"/>
        </w:rPr>
        <w:t xml:space="preserve"> projets de Recommandation </w:t>
      </w:r>
      <w:r w:rsidR="000563B2">
        <w:rPr>
          <w:sz w:val="24"/>
          <w:szCs w:val="24"/>
          <w:lang w:val="fr-CH"/>
        </w:rPr>
        <w:t xml:space="preserve">UIT-R </w:t>
      </w:r>
      <w:r w:rsidRPr="00841154">
        <w:rPr>
          <w:sz w:val="24"/>
          <w:szCs w:val="24"/>
          <w:lang w:val="fr-CH"/>
        </w:rPr>
        <w:t>révisée (§ 10.2.3 de la Résolution UIT-R 1-6) et a décidé en outre d'appliquer la procédure d'adoption et d'approbation simultanées par correspondance (PAAS), conformément au § 10.3</w:t>
      </w:r>
      <w:r w:rsidR="00841154">
        <w:rPr>
          <w:sz w:val="24"/>
          <w:szCs w:val="24"/>
          <w:lang w:val="fr-CH"/>
        </w:rPr>
        <w:t xml:space="preserve"> de la Résolution UIT-R 1-6. Les </w:t>
      </w:r>
      <w:r w:rsidRPr="00841154">
        <w:rPr>
          <w:sz w:val="24"/>
          <w:szCs w:val="24"/>
          <w:lang w:val="fr-CH"/>
        </w:rPr>
        <w:t>titres</w:t>
      </w:r>
      <w:r w:rsidR="00841154">
        <w:rPr>
          <w:sz w:val="24"/>
          <w:szCs w:val="24"/>
          <w:lang w:val="fr-CH"/>
        </w:rPr>
        <w:t xml:space="preserve"> et résumé</w:t>
      </w:r>
      <w:r w:rsidRPr="00841154">
        <w:rPr>
          <w:sz w:val="24"/>
          <w:szCs w:val="24"/>
          <w:lang w:val="fr-CH"/>
        </w:rPr>
        <w:t>s</w:t>
      </w:r>
      <w:r w:rsidR="00841154">
        <w:rPr>
          <w:sz w:val="24"/>
          <w:szCs w:val="24"/>
          <w:lang w:val="fr-CH"/>
        </w:rPr>
        <w:t xml:space="preserve"> </w:t>
      </w:r>
      <w:r w:rsidRPr="00841154">
        <w:rPr>
          <w:sz w:val="24"/>
          <w:szCs w:val="24"/>
          <w:lang w:val="fr-CH"/>
        </w:rPr>
        <w:t>des projets de Recomma</w:t>
      </w:r>
      <w:r w:rsidR="00841154">
        <w:rPr>
          <w:sz w:val="24"/>
          <w:szCs w:val="24"/>
          <w:lang w:val="fr-CH"/>
        </w:rPr>
        <w:t>ndation figurent dans l'Annexe</w:t>
      </w:r>
      <w:r w:rsidRPr="00841154">
        <w:rPr>
          <w:sz w:val="24"/>
          <w:szCs w:val="24"/>
          <w:lang w:val="fr-CH"/>
        </w:rPr>
        <w:t xml:space="preserve">. </w:t>
      </w:r>
    </w:p>
    <w:p w:rsidR="004B2A1F" w:rsidRPr="00841154" w:rsidRDefault="004B2A1F" w:rsidP="00A1601C">
      <w:pPr>
        <w:rPr>
          <w:sz w:val="24"/>
          <w:szCs w:val="24"/>
          <w:lang w:val="fr-CH"/>
        </w:rPr>
      </w:pPr>
      <w:r w:rsidRPr="00841154">
        <w:rPr>
          <w:sz w:val="24"/>
          <w:szCs w:val="24"/>
          <w:lang w:val="fr-CH"/>
        </w:rPr>
        <w:t xml:space="preserve">La période d'examen, de deux mois, se terminera le </w:t>
      </w:r>
      <w:r w:rsidR="00E15F6A">
        <w:rPr>
          <w:sz w:val="24"/>
          <w:szCs w:val="24"/>
          <w:u w:val="single"/>
          <w:lang w:val="fr-CH"/>
        </w:rPr>
        <w:t>28</w:t>
      </w:r>
      <w:r w:rsidR="00841154">
        <w:rPr>
          <w:sz w:val="24"/>
          <w:szCs w:val="24"/>
          <w:u w:val="single"/>
          <w:lang w:val="fr-CH"/>
        </w:rPr>
        <w:t xml:space="preserve"> décembre</w:t>
      </w:r>
      <w:r w:rsidRPr="00841154">
        <w:rPr>
          <w:sz w:val="24"/>
          <w:szCs w:val="24"/>
          <w:u w:val="single"/>
          <w:lang w:val="fr-CH"/>
        </w:rPr>
        <w:t xml:space="preserve"> 2013</w:t>
      </w:r>
      <w:r w:rsidRPr="00841154">
        <w:rPr>
          <w:sz w:val="24"/>
          <w:szCs w:val="24"/>
          <w:lang w:val="fr-CH"/>
        </w:rPr>
        <w:t xml:space="preserve">. Si, au cours de cette période, aucun Etat </w:t>
      </w:r>
      <w:r w:rsidR="00E75F38">
        <w:rPr>
          <w:sz w:val="24"/>
          <w:szCs w:val="24"/>
          <w:lang w:val="fr-CH"/>
        </w:rPr>
        <w:t xml:space="preserve">Membre ne soulève d'objection, </w:t>
      </w:r>
      <w:r w:rsidRPr="00841154">
        <w:rPr>
          <w:sz w:val="24"/>
          <w:szCs w:val="24"/>
          <w:lang w:val="fr-CH"/>
        </w:rPr>
        <w:t>le</w:t>
      </w:r>
      <w:r w:rsidR="000563B2">
        <w:rPr>
          <w:sz w:val="24"/>
          <w:szCs w:val="24"/>
          <w:lang w:val="fr-CH"/>
        </w:rPr>
        <w:t>s projets de Recommandation seront</w:t>
      </w:r>
      <w:r w:rsidRPr="00841154">
        <w:rPr>
          <w:sz w:val="24"/>
          <w:szCs w:val="24"/>
          <w:lang w:val="fr-CH"/>
        </w:rPr>
        <w:t xml:space="preserve"> considérés comme adoptés par la Commission d'études </w:t>
      </w:r>
      <w:r w:rsidR="00E75F38">
        <w:rPr>
          <w:sz w:val="24"/>
          <w:szCs w:val="24"/>
          <w:lang w:val="fr-CH"/>
        </w:rPr>
        <w:t>4</w:t>
      </w:r>
      <w:r w:rsidRPr="00841154">
        <w:rPr>
          <w:sz w:val="24"/>
          <w:szCs w:val="24"/>
          <w:lang w:val="fr-CH"/>
        </w:rPr>
        <w:t xml:space="preserve">. En outre, puisque la procédure </w:t>
      </w:r>
      <w:r w:rsidR="000563B2">
        <w:rPr>
          <w:sz w:val="24"/>
          <w:szCs w:val="24"/>
          <w:lang w:val="fr-CH"/>
        </w:rPr>
        <w:t>PAAS a été</w:t>
      </w:r>
      <w:r w:rsidR="00E75F38">
        <w:rPr>
          <w:sz w:val="24"/>
          <w:szCs w:val="24"/>
          <w:lang w:val="fr-CH"/>
        </w:rPr>
        <w:t xml:space="preserve"> appliquée, </w:t>
      </w:r>
      <w:r w:rsidR="00A1601C">
        <w:rPr>
          <w:sz w:val="24"/>
          <w:szCs w:val="24"/>
          <w:lang w:val="fr-CH"/>
        </w:rPr>
        <w:t>l</w:t>
      </w:r>
      <w:r w:rsidRPr="00841154">
        <w:rPr>
          <w:sz w:val="24"/>
          <w:szCs w:val="24"/>
          <w:lang w:val="fr-CH"/>
        </w:rPr>
        <w:t>es projet</w:t>
      </w:r>
      <w:r w:rsidR="00E75F38">
        <w:rPr>
          <w:sz w:val="24"/>
          <w:szCs w:val="24"/>
          <w:lang w:val="fr-CH"/>
        </w:rPr>
        <w:t xml:space="preserve">s </w:t>
      </w:r>
      <w:r w:rsidR="000563B2">
        <w:rPr>
          <w:sz w:val="24"/>
          <w:szCs w:val="24"/>
          <w:lang w:val="fr-CH"/>
        </w:rPr>
        <w:t>de Recommandation ser</w:t>
      </w:r>
      <w:r w:rsidR="00A1601C">
        <w:rPr>
          <w:sz w:val="24"/>
          <w:szCs w:val="24"/>
          <w:lang w:val="fr-CH"/>
        </w:rPr>
        <w:t>ont considérés</w:t>
      </w:r>
      <w:r w:rsidRPr="00841154">
        <w:rPr>
          <w:sz w:val="24"/>
          <w:szCs w:val="24"/>
          <w:lang w:val="fr-CH"/>
        </w:rPr>
        <w:t xml:space="preserve"> comme appro</w:t>
      </w:r>
      <w:r w:rsidR="00A1601C">
        <w:rPr>
          <w:sz w:val="24"/>
          <w:szCs w:val="24"/>
          <w:lang w:val="fr-CH"/>
        </w:rPr>
        <w:t>uvés</w:t>
      </w:r>
      <w:bookmarkStart w:id="0" w:name="_GoBack"/>
      <w:bookmarkEnd w:id="0"/>
      <w:r w:rsidRPr="00841154">
        <w:rPr>
          <w:sz w:val="24"/>
          <w:szCs w:val="24"/>
          <w:lang w:val="fr-CH"/>
        </w:rPr>
        <w:t>.</w:t>
      </w:r>
    </w:p>
    <w:p w:rsidR="004B2A1F" w:rsidRPr="00841154" w:rsidRDefault="004B2A1F" w:rsidP="00841154">
      <w:pPr>
        <w:rPr>
          <w:sz w:val="24"/>
          <w:szCs w:val="24"/>
          <w:lang w:val="fr-CH"/>
        </w:rPr>
      </w:pPr>
      <w:r w:rsidRPr="00841154">
        <w:rPr>
          <w:sz w:val="24"/>
          <w:szCs w:val="24"/>
          <w:lang w:val="fr-CH"/>
        </w:rPr>
        <w:t>Un Etat Membre qui soulève une objection au sujet de l'adoption d'un projet de Recommandation est prié d'informer le Directeur et le Président de la Commission d'études des raisons de cette objection.</w:t>
      </w:r>
    </w:p>
    <w:p w:rsidR="004B2A1F" w:rsidRPr="00841154" w:rsidRDefault="004B2A1F" w:rsidP="000563B2">
      <w:pPr>
        <w:rPr>
          <w:sz w:val="24"/>
          <w:szCs w:val="24"/>
          <w:lang w:val="fr-CH"/>
        </w:rPr>
      </w:pPr>
      <w:r w:rsidRPr="00841154">
        <w:rPr>
          <w:sz w:val="24"/>
          <w:szCs w:val="24"/>
          <w:lang w:val="fr-CH"/>
        </w:rPr>
        <w:t xml:space="preserve">Après la date limite mentionnée ci-dessus, les résultats de la procédure PAAS seront communiqués dans une Circulaire administrative et </w:t>
      </w:r>
      <w:r w:rsidR="000F0EF5">
        <w:rPr>
          <w:sz w:val="24"/>
          <w:szCs w:val="24"/>
          <w:lang w:val="fr-CH"/>
        </w:rPr>
        <w:t>les Recommandation</w:t>
      </w:r>
      <w:r w:rsidRPr="00841154">
        <w:rPr>
          <w:sz w:val="24"/>
          <w:szCs w:val="24"/>
          <w:lang w:val="fr-CH"/>
        </w:rPr>
        <w:t>s approuvées</w:t>
      </w:r>
      <w:r w:rsidR="000F0EF5">
        <w:rPr>
          <w:sz w:val="24"/>
          <w:szCs w:val="24"/>
          <w:lang w:val="fr-CH"/>
        </w:rPr>
        <w:t xml:space="preserve"> seront publiées</w:t>
      </w:r>
      <w:r w:rsidRPr="00841154">
        <w:rPr>
          <w:sz w:val="24"/>
          <w:szCs w:val="24"/>
          <w:lang w:val="fr-CH"/>
        </w:rPr>
        <w:t xml:space="preserve"> dans les meilleurs délais (voir </w:t>
      </w:r>
      <w:hyperlink r:id="rId9" w:history="1">
        <w:r w:rsidRPr="00841154">
          <w:rPr>
            <w:rStyle w:val="Hyperlink"/>
            <w:sz w:val="24"/>
            <w:szCs w:val="24"/>
            <w:lang w:val="fr-CH"/>
          </w:rPr>
          <w:t>http://www.itu.int/pub/R-REC</w:t>
        </w:r>
      </w:hyperlink>
      <w:r w:rsidRPr="00841154">
        <w:rPr>
          <w:sz w:val="24"/>
          <w:szCs w:val="24"/>
          <w:lang w:val="fr-CH"/>
        </w:rPr>
        <w:t>).</w:t>
      </w:r>
    </w:p>
    <w:p w:rsidR="00841154" w:rsidRDefault="00841154">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24"/>
          <w:szCs w:val="24"/>
          <w:lang w:val="fr-CH"/>
        </w:rPr>
      </w:pPr>
      <w:r>
        <w:rPr>
          <w:rFonts w:asciiTheme="minorHAnsi" w:hAnsiTheme="minorHAnsi" w:cstheme="minorHAnsi"/>
          <w:sz w:val="24"/>
          <w:szCs w:val="24"/>
          <w:lang w:val="fr-CH"/>
        </w:rPr>
        <w:br w:type="page"/>
      </w:r>
    </w:p>
    <w:p w:rsidR="004B2A1F" w:rsidRPr="009B6D2A" w:rsidRDefault="004B2A1F" w:rsidP="00841154">
      <w:pPr>
        <w:rPr>
          <w:sz w:val="24"/>
          <w:szCs w:val="24"/>
          <w:lang w:val="fr-CH"/>
        </w:rPr>
      </w:pPr>
      <w:r w:rsidRPr="009B6D2A">
        <w:rPr>
          <w:sz w:val="24"/>
          <w:szCs w:val="24"/>
          <w:lang w:val="fr-CH"/>
        </w:rPr>
        <w:lastRenderedPageBreak/>
        <w:t>Toute organisation membre de l'UIT ayant connaissance d'un brevet détenu en son sein ou par d'autres organismes, et susceptible de se rapporter complètement ou en partie à des éléments d'un ou des projets de Recommandation mentionnés dans la présente lettre, est priée de transmettre lesdites informations au Secrétariat dans les meilleurs délais. La politique commune en matière de brevets de l'UIT</w:t>
      </w:r>
      <w:r w:rsidRPr="009B6D2A">
        <w:rPr>
          <w:sz w:val="24"/>
          <w:szCs w:val="24"/>
          <w:lang w:val="fr-CH"/>
        </w:rPr>
        <w:noBreakHyphen/>
        <w:t>T/UIT</w:t>
      </w:r>
      <w:r w:rsidRPr="009B6D2A">
        <w:rPr>
          <w:sz w:val="24"/>
          <w:szCs w:val="24"/>
          <w:lang w:val="fr-CH"/>
        </w:rPr>
        <w:noBreakHyphen/>
        <w:t>R/ISO/CEI est disponible à l'adresse:</w:t>
      </w:r>
      <w:r w:rsidR="0019125A" w:rsidRPr="009B6D2A">
        <w:rPr>
          <w:sz w:val="24"/>
          <w:szCs w:val="24"/>
          <w:lang w:val="fr-CH"/>
        </w:rPr>
        <w:t xml:space="preserve"> </w:t>
      </w:r>
      <w:r w:rsidR="004B5C95" w:rsidRPr="009B6D2A">
        <w:rPr>
          <w:sz w:val="24"/>
          <w:szCs w:val="24"/>
          <w:lang w:val="fr-CH"/>
        </w:rPr>
        <w:t xml:space="preserve"> </w:t>
      </w:r>
      <w:r w:rsidR="0019125A" w:rsidRPr="009B6D2A">
        <w:rPr>
          <w:sz w:val="24"/>
          <w:szCs w:val="24"/>
          <w:lang w:val="fr-CH"/>
        </w:rPr>
        <w:br/>
      </w:r>
      <w:hyperlink r:id="rId10" w:history="1">
        <w:r w:rsidR="004B5C95" w:rsidRPr="009B6D2A">
          <w:rPr>
            <w:rStyle w:val="Hyperlink"/>
            <w:sz w:val="24"/>
            <w:szCs w:val="24"/>
            <w:lang w:val="fr-CH"/>
          </w:rPr>
          <w:t>http://www.itu.int/en/ITU-T/ipr/Pages/policy.aspx</w:t>
        </w:r>
      </w:hyperlink>
      <w:r w:rsidRPr="009B6D2A">
        <w:rPr>
          <w:sz w:val="24"/>
          <w:szCs w:val="24"/>
          <w:lang w:val="fr-CH"/>
        </w:rPr>
        <w:t>.</w:t>
      </w:r>
    </w:p>
    <w:p w:rsidR="00031E64" w:rsidRPr="009B6D2A" w:rsidRDefault="00E53DCE" w:rsidP="004B2A1F">
      <w:pPr>
        <w:spacing w:before="1418" w:line="240" w:lineRule="auto"/>
        <w:jc w:val="left"/>
        <w:rPr>
          <w:sz w:val="24"/>
          <w:szCs w:val="24"/>
          <w:lang w:val="fr-FR"/>
        </w:rPr>
      </w:pPr>
      <w:r w:rsidRPr="009B6D2A">
        <w:rPr>
          <w:sz w:val="24"/>
          <w:szCs w:val="24"/>
          <w:lang w:val="fr-FR"/>
        </w:rPr>
        <w:t xml:space="preserve">François </w:t>
      </w:r>
      <w:proofErr w:type="spellStart"/>
      <w:r w:rsidRPr="009B6D2A">
        <w:rPr>
          <w:sz w:val="24"/>
          <w:szCs w:val="24"/>
          <w:lang w:val="fr-FR"/>
        </w:rPr>
        <w:t>Rancy</w:t>
      </w:r>
      <w:proofErr w:type="spellEnd"/>
      <w:r w:rsidRPr="009B6D2A">
        <w:rPr>
          <w:sz w:val="24"/>
          <w:szCs w:val="24"/>
          <w:lang w:val="fr-FR"/>
        </w:rPr>
        <w:br/>
        <w:t xml:space="preserve">Directeur </w:t>
      </w:r>
    </w:p>
    <w:p w:rsidR="004B2A1F" w:rsidRDefault="00AD496E" w:rsidP="00AD496E">
      <w:pPr>
        <w:spacing w:before="2040"/>
        <w:jc w:val="left"/>
        <w:rPr>
          <w:bCs/>
          <w:sz w:val="24"/>
          <w:szCs w:val="24"/>
          <w:lang w:val="fr-CH"/>
        </w:rPr>
      </w:pPr>
      <w:r>
        <w:rPr>
          <w:b/>
          <w:bCs/>
          <w:sz w:val="24"/>
          <w:szCs w:val="24"/>
          <w:lang w:val="fr-CH"/>
        </w:rPr>
        <w:t>Annexe</w:t>
      </w:r>
      <w:r w:rsidR="004B2A1F" w:rsidRPr="009B6D2A">
        <w:rPr>
          <w:b/>
          <w:bCs/>
          <w:sz w:val="24"/>
          <w:szCs w:val="24"/>
          <w:lang w:val="fr-CH"/>
        </w:rPr>
        <w:t>:</w:t>
      </w:r>
      <w:r w:rsidR="004B2A1F" w:rsidRPr="009B6D2A">
        <w:rPr>
          <w:b/>
          <w:bCs/>
          <w:sz w:val="24"/>
          <w:szCs w:val="24"/>
          <w:lang w:val="fr-CH"/>
        </w:rPr>
        <w:tab/>
      </w:r>
      <w:r>
        <w:rPr>
          <w:bCs/>
          <w:sz w:val="24"/>
          <w:szCs w:val="24"/>
          <w:lang w:val="fr-CH"/>
        </w:rPr>
        <w:t>Titre</w:t>
      </w:r>
      <w:r w:rsidR="004B2A1F" w:rsidRPr="009B6D2A">
        <w:rPr>
          <w:bCs/>
          <w:sz w:val="24"/>
          <w:szCs w:val="24"/>
          <w:lang w:val="fr-CH"/>
        </w:rPr>
        <w:t>s</w:t>
      </w:r>
      <w:r>
        <w:rPr>
          <w:bCs/>
          <w:sz w:val="24"/>
          <w:szCs w:val="24"/>
          <w:lang w:val="fr-CH"/>
        </w:rPr>
        <w:t xml:space="preserve"> et résumé</w:t>
      </w:r>
      <w:r w:rsidR="004B2A1F" w:rsidRPr="009B6D2A">
        <w:rPr>
          <w:bCs/>
          <w:sz w:val="24"/>
          <w:szCs w:val="24"/>
          <w:lang w:val="fr-CH"/>
        </w:rPr>
        <w:t>s d</w:t>
      </w:r>
      <w:r>
        <w:rPr>
          <w:bCs/>
          <w:sz w:val="24"/>
          <w:szCs w:val="24"/>
          <w:lang w:val="fr-CH"/>
        </w:rPr>
        <w:t>es projet</w:t>
      </w:r>
      <w:r w:rsidR="004B2A1F" w:rsidRPr="009B6D2A">
        <w:rPr>
          <w:bCs/>
          <w:sz w:val="24"/>
          <w:szCs w:val="24"/>
          <w:lang w:val="fr-CH"/>
        </w:rPr>
        <w:t>s de Recommandation</w:t>
      </w:r>
    </w:p>
    <w:p w:rsidR="00AD496E" w:rsidRPr="009B6D2A" w:rsidRDefault="00AD496E" w:rsidP="00AD496E">
      <w:pPr>
        <w:spacing w:before="120"/>
        <w:jc w:val="left"/>
        <w:rPr>
          <w:bCs/>
          <w:sz w:val="24"/>
          <w:szCs w:val="24"/>
          <w:lang w:val="fr-CH"/>
        </w:rPr>
      </w:pPr>
    </w:p>
    <w:p w:rsidR="00AD496E" w:rsidRDefault="004B2A1F" w:rsidP="000D3D12">
      <w:pPr>
        <w:spacing w:before="0" w:line="240" w:lineRule="auto"/>
        <w:jc w:val="left"/>
        <w:rPr>
          <w:sz w:val="24"/>
          <w:szCs w:val="24"/>
          <w:lang w:val="fr-CH"/>
        </w:rPr>
      </w:pPr>
      <w:r w:rsidRPr="009B6D2A">
        <w:rPr>
          <w:b/>
          <w:bCs/>
          <w:sz w:val="24"/>
          <w:szCs w:val="24"/>
          <w:lang w:val="fr-CH"/>
        </w:rPr>
        <w:t>Documents joints:</w:t>
      </w:r>
      <w:r w:rsidRPr="009B6D2A">
        <w:rPr>
          <w:b/>
          <w:bCs/>
          <w:sz w:val="24"/>
          <w:szCs w:val="24"/>
          <w:lang w:val="fr-CH"/>
        </w:rPr>
        <w:tab/>
      </w:r>
      <w:bookmarkStart w:id="1" w:name="ddistribution"/>
      <w:bookmarkEnd w:id="1"/>
      <w:r w:rsidR="007C4AC7">
        <w:rPr>
          <w:sz w:val="24"/>
          <w:szCs w:val="24"/>
          <w:lang w:val="fr-CH"/>
        </w:rPr>
        <w:t>Documents 4/28(Rév.1), 4/37(Rév.1), 4/38(Rév.1), 4/40(Ré</w:t>
      </w:r>
      <w:r w:rsidR="00AD496E" w:rsidRPr="000A30A1">
        <w:rPr>
          <w:sz w:val="24"/>
          <w:szCs w:val="24"/>
          <w:lang w:val="fr-CH"/>
        </w:rPr>
        <w:t xml:space="preserve">v.1), </w:t>
      </w:r>
      <w:r w:rsidR="007C4AC7">
        <w:rPr>
          <w:sz w:val="24"/>
          <w:szCs w:val="24"/>
          <w:lang w:val="fr-CH"/>
        </w:rPr>
        <w:t>4/43(Ré</w:t>
      </w:r>
      <w:r w:rsidR="00AD496E" w:rsidRPr="00A96925">
        <w:rPr>
          <w:sz w:val="24"/>
          <w:szCs w:val="24"/>
          <w:lang w:val="fr-CH"/>
        </w:rPr>
        <w:t>v.1)</w:t>
      </w:r>
    </w:p>
    <w:p w:rsidR="00AD496E" w:rsidRDefault="00AD496E" w:rsidP="00AD496E">
      <w:pPr>
        <w:spacing w:before="0" w:line="240" w:lineRule="auto"/>
        <w:jc w:val="left"/>
        <w:rPr>
          <w:sz w:val="24"/>
          <w:szCs w:val="24"/>
          <w:lang w:val="fr-CH"/>
        </w:rPr>
      </w:pPr>
    </w:p>
    <w:p w:rsidR="00AD496E" w:rsidRPr="006C6CB7" w:rsidRDefault="00AD496E" w:rsidP="00AD496E">
      <w:pPr>
        <w:spacing w:before="0" w:line="240" w:lineRule="auto"/>
        <w:jc w:val="left"/>
        <w:rPr>
          <w:rStyle w:val="Hyperlink"/>
          <w:sz w:val="24"/>
          <w:szCs w:val="24"/>
          <w:lang w:val="fr-CH"/>
        </w:rPr>
      </w:pPr>
      <w:r w:rsidRPr="006C6CB7">
        <w:rPr>
          <w:sz w:val="24"/>
          <w:szCs w:val="24"/>
          <w:lang w:val="fr-CH"/>
        </w:rPr>
        <w:t xml:space="preserve">Les documents sont disponibles en format électronique </w:t>
      </w:r>
      <w:r>
        <w:rPr>
          <w:sz w:val="24"/>
          <w:szCs w:val="24"/>
          <w:lang w:val="fr-CH"/>
        </w:rPr>
        <w:t>à l'adresse suivante</w:t>
      </w:r>
      <w:r w:rsidRPr="006C6CB7">
        <w:rPr>
          <w:sz w:val="24"/>
          <w:szCs w:val="24"/>
          <w:lang w:val="fr-CH"/>
        </w:rPr>
        <w:t>:</w:t>
      </w:r>
      <w:r w:rsidRPr="006C6CB7">
        <w:rPr>
          <w:sz w:val="24"/>
          <w:szCs w:val="24"/>
          <w:lang w:val="fr-CH"/>
        </w:rPr>
        <w:br/>
      </w:r>
      <w:hyperlink r:id="rId11" w:history="1">
        <w:r w:rsidRPr="00AD496E">
          <w:rPr>
            <w:rStyle w:val="Hyperlink"/>
            <w:sz w:val="24"/>
            <w:szCs w:val="24"/>
            <w:lang w:val="fr-CH"/>
          </w:rPr>
          <w:t>http://www.itu.int/md/R12-SG04-C/en</w:t>
        </w:r>
      </w:hyperlink>
    </w:p>
    <w:p w:rsidR="004B2A1F" w:rsidRPr="00F95AA0" w:rsidRDefault="004B2A1F" w:rsidP="00AD496E">
      <w:pPr>
        <w:spacing w:before="2160" w:line="240" w:lineRule="auto"/>
        <w:jc w:val="left"/>
        <w:rPr>
          <w:b/>
          <w:bCs/>
          <w:sz w:val="16"/>
          <w:szCs w:val="16"/>
          <w:lang w:val="fr-CH"/>
        </w:rPr>
      </w:pPr>
      <w:r w:rsidRPr="00F95AA0">
        <w:rPr>
          <w:b/>
          <w:bCs/>
          <w:sz w:val="16"/>
          <w:szCs w:val="16"/>
          <w:lang w:val="fr-CH"/>
        </w:rPr>
        <w:t>Distribution:</w:t>
      </w:r>
    </w:p>
    <w:p w:rsidR="004B2A1F" w:rsidRPr="00A45B55" w:rsidRDefault="004B2A1F" w:rsidP="0011777C">
      <w:pPr>
        <w:tabs>
          <w:tab w:val="left" w:pos="284"/>
          <w:tab w:val="left" w:pos="568"/>
        </w:tabs>
        <w:spacing w:before="0" w:line="240" w:lineRule="auto"/>
        <w:jc w:val="left"/>
        <w:rPr>
          <w:sz w:val="18"/>
          <w:szCs w:val="18"/>
          <w:lang w:val="fr-CH"/>
        </w:rPr>
      </w:pPr>
      <w:r w:rsidRPr="00A45B55">
        <w:rPr>
          <w:sz w:val="18"/>
          <w:szCs w:val="18"/>
          <w:lang w:val="fr-CH"/>
        </w:rPr>
        <w:t>–</w:t>
      </w:r>
      <w:r w:rsidRPr="00A45B55">
        <w:rPr>
          <w:sz w:val="18"/>
          <w:szCs w:val="18"/>
          <w:lang w:val="fr-CH"/>
        </w:rPr>
        <w:tab/>
        <w:t xml:space="preserve">Administrations des Etats Membres de l'UIT et Membres du Secteur des radiocommunications participant aux travaux de la </w:t>
      </w:r>
      <w:r w:rsidR="00F95AA0" w:rsidRPr="00A45B55">
        <w:rPr>
          <w:sz w:val="18"/>
          <w:szCs w:val="18"/>
          <w:lang w:val="fr-CH"/>
        </w:rPr>
        <w:br/>
      </w:r>
      <w:r w:rsidR="00AD496E" w:rsidRPr="00A45B55">
        <w:rPr>
          <w:sz w:val="18"/>
          <w:szCs w:val="18"/>
          <w:lang w:val="fr-CH"/>
        </w:rPr>
        <w:tab/>
        <w:t>Commission d'études 4</w:t>
      </w:r>
      <w:r w:rsidRPr="00A45B55">
        <w:rPr>
          <w:sz w:val="18"/>
          <w:szCs w:val="18"/>
          <w:lang w:val="fr-CH"/>
        </w:rPr>
        <w:t xml:space="preserve"> des radiocommunications</w:t>
      </w:r>
      <w:r w:rsidRPr="00A45B55">
        <w:rPr>
          <w:sz w:val="18"/>
          <w:szCs w:val="18"/>
          <w:lang w:val="fr-CH"/>
        </w:rPr>
        <w:br/>
        <w:t>–</w:t>
      </w:r>
      <w:r w:rsidRPr="00A45B55">
        <w:rPr>
          <w:sz w:val="18"/>
          <w:szCs w:val="18"/>
          <w:lang w:val="fr-CH"/>
        </w:rPr>
        <w:tab/>
        <w:t>Associés de l'UIT-R participant aux tra</w:t>
      </w:r>
      <w:r w:rsidR="00AD496E" w:rsidRPr="00A45B55">
        <w:rPr>
          <w:sz w:val="18"/>
          <w:szCs w:val="18"/>
          <w:lang w:val="fr-CH"/>
        </w:rPr>
        <w:t>vaux de la Commission d'études 4</w:t>
      </w:r>
      <w:r w:rsidRPr="00A45B55">
        <w:rPr>
          <w:sz w:val="18"/>
          <w:szCs w:val="18"/>
          <w:lang w:val="fr-CH"/>
        </w:rPr>
        <w:t xml:space="preserve"> des radiocommunications</w:t>
      </w:r>
      <w:r w:rsidR="00AD496E" w:rsidRPr="00A45B55">
        <w:rPr>
          <w:sz w:val="18"/>
          <w:szCs w:val="18"/>
          <w:lang w:val="fr-CH"/>
        </w:rPr>
        <w:br/>
      </w:r>
      <w:r w:rsidR="00A45B55">
        <w:rPr>
          <w:sz w:val="18"/>
          <w:szCs w:val="18"/>
          <w:lang w:val="fr-CH"/>
        </w:rPr>
        <w:t>–</w:t>
      </w:r>
      <w:r w:rsidR="00A45B55">
        <w:rPr>
          <w:sz w:val="18"/>
          <w:szCs w:val="18"/>
          <w:lang w:val="fr-CH"/>
        </w:rPr>
        <w:tab/>
        <w:t>Présidents et Vice-</w:t>
      </w:r>
      <w:r w:rsidRPr="00A45B55">
        <w:rPr>
          <w:sz w:val="18"/>
          <w:szCs w:val="18"/>
          <w:lang w:val="fr-CH"/>
        </w:rPr>
        <w:t xml:space="preserve">Présidents des Commissions d'études des radiocommunications et de la Commission spéciale chargée </w:t>
      </w:r>
      <w:r w:rsidR="00F95AA0" w:rsidRPr="00A45B55">
        <w:rPr>
          <w:sz w:val="18"/>
          <w:szCs w:val="18"/>
          <w:lang w:val="fr-CH"/>
        </w:rPr>
        <w:br/>
      </w:r>
      <w:r w:rsidRPr="00A45B55">
        <w:rPr>
          <w:sz w:val="18"/>
          <w:szCs w:val="18"/>
          <w:lang w:val="fr-CH"/>
        </w:rPr>
        <w:tab/>
        <w:t>d'examiner les questions réglementaires et d</w:t>
      </w:r>
      <w:r w:rsidR="00A45B55">
        <w:rPr>
          <w:sz w:val="18"/>
          <w:szCs w:val="18"/>
          <w:lang w:val="fr-CH"/>
        </w:rPr>
        <w:t>e procédure</w:t>
      </w:r>
      <w:r w:rsidR="00A45B55">
        <w:rPr>
          <w:sz w:val="18"/>
          <w:szCs w:val="18"/>
          <w:lang w:val="fr-CH"/>
        </w:rPr>
        <w:br/>
        <w:t>–</w:t>
      </w:r>
      <w:r w:rsidR="00A45B55">
        <w:rPr>
          <w:sz w:val="18"/>
          <w:szCs w:val="18"/>
          <w:lang w:val="fr-CH"/>
        </w:rPr>
        <w:tab/>
        <w:t>Président et Vice-</w:t>
      </w:r>
      <w:r w:rsidRPr="00A45B55">
        <w:rPr>
          <w:sz w:val="18"/>
          <w:szCs w:val="18"/>
          <w:lang w:val="fr-CH"/>
        </w:rPr>
        <w:t>Présidents de la Réunion de préparation à la Conférence</w:t>
      </w:r>
      <w:r w:rsidRPr="00A45B55">
        <w:rPr>
          <w:sz w:val="18"/>
          <w:szCs w:val="18"/>
          <w:lang w:val="fr-CH"/>
        </w:rPr>
        <w:br/>
        <w:t>–</w:t>
      </w:r>
      <w:r w:rsidRPr="00A45B55">
        <w:rPr>
          <w:sz w:val="18"/>
          <w:szCs w:val="18"/>
          <w:lang w:val="fr-CH"/>
        </w:rPr>
        <w:tab/>
        <w:t>Membres du Comité du Règlement des radiocommunications</w:t>
      </w:r>
      <w:r w:rsidRPr="00A45B55">
        <w:rPr>
          <w:sz w:val="18"/>
          <w:szCs w:val="18"/>
          <w:lang w:val="fr-CH"/>
        </w:rPr>
        <w:br/>
        <w:t>–</w:t>
      </w:r>
      <w:r w:rsidRPr="00A45B55">
        <w:rPr>
          <w:sz w:val="18"/>
          <w:szCs w:val="18"/>
          <w:lang w:val="fr-CH"/>
        </w:rPr>
        <w:tab/>
        <w:t xml:space="preserve">Secrétaire général de l'UIT, Directeur du Bureau de la normalisation des télécommunications, Directeur du Bureau de </w:t>
      </w:r>
      <w:r w:rsidRPr="00A45B55">
        <w:rPr>
          <w:sz w:val="18"/>
          <w:szCs w:val="18"/>
          <w:lang w:val="fr-CH"/>
        </w:rPr>
        <w:tab/>
        <w:t>développement des télécommunications</w:t>
      </w:r>
    </w:p>
    <w:p w:rsidR="00F95AA0" w:rsidRDefault="00F95AA0">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24"/>
          <w:szCs w:val="24"/>
          <w:lang w:val="fr-CH"/>
        </w:rPr>
      </w:pPr>
      <w:r>
        <w:rPr>
          <w:rFonts w:asciiTheme="minorHAnsi" w:hAnsiTheme="minorHAnsi" w:cstheme="minorHAnsi"/>
          <w:sz w:val="24"/>
          <w:szCs w:val="24"/>
          <w:lang w:val="fr-CH"/>
        </w:rPr>
        <w:br w:type="page"/>
      </w:r>
    </w:p>
    <w:p w:rsidR="00DA0F20" w:rsidRPr="009659C5" w:rsidRDefault="00DA0F20" w:rsidP="00E15F6A">
      <w:pPr>
        <w:pStyle w:val="AnnexNoTitle"/>
        <w:tabs>
          <w:tab w:val="left" w:pos="4343"/>
          <w:tab w:val="center" w:pos="4819"/>
        </w:tabs>
        <w:rPr>
          <w:lang w:val="fr-CH"/>
        </w:rPr>
      </w:pPr>
      <w:r w:rsidRPr="00E15F6A">
        <w:rPr>
          <w:sz w:val="28"/>
          <w:szCs w:val="28"/>
          <w:lang w:val="fr-CH"/>
        </w:rPr>
        <w:lastRenderedPageBreak/>
        <w:t>Annexe</w:t>
      </w:r>
      <w:r w:rsidRPr="009659C5">
        <w:rPr>
          <w:lang w:val="fr-CH"/>
        </w:rPr>
        <w:t xml:space="preserve"> </w:t>
      </w:r>
      <w:r w:rsidRPr="009659C5">
        <w:rPr>
          <w:lang w:val="fr-CH"/>
        </w:rPr>
        <w:br/>
      </w:r>
      <w:r w:rsidRPr="009659C5">
        <w:rPr>
          <w:lang w:val="fr-CH"/>
        </w:rPr>
        <w:br/>
      </w:r>
      <w:r w:rsidRPr="00E15F6A">
        <w:rPr>
          <w:sz w:val="28"/>
          <w:szCs w:val="28"/>
          <w:lang w:val="fr-CH"/>
        </w:rPr>
        <w:t>Titres et résumés des projets de Recommandation</w:t>
      </w:r>
    </w:p>
    <w:p w:rsidR="00DA0F20" w:rsidRPr="009659C5" w:rsidRDefault="00DA0F20" w:rsidP="00DA0F20">
      <w:pPr>
        <w:rPr>
          <w:szCs w:val="24"/>
          <w:lang w:val="fr-CH"/>
        </w:rPr>
      </w:pPr>
    </w:p>
    <w:p w:rsidR="00DA0F20" w:rsidRPr="00E15F6A" w:rsidRDefault="00DA0F20" w:rsidP="00DA0F20">
      <w:pPr>
        <w:rPr>
          <w:rStyle w:val="href"/>
          <w:sz w:val="24"/>
          <w:szCs w:val="24"/>
          <w:lang w:val="fr-CH"/>
        </w:rPr>
      </w:pPr>
      <w:r w:rsidRPr="00E15F6A">
        <w:rPr>
          <w:sz w:val="24"/>
          <w:szCs w:val="24"/>
          <w:u w:val="single"/>
          <w:lang w:val="fr-CH"/>
        </w:rPr>
        <w:t xml:space="preserve">Projet de nouvelle Recommandation UIT-R </w:t>
      </w:r>
      <w:r w:rsidRPr="00E15F6A">
        <w:rPr>
          <w:rStyle w:val="href"/>
          <w:sz w:val="24"/>
          <w:szCs w:val="24"/>
          <w:u w:val="single"/>
          <w:lang w:val="fr-CH"/>
        </w:rPr>
        <w:t>M.[MSS 400 MHz]-0</w:t>
      </w:r>
      <w:r w:rsidRPr="00E15F6A">
        <w:rPr>
          <w:rStyle w:val="href"/>
          <w:sz w:val="24"/>
          <w:szCs w:val="24"/>
          <w:lang w:val="fr-CH"/>
        </w:rPr>
        <w:tab/>
      </w:r>
      <w:r w:rsidRPr="00E15F6A">
        <w:rPr>
          <w:rStyle w:val="href"/>
          <w:sz w:val="24"/>
          <w:szCs w:val="24"/>
          <w:lang w:val="fr-CH"/>
        </w:rPr>
        <w:tab/>
      </w:r>
      <w:r w:rsidRPr="00E15F6A">
        <w:rPr>
          <w:rStyle w:val="href"/>
          <w:sz w:val="24"/>
          <w:szCs w:val="24"/>
          <w:lang w:val="fr-CH"/>
        </w:rPr>
        <w:tab/>
        <w:t>Doc. 4/37(Rév.1)</w:t>
      </w:r>
    </w:p>
    <w:p w:rsidR="00DA0F20" w:rsidRPr="009659C5" w:rsidRDefault="00DA0F20" w:rsidP="00DA0F20">
      <w:pPr>
        <w:pStyle w:val="Rectitle"/>
        <w:rPr>
          <w:lang w:val="fr-CH"/>
        </w:rPr>
      </w:pPr>
      <w:r w:rsidRPr="009659C5">
        <w:rPr>
          <w:lang w:val="fr-CH"/>
        </w:rPr>
        <w:t xml:space="preserve">Caractéristiques et critères de protection des systèmes à satellites non géostationnaires du service mobile par satellite fonctionnant </w:t>
      </w:r>
      <w:r w:rsidRPr="009659C5">
        <w:rPr>
          <w:lang w:val="fr-CH"/>
        </w:rPr>
        <w:br/>
        <w:t>dans la bande 399,9-400,05 MHz</w:t>
      </w:r>
    </w:p>
    <w:p w:rsidR="00DA0F20" w:rsidRPr="00E15F6A" w:rsidRDefault="00DA0F20" w:rsidP="00DA0F20">
      <w:pPr>
        <w:pStyle w:val="Normalaftertitle"/>
        <w:rPr>
          <w:sz w:val="24"/>
          <w:szCs w:val="24"/>
          <w:lang w:val="fr-CH"/>
        </w:rPr>
      </w:pPr>
      <w:r w:rsidRPr="00E15F6A">
        <w:rPr>
          <w:sz w:val="24"/>
          <w:szCs w:val="24"/>
          <w:lang w:val="fr-CH"/>
        </w:rPr>
        <w:t>Cette Recommandation décrit un système du service mobile par satellite qui utilise la bande 399,9-400,05 MHz (Terre vers espace), et spécifie les critères de protection de ce système contre le bruit large bande et le brouillage à bande étroite.</w:t>
      </w:r>
    </w:p>
    <w:p w:rsidR="00DA0F20" w:rsidRPr="00E15F6A" w:rsidRDefault="00DA0F20" w:rsidP="00E15F6A">
      <w:pPr>
        <w:spacing w:before="480"/>
        <w:rPr>
          <w:rStyle w:val="href"/>
          <w:sz w:val="24"/>
          <w:szCs w:val="24"/>
          <w:lang w:val="fr-CH"/>
        </w:rPr>
      </w:pPr>
      <w:r w:rsidRPr="00E15F6A">
        <w:rPr>
          <w:sz w:val="24"/>
          <w:szCs w:val="24"/>
          <w:u w:val="single"/>
          <w:lang w:val="fr-CH"/>
        </w:rPr>
        <w:t xml:space="preserve">Projet de nouvelle Recommandation UIT-R </w:t>
      </w:r>
      <w:r w:rsidRPr="00E15F6A">
        <w:rPr>
          <w:rStyle w:val="href"/>
          <w:sz w:val="24"/>
          <w:szCs w:val="24"/>
          <w:u w:val="single"/>
          <w:lang w:val="fr-CH"/>
        </w:rPr>
        <w:t>M.[IMT-ADVANCED-SAT]-0</w:t>
      </w:r>
      <w:r w:rsidRPr="00E15F6A">
        <w:rPr>
          <w:rStyle w:val="href"/>
          <w:sz w:val="24"/>
          <w:szCs w:val="24"/>
          <w:lang w:val="fr-CH"/>
        </w:rPr>
        <w:tab/>
      </w:r>
      <w:r w:rsidR="00594BD9">
        <w:rPr>
          <w:rStyle w:val="href"/>
          <w:sz w:val="24"/>
          <w:szCs w:val="24"/>
          <w:lang w:val="fr-CH"/>
        </w:rPr>
        <w:tab/>
      </w:r>
      <w:r w:rsidRPr="00E15F6A">
        <w:rPr>
          <w:rStyle w:val="href"/>
          <w:sz w:val="24"/>
          <w:szCs w:val="24"/>
          <w:lang w:val="fr-CH"/>
        </w:rPr>
        <w:t>Doc. 4/40(Rév.1)</w:t>
      </w:r>
    </w:p>
    <w:p w:rsidR="00DA0F20" w:rsidRPr="009659C5" w:rsidRDefault="00DA0F20" w:rsidP="00DA0F20">
      <w:pPr>
        <w:pStyle w:val="Rectitle"/>
        <w:rPr>
          <w:lang w:val="fr-CH"/>
        </w:rPr>
      </w:pPr>
      <w:r w:rsidRPr="009659C5">
        <w:rPr>
          <w:lang w:val="fr-CH"/>
        </w:rPr>
        <w:t xml:space="preserve">Spécifications détaillées des interfaces radioélectriques de la composante </w:t>
      </w:r>
      <w:r w:rsidRPr="009659C5">
        <w:rPr>
          <w:lang w:val="fr-CH"/>
        </w:rPr>
        <w:br/>
        <w:t xml:space="preserve">satellite des télécommunications mobiles internationales </w:t>
      </w:r>
      <w:r w:rsidRPr="009659C5">
        <w:rPr>
          <w:lang w:val="fr-CH"/>
        </w:rPr>
        <w:br/>
        <w:t>évoluées (IMT évoluées)</w:t>
      </w:r>
    </w:p>
    <w:p w:rsidR="00DA0F20" w:rsidRPr="00E15F6A" w:rsidRDefault="00DA0F20" w:rsidP="00DA0F20">
      <w:pPr>
        <w:pStyle w:val="Normalaftertitle"/>
        <w:rPr>
          <w:sz w:val="24"/>
          <w:szCs w:val="24"/>
          <w:lang w:val="fr-CH"/>
        </w:rPr>
      </w:pPr>
      <w:r w:rsidRPr="00E15F6A">
        <w:rPr>
          <w:sz w:val="24"/>
          <w:szCs w:val="24"/>
          <w:lang w:val="fr-CH"/>
        </w:rPr>
        <w:t xml:space="preserve">Cette nouvelle Recommandation identifie les technologies des interfaces radioélectriques de la composante satellite des télécommunications mobiles internationales évoluées (IMT évoluées), </w:t>
      </w:r>
      <w:r w:rsidRPr="00E15F6A">
        <w:rPr>
          <w:sz w:val="24"/>
          <w:szCs w:val="24"/>
          <w:lang w:val="fr-CH" w:eastAsia="ko-KR"/>
        </w:rPr>
        <w:t xml:space="preserve">SAT-OFDM et </w:t>
      </w:r>
      <w:proofErr w:type="spellStart"/>
      <w:r w:rsidRPr="00E15F6A">
        <w:rPr>
          <w:sz w:val="24"/>
          <w:szCs w:val="24"/>
          <w:lang w:val="fr-CH" w:eastAsia="ko-KR"/>
        </w:rPr>
        <w:t>BMsat</w:t>
      </w:r>
      <w:proofErr w:type="spellEnd"/>
      <w:r w:rsidRPr="00E15F6A">
        <w:rPr>
          <w:sz w:val="24"/>
          <w:szCs w:val="24"/>
          <w:lang w:val="fr-CH" w:eastAsia="ko-KR"/>
        </w:rPr>
        <w:t xml:space="preserve">, </w:t>
      </w:r>
      <w:r w:rsidRPr="00E15F6A">
        <w:rPr>
          <w:sz w:val="24"/>
          <w:szCs w:val="24"/>
          <w:lang w:val="fr-CH"/>
        </w:rPr>
        <w:t>et fournit les spécifications détaillées de ces interfaces.</w:t>
      </w:r>
    </w:p>
    <w:p w:rsidR="00DA0F20" w:rsidRPr="00E15F6A" w:rsidRDefault="00DA0F20" w:rsidP="00DA0F20">
      <w:pPr>
        <w:rPr>
          <w:sz w:val="24"/>
          <w:szCs w:val="24"/>
          <w:lang w:val="fr-CH"/>
        </w:rPr>
      </w:pPr>
      <w:r w:rsidRPr="00E15F6A">
        <w:rPr>
          <w:sz w:val="24"/>
          <w:szCs w:val="24"/>
          <w:lang w:val="fr-CH"/>
        </w:rPr>
        <w:t>Cette Recommandation présente de façon détaillée les fonctions et paramètres de la composante satellite des IMT évoluées. Elle permet notamment de garantir la compatibilité à l'échelle mondiale, l'itinérance internationale et l'accès aux services de données à haut débit.</w:t>
      </w:r>
    </w:p>
    <w:p w:rsidR="00DA0F20" w:rsidRPr="00E15F6A" w:rsidRDefault="00DA0F20" w:rsidP="00E15F6A">
      <w:pPr>
        <w:spacing w:before="480"/>
        <w:rPr>
          <w:rStyle w:val="href"/>
          <w:sz w:val="24"/>
          <w:szCs w:val="24"/>
          <w:lang w:val="fr-CH"/>
        </w:rPr>
      </w:pPr>
      <w:r w:rsidRPr="00E15F6A">
        <w:rPr>
          <w:sz w:val="24"/>
          <w:szCs w:val="24"/>
          <w:u w:val="single"/>
          <w:lang w:val="fr-CH"/>
        </w:rPr>
        <w:t xml:space="preserve">Projet de révision de la Recommandation UIT-R </w:t>
      </w:r>
      <w:r w:rsidRPr="00E15F6A">
        <w:rPr>
          <w:rStyle w:val="href"/>
          <w:sz w:val="24"/>
          <w:szCs w:val="24"/>
          <w:u w:val="single"/>
          <w:lang w:val="fr-CH"/>
        </w:rPr>
        <w:t>SF.674-2</w:t>
      </w:r>
      <w:r w:rsidRPr="00E15F6A">
        <w:rPr>
          <w:rStyle w:val="href"/>
          <w:sz w:val="24"/>
          <w:szCs w:val="24"/>
          <w:lang w:val="fr-CH"/>
        </w:rPr>
        <w:tab/>
      </w:r>
      <w:r w:rsidRPr="00E15F6A">
        <w:rPr>
          <w:rStyle w:val="href"/>
          <w:sz w:val="24"/>
          <w:szCs w:val="24"/>
          <w:lang w:val="fr-CH"/>
        </w:rPr>
        <w:tab/>
      </w:r>
      <w:r w:rsidRPr="00E15F6A">
        <w:rPr>
          <w:rStyle w:val="href"/>
          <w:sz w:val="24"/>
          <w:szCs w:val="24"/>
          <w:lang w:val="fr-CH"/>
        </w:rPr>
        <w:tab/>
      </w:r>
      <w:r w:rsidRPr="00E15F6A">
        <w:rPr>
          <w:rStyle w:val="href"/>
          <w:sz w:val="24"/>
          <w:szCs w:val="24"/>
          <w:lang w:val="fr-CH"/>
        </w:rPr>
        <w:tab/>
        <w:t>Doc. 4/28(Rév.1)</w:t>
      </w:r>
    </w:p>
    <w:p w:rsidR="00DA0F20" w:rsidRPr="009659C5" w:rsidRDefault="00DA0F20" w:rsidP="00DA0F20">
      <w:pPr>
        <w:pStyle w:val="Rectitle"/>
        <w:rPr>
          <w:lang w:val="fr-CH"/>
        </w:rPr>
      </w:pPr>
      <w:r w:rsidRPr="009659C5">
        <w:rPr>
          <w:lang w:val="fr-CH"/>
        </w:rPr>
        <w:t xml:space="preserve">Détermination des conséquences pour le service fixe fonctionnant dans la </w:t>
      </w:r>
      <w:r w:rsidRPr="009659C5">
        <w:rPr>
          <w:lang w:val="fr-CH"/>
        </w:rPr>
        <w:br/>
        <w:t xml:space="preserve">bande 11,7-12,2 GHz du dépassement par les réseaux du service fixe </w:t>
      </w:r>
      <w:r w:rsidRPr="009659C5">
        <w:rPr>
          <w:lang w:val="fr-CH"/>
        </w:rPr>
        <w:br/>
        <w:t xml:space="preserve">par satellite géostationnaire de la Région 2 des seuils de puissance </w:t>
      </w:r>
      <w:r w:rsidRPr="009659C5">
        <w:rPr>
          <w:lang w:val="fr-CH"/>
        </w:rPr>
        <w:br/>
        <w:t>surfacique fixés dans la Résolution 77 (CMR-2000)</w:t>
      </w:r>
    </w:p>
    <w:p w:rsidR="00DA0F20" w:rsidRPr="00E15F6A" w:rsidRDefault="00DA0F20" w:rsidP="00DA0F20">
      <w:pPr>
        <w:pStyle w:val="Normalaftertitle"/>
        <w:rPr>
          <w:sz w:val="24"/>
          <w:szCs w:val="24"/>
          <w:lang w:val="fr-CH" w:eastAsia="ja-JP"/>
        </w:rPr>
      </w:pPr>
      <w:r w:rsidRPr="00E15F6A">
        <w:rPr>
          <w:sz w:val="24"/>
          <w:szCs w:val="24"/>
          <w:lang w:val="fr-CH" w:eastAsia="ja-JP"/>
        </w:rPr>
        <w:t>Dans cette révision, un domaine d'application a été ajouté, les anciens textes ont été mis à jour compte tenu des résultats des Conférences mondiales des radiocommunications passées et l'ancien Appendice 1 de l'Annexe 1 portant sur les brouillages causés aux systèmes analogiques du service fixe a été supprimé.</w:t>
      </w:r>
    </w:p>
    <w:p w:rsidR="00DA0F20" w:rsidRPr="009659C5" w:rsidRDefault="00DA0F20" w:rsidP="00DA0F20">
      <w:pPr>
        <w:rPr>
          <w:lang w:val="fr-CH" w:eastAsia="ja-JP"/>
        </w:rPr>
      </w:pPr>
    </w:p>
    <w:p w:rsidR="00DA0F20" w:rsidRPr="00E15F6A" w:rsidRDefault="00DA0F20" w:rsidP="00DA0F20">
      <w:pPr>
        <w:keepNext/>
        <w:keepLines/>
        <w:rPr>
          <w:rStyle w:val="href"/>
          <w:sz w:val="24"/>
          <w:szCs w:val="24"/>
          <w:lang w:val="fr-CH"/>
        </w:rPr>
      </w:pPr>
      <w:r w:rsidRPr="00E15F6A">
        <w:rPr>
          <w:sz w:val="24"/>
          <w:szCs w:val="24"/>
          <w:u w:val="single"/>
          <w:lang w:val="fr-CH"/>
        </w:rPr>
        <w:t xml:space="preserve">Projet de révision de la Recommandation UIT-R </w:t>
      </w:r>
      <w:r w:rsidRPr="00E15F6A">
        <w:rPr>
          <w:rStyle w:val="href"/>
          <w:sz w:val="24"/>
          <w:szCs w:val="24"/>
          <w:u w:val="single"/>
          <w:lang w:val="fr-CH"/>
        </w:rPr>
        <w:t>M.1901-0</w:t>
      </w:r>
      <w:r w:rsidRPr="00E15F6A">
        <w:rPr>
          <w:rStyle w:val="href"/>
          <w:sz w:val="24"/>
          <w:szCs w:val="24"/>
          <w:lang w:val="fr-CH"/>
        </w:rPr>
        <w:tab/>
      </w:r>
      <w:r w:rsidRPr="00E15F6A">
        <w:rPr>
          <w:rStyle w:val="href"/>
          <w:sz w:val="24"/>
          <w:szCs w:val="24"/>
          <w:lang w:val="fr-CH"/>
        </w:rPr>
        <w:tab/>
      </w:r>
      <w:r w:rsidRPr="00E15F6A">
        <w:rPr>
          <w:rStyle w:val="href"/>
          <w:sz w:val="24"/>
          <w:szCs w:val="24"/>
          <w:lang w:val="fr-CH"/>
        </w:rPr>
        <w:tab/>
      </w:r>
      <w:r w:rsidRPr="00E15F6A">
        <w:rPr>
          <w:rStyle w:val="href"/>
          <w:sz w:val="24"/>
          <w:szCs w:val="24"/>
          <w:lang w:val="fr-CH"/>
        </w:rPr>
        <w:tab/>
        <w:t>Doc. 4/38(Rév.1)</w:t>
      </w:r>
    </w:p>
    <w:p w:rsidR="00DA0F20" w:rsidRPr="009659C5" w:rsidRDefault="00DA0F20" w:rsidP="00DA0F20">
      <w:pPr>
        <w:pStyle w:val="Rectitle"/>
        <w:rPr>
          <w:lang w:val="fr-CH"/>
        </w:rPr>
      </w:pPr>
      <w:r w:rsidRPr="009659C5">
        <w:rPr>
          <w:lang w:val="fr-CH" w:eastAsia="ja-JP"/>
        </w:rPr>
        <w:t xml:space="preserve">Orientations générales concernant les Recommandations UIT-R relatives aux systèmes et réseaux du service de radionavigation par satellite fonctionnant </w:t>
      </w:r>
      <w:r w:rsidRPr="009659C5">
        <w:rPr>
          <w:lang w:val="fr-CH" w:eastAsia="ja-JP"/>
        </w:rPr>
        <w:br/>
        <w:t xml:space="preserve">dans les bandes de fréquences 1 164-1 215 MHz, 1 215-1 300 MHz, </w:t>
      </w:r>
      <w:r w:rsidRPr="009659C5">
        <w:rPr>
          <w:lang w:val="fr-CH" w:eastAsia="ja-JP"/>
        </w:rPr>
        <w:br/>
        <w:t xml:space="preserve">1 559-1 610 MHz, 5 000-5 010 MHz et 5 010-5 030 MHz </w:t>
      </w:r>
    </w:p>
    <w:p w:rsidR="00DA0F20" w:rsidRPr="00E15F6A" w:rsidRDefault="00DA0F20" w:rsidP="009659C5">
      <w:pPr>
        <w:pStyle w:val="Normalaftertitle"/>
        <w:rPr>
          <w:sz w:val="24"/>
          <w:szCs w:val="24"/>
          <w:lang w:val="fr-CH"/>
        </w:rPr>
      </w:pPr>
      <w:r w:rsidRPr="00E15F6A">
        <w:rPr>
          <w:sz w:val="24"/>
          <w:szCs w:val="24"/>
          <w:lang w:val="fr-CH"/>
        </w:rPr>
        <w:t>Dans ce projet de révision de la Recommandation UIT</w:t>
      </w:r>
      <w:r w:rsidR="009659C5" w:rsidRPr="00E15F6A">
        <w:rPr>
          <w:sz w:val="24"/>
          <w:szCs w:val="24"/>
          <w:lang w:val="fr-CH"/>
        </w:rPr>
        <w:t>-</w:t>
      </w:r>
      <w:r w:rsidRPr="00E15F6A">
        <w:rPr>
          <w:sz w:val="24"/>
          <w:szCs w:val="24"/>
          <w:lang w:val="fr-CH"/>
        </w:rPr>
        <w:t>R M.1901, il a été tenu compte de l'approbation par l'UIT</w:t>
      </w:r>
      <w:r w:rsidR="009659C5" w:rsidRPr="00E15F6A">
        <w:rPr>
          <w:sz w:val="24"/>
          <w:szCs w:val="24"/>
          <w:lang w:val="fr-CH"/>
        </w:rPr>
        <w:t>-</w:t>
      </w:r>
      <w:r w:rsidRPr="00E15F6A">
        <w:rPr>
          <w:sz w:val="24"/>
          <w:szCs w:val="24"/>
          <w:lang w:val="fr-CH"/>
        </w:rPr>
        <w:t xml:space="preserve">R des Recommandations UIT-R M.2030 et UIT-R M.2031, ce qui s'est traduit par la suppression du </w:t>
      </w:r>
      <w:r w:rsidRPr="00E15F6A">
        <w:rPr>
          <w:i/>
          <w:sz w:val="24"/>
          <w:szCs w:val="24"/>
          <w:lang w:val="fr-CH"/>
        </w:rPr>
        <w:t>notant en outre</w:t>
      </w:r>
      <w:r w:rsidRPr="00E15F6A">
        <w:rPr>
          <w:sz w:val="24"/>
          <w:szCs w:val="24"/>
          <w:lang w:val="fr-CH"/>
        </w:rPr>
        <w:t xml:space="preserve"> et l'ajout des nouveaux points </w:t>
      </w:r>
      <w:r w:rsidRPr="00E15F6A">
        <w:rPr>
          <w:i/>
          <w:iCs/>
          <w:sz w:val="24"/>
          <w:szCs w:val="24"/>
          <w:lang w:val="fr-CH"/>
        </w:rPr>
        <w:t>c)</w:t>
      </w:r>
      <w:r w:rsidRPr="00E15F6A">
        <w:rPr>
          <w:sz w:val="24"/>
          <w:szCs w:val="24"/>
          <w:lang w:val="fr-CH"/>
        </w:rPr>
        <w:t xml:space="preserve"> et </w:t>
      </w:r>
      <w:r w:rsidRPr="00E15F6A">
        <w:rPr>
          <w:i/>
          <w:iCs/>
          <w:sz w:val="24"/>
          <w:szCs w:val="24"/>
          <w:lang w:val="fr-CH"/>
        </w:rPr>
        <w:t>f)</w:t>
      </w:r>
      <w:r w:rsidRPr="00E15F6A">
        <w:rPr>
          <w:sz w:val="24"/>
          <w:szCs w:val="24"/>
          <w:lang w:val="fr-CH"/>
        </w:rPr>
        <w:t xml:space="preserve"> dans le </w:t>
      </w:r>
      <w:r w:rsidRPr="00E15F6A">
        <w:rPr>
          <w:i/>
          <w:sz w:val="24"/>
          <w:szCs w:val="24"/>
          <w:lang w:val="fr-CH"/>
        </w:rPr>
        <w:t>reconnaissant</w:t>
      </w:r>
      <w:r w:rsidRPr="00E15F6A">
        <w:rPr>
          <w:sz w:val="24"/>
          <w:szCs w:val="24"/>
          <w:lang w:val="fr-CH"/>
        </w:rPr>
        <w:t>.</w:t>
      </w:r>
    </w:p>
    <w:p w:rsidR="00DA0F20" w:rsidRPr="00E15F6A" w:rsidRDefault="00DA0F20" w:rsidP="009659C5">
      <w:pPr>
        <w:rPr>
          <w:sz w:val="24"/>
          <w:szCs w:val="24"/>
          <w:lang w:val="fr-CH"/>
        </w:rPr>
      </w:pPr>
      <w:r w:rsidRPr="00E15F6A">
        <w:rPr>
          <w:sz w:val="24"/>
          <w:szCs w:val="24"/>
          <w:lang w:val="fr-CH"/>
        </w:rPr>
        <w:t>Dans le même temps, conformément aux orientations données dans le document relatif à la nouvelle présentation des Recommandations UIT</w:t>
      </w:r>
      <w:r w:rsidR="009659C5" w:rsidRPr="00E15F6A">
        <w:rPr>
          <w:sz w:val="24"/>
          <w:szCs w:val="24"/>
          <w:lang w:val="fr-CH"/>
        </w:rPr>
        <w:t>-</w:t>
      </w:r>
      <w:r w:rsidRPr="00E15F6A">
        <w:rPr>
          <w:sz w:val="24"/>
          <w:szCs w:val="24"/>
          <w:lang w:val="fr-CH"/>
        </w:rPr>
        <w:t xml:space="preserve">R, les points du </w:t>
      </w:r>
      <w:r w:rsidRPr="00E15F6A">
        <w:rPr>
          <w:i/>
          <w:sz w:val="24"/>
          <w:szCs w:val="24"/>
          <w:lang w:val="fr-CH"/>
        </w:rPr>
        <w:t>notant</w:t>
      </w:r>
      <w:r w:rsidRPr="00E15F6A">
        <w:rPr>
          <w:sz w:val="24"/>
          <w:szCs w:val="24"/>
          <w:lang w:val="fr-CH"/>
        </w:rPr>
        <w:t xml:space="preserve"> sont devenus des points du </w:t>
      </w:r>
      <w:r w:rsidRPr="00E15F6A">
        <w:rPr>
          <w:i/>
          <w:sz w:val="24"/>
          <w:szCs w:val="24"/>
          <w:lang w:val="fr-CH"/>
        </w:rPr>
        <w:t>reconnaissant</w:t>
      </w:r>
      <w:r w:rsidRPr="00E15F6A">
        <w:rPr>
          <w:sz w:val="24"/>
          <w:szCs w:val="24"/>
          <w:lang w:val="fr-CH"/>
        </w:rPr>
        <w:t xml:space="preserve"> car ils font référence à des documents de l'UIT. Des améliorations rédactionnelles et de mise en page ont en outre été apportées à l'Annexe 1.</w:t>
      </w:r>
    </w:p>
    <w:p w:rsidR="00DA0F20" w:rsidRPr="00E15F6A" w:rsidRDefault="00DA0F20" w:rsidP="00E15F6A">
      <w:pPr>
        <w:spacing w:before="480"/>
        <w:rPr>
          <w:rStyle w:val="href"/>
          <w:sz w:val="24"/>
          <w:szCs w:val="24"/>
          <w:lang w:val="fr-CH"/>
        </w:rPr>
      </w:pPr>
      <w:r w:rsidRPr="00E15F6A">
        <w:rPr>
          <w:sz w:val="24"/>
          <w:szCs w:val="24"/>
          <w:u w:val="single"/>
          <w:lang w:val="fr-CH"/>
        </w:rPr>
        <w:t xml:space="preserve">Projet de révision de la Recommandation UIT-R </w:t>
      </w:r>
      <w:r w:rsidRPr="00E15F6A">
        <w:rPr>
          <w:rStyle w:val="href"/>
          <w:sz w:val="24"/>
          <w:szCs w:val="24"/>
          <w:u w:val="single"/>
          <w:lang w:val="fr-CH"/>
        </w:rPr>
        <w:t>S.1503-1</w:t>
      </w:r>
      <w:r w:rsidRPr="00E15F6A">
        <w:rPr>
          <w:rStyle w:val="href"/>
          <w:sz w:val="24"/>
          <w:szCs w:val="24"/>
          <w:lang w:val="fr-CH"/>
        </w:rPr>
        <w:tab/>
      </w:r>
      <w:r w:rsidRPr="00E15F6A">
        <w:rPr>
          <w:rStyle w:val="href"/>
          <w:sz w:val="24"/>
          <w:szCs w:val="24"/>
          <w:lang w:val="fr-CH"/>
        </w:rPr>
        <w:tab/>
      </w:r>
      <w:r w:rsidRPr="00E15F6A">
        <w:rPr>
          <w:rStyle w:val="href"/>
          <w:sz w:val="24"/>
          <w:szCs w:val="24"/>
          <w:lang w:val="fr-CH"/>
        </w:rPr>
        <w:tab/>
      </w:r>
      <w:r w:rsidRPr="00E15F6A">
        <w:rPr>
          <w:rStyle w:val="href"/>
          <w:sz w:val="24"/>
          <w:szCs w:val="24"/>
          <w:lang w:val="fr-CH"/>
        </w:rPr>
        <w:tab/>
        <w:t>Doc. 4/43(Rév.1)</w:t>
      </w:r>
    </w:p>
    <w:p w:rsidR="00DA0F20" w:rsidRPr="009659C5" w:rsidRDefault="00DA0F20" w:rsidP="00594BD9">
      <w:pPr>
        <w:pStyle w:val="Rectitle"/>
        <w:rPr>
          <w:lang w:val="fr-CH"/>
        </w:rPr>
      </w:pPr>
      <w:r w:rsidRPr="009659C5">
        <w:rPr>
          <w:lang w:val="fr-CH"/>
        </w:rPr>
        <w:t xml:space="preserve">Description fonctionnelle à utiliser pour le développement d'outils logiciels </w:t>
      </w:r>
      <w:r w:rsidR="00594BD9">
        <w:rPr>
          <w:lang w:val="fr-CH"/>
        </w:rPr>
        <w:t>d</w:t>
      </w:r>
      <w:r w:rsidRPr="009659C5">
        <w:rPr>
          <w:lang w:val="fr-CH"/>
        </w:rPr>
        <w:t xml:space="preserve">estinés à déterminer la conformité des réseaux à satellite non géostationnaires du service fixe par satellite aux limites spécifiées dans l'Article 22 </w:t>
      </w:r>
      <w:r w:rsidR="00594BD9">
        <w:rPr>
          <w:lang w:val="fr-CH"/>
        </w:rPr>
        <w:br/>
      </w:r>
      <w:r w:rsidRPr="009659C5">
        <w:rPr>
          <w:lang w:val="fr-CH"/>
        </w:rPr>
        <w:t>du Règlement des radiocommunications</w:t>
      </w:r>
    </w:p>
    <w:p w:rsidR="00DA0F20" w:rsidRPr="00E15F6A" w:rsidRDefault="00DA0F20" w:rsidP="00DA0F20">
      <w:pPr>
        <w:pStyle w:val="Normalaftertitle"/>
        <w:rPr>
          <w:sz w:val="24"/>
          <w:szCs w:val="24"/>
          <w:lang w:val="fr-CH"/>
        </w:rPr>
      </w:pPr>
      <w:r w:rsidRPr="00E15F6A">
        <w:rPr>
          <w:sz w:val="24"/>
          <w:szCs w:val="24"/>
          <w:lang w:val="fr-CH"/>
        </w:rPr>
        <w:t>Cette Recommandation UIT-R définit la méthode à utiliser pour déterminer si un système non OSG du SFS respecte les limites de puissance surfacique équivalente (</w:t>
      </w:r>
      <w:proofErr w:type="spellStart"/>
      <w:r w:rsidRPr="00E15F6A">
        <w:rPr>
          <w:sz w:val="24"/>
          <w:szCs w:val="24"/>
          <w:lang w:val="fr-CH"/>
        </w:rPr>
        <w:t>epfd</w:t>
      </w:r>
      <w:proofErr w:type="spellEnd"/>
      <w:r w:rsidRPr="00E15F6A">
        <w:rPr>
          <w:sz w:val="24"/>
          <w:szCs w:val="24"/>
          <w:lang w:val="fr-CH"/>
        </w:rPr>
        <w:t>) spécifiées dans l'Article </w:t>
      </w:r>
      <w:r w:rsidRPr="00E15F6A">
        <w:rPr>
          <w:b/>
          <w:bCs/>
          <w:sz w:val="24"/>
          <w:szCs w:val="24"/>
          <w:lang w:val="fr-CH"/>
        </w:rPr>
        <w:t>22</w:t>
      </w:r>
      <w:r w:rsidRPr="00E15F6A">
        <w:rPr>
          <w:sz w:val="24"/>
          <w:szCs w:val="24"/>
          <w:lang w:val="fr-CH"/>
        </w:rPr>
        <w:t xml:space="preserve"> du Règlement des radiocommunications. Elle s'applique aux bandes dans lesquelles des limites d'</w:t>
      </w:r>
      <w:proofErr w:type="spellStart"/>
      <w:r w:rsidRPr="00E15F6A">
        <w:rPr>
          <w:sz w:val="24"/>
          <w:szCs w:val="24"/>
          <w:lang w:val="fr-CH"/>
        </w:rPr>
        <w:t>epfd</w:t>
      </w:r>
      <w:proofErr w:type="spellEnd"/>
      <w:r w:rsidRPr="00E15F6A">
        <w:rPr>
          <w:sz w:val="24"/>
          <w:szCs w:val="24"/>
          <w:lang w:val="fr-CH"/>
        </w:rPr>
        <w:t xml:space="preserve"> ont été définies. </w:t>
      </w:r>
    </w:p>
    <w:p w:rsidR="00DA0F20" w:rsidRPr="00E15F6A" w:rsidRDefault="00DA0F20" w:rsidP="00DA0F20">
      <w:pPr>
        <w:rPr>
          <w:sz w:val="24"/>
          <w:szCs w:val="24"/>
          <w:lang w:val="fr-CH"/>
        </w:rPr>
      </w:pPr>
      <w:r w:rsidRPr="00E15F6A">
        <w:rPr>
          <w:sz w:val="24"/>
          <w:szCs w:val="24"/>
          <w:lang w:val="fr-CH"/>
        </w:rPr>
        <w:t>L'algorithme décrit dans cette Recommandation a été utilisé en tant qu'exigences fonctionnelles relatives aux outils logiciels fournis au BR pour lui permettre de vérifier la conformité de systèmes non OSG à des articles pertinents du Règlement des radiocommunications.</w:t>
      </w:r>
    </w:p>
    <w:p w:rsidR="00DA0F20" w:rsidRPr="00E15F6A" w:rsidRDefault="00DA0F20" w:rsidP="00DA0F20">
      <w:pPr>
        <w:rPr>
          <w:sz w:val="24"/>
          <w:szCs w:val="24"/>
          <w:lang w:val="fr-CH"/>
        </w:rPr>
      </w:pPr>
      <w:r w:rsidRPr="00E15F6A">
        <w:rPr>
          <w:sz w:val="24"/>
          <w:szCs w:val="24"/>
          <w:lang w:val="fr-CH"/>
        </w:rPr>
        <w:t>Cette révision contient les modifications suivantes:</w:t>
      </w:r>
    </w:p>
    <w:p w:rsidR="00DA0F20" w:rsidRPr="00E15F6A" w:rsidRDefault="00DA0F20" w:rsidP="00DA0F20">
      <w:pPr>
        <w:pStyle w:val="enumlev1"/>
        <w:rPr>
          <w:sz w:val="24"/>
          <w:szCs w:val="24"/>
          <w:lang w:val="fr-CH"/>
        </w:rPr>
      </w:pPr>
      <w:r w:rsidRPr="00E15F6A">
        <w:rPr>
          <w:sz w:val="24"/>
          <w:szCs w:val="24"/>
          <w:lang w:val="fr-CH"/>
        </w:rPr>
        <w:t>1)</w:t>
      </w:r>
      <w:r w:rsidRPr="00E15F6A">
        <w:rPr>
          <w:sz w:val="24"/>
          <w:szCs w:val="24"/>
          <w:lang w:val="fr-CH"/>
        </w:rPr>
        <w:tab/>
        <w:t>amélioration de l'algorithme principal afin qu'il puisse analyser une plus grande variété de types d'orbites de système non OSG, par exemple circulaire équatoriale ou fortement elliptique;</w:t>
      </w:r>
    </w:p>
    <w:p w:rsidR="00DA0F20" w:rsidRPr="00E15F6A" w:rsidRDefault="00DA0F20" w:rsidP="00DA0F20">
      <w:pPr>
        <w:pStyle w:val="enumlev1"/>
        <w:rPr>
          <w:sz w:val="24"/>
          <w:szCs w:val="24"/>
          <w:lang w:val="fr-CH"/>
        </w:rPr>
      </w:pPr>
      <w:r w:rsidRPr="00E15F6A">
        <w:rPr>
          <w:sz w:val="24"/>
          <w:szCs w:val="24"/>
          <w:lang w:val="fr-CH"/>
        </w:rPr>
        <w:t>2)</w:t>
      </w:r>
      <w:r w:rsidRPr="00E15F6A">
        <w:rPr>
          <w:sz w:val="24"/>
          <w:szCs w:val="24"/>
          <w:lang w:val="fr-CH"/>
        </w:rPr>
        <w:tab/>
        <w:t>amélioration de l'algorithme de calcul de la géométrie du cas le plus défavorable;</w:t>
      </w:r>
    </w:p>
    <w:p w:rsidR="00DA0F20" w:rsidRPr="00E15F6A" w:rsidRDefault="00DA0F20" w:rsidP="00DA0F20">
      <w:pPr>
        <w:pStyle w:val="enumlev1"/>
        <w:rPr>
          <w:sz w:val="24"/>
          <w:szCs w:val="24"/>
          <w:lang w:val="fr-CH"/>
        </w:rPr>
      </w:pPr>
      <w:r w:rsidRPr="00E15F6A">
        <w:rPr>
          <w:sz w:val="24"/>
          <w:szCs w:val="24"/>
          <w:lang w:val="fr-CH"/>
        </w:rPr>
        <w:t>3)</w:t>
      </w:r>
      <w:r w:rsidRPr="00E15F6A">
        <w:rPr>
          <w:sz w:val="24"/>
          <w:szCs w:val="24"/>
          <w:lang w:val="fr-CH"/>
        </w:rPr>
        <w:tab/>
        <w:t>restructuration pour améliorer la lisibilité;</w:t>
      </w:r>
    </w:p>
    <w:p w:rsidR="00DA0F20" w:rsidRPr="00E15F6A" w:rsidRDefault="00DA0F20" w:rsidP="00DA0F20">
      <w:pPr>
        <w:pStyle w:val="enumlev1"/>
        <w:rPr>
          <w:sz w:val="24"/>
          <w:szCs w:val="24"/>
          <w:lang w:val="fr-CH"/>
        </w:rPr>
      </w:pPr>
      <w:r w:rsidRPr="00E15F6A">
        <w:rPr>
          <w:sz w:val="24"/>
          <w:szCs w:val="24"/>
          <w:lang w:val="fr-CH"/>
        </w:rPr>
        <w:t>4)</w:t>
      </w:r>
      <w:r w:rsidRPr="00E15F6A">
        <w:rPr>
          <w:sz w:val="24"/>
          <w:szCs w:val="24"/>
          <w:lang w:val="fr-CH"/>
        </w:rPr>
        <w:tab/>
        <w:t>simplification: la méthode analytique non utilisée pendant le développement des logiciels destinés au BR a été supprimée.</w:t>
      </w:r>
    </w:p>
    <w:p w:rsidR="00E15F6A" w:rsidRPr="000563B2" w:rsidRDefault="00E15F6A" w:rsidP="0032202E">
      <w:pPr>
        <w:pStyle w:val="Reasons"/>
        <w:rPr>
          <w:lang w:val="fr-CH"/>
        </w:rPr>
      </w:pPr>
    </w:p>
    <w:p w:rsidR="004B2A1F" w:rsidRPr="00E15F6A" w:rsidRDefault="00E15F6A" w:rsidP="00E15F6A">
      <w:pPr>
        <w:jc w:val="center"/>
      </w:pPr>
      <w:r>
        <w:t>______________</w:t>
      </w:r>
    </w:p>
    <w:sectPr w:rsidR="004B2A1F" w:rsidRPr="00E15F6A" w:rsidSect="00594BD9">
      <w:headerReference w:type="even" r:id="rId12"/>
      <w:headerReference w:type="default" r:id="rId13"/>
      <w:headerReference w:type="first" r:id="rId14"/>
      <w:footerReference w:type="first" r:id="rId15"/>
      <w:pgSz w:w="11907" w:h="16834" w:code="9"/>
      <w:pgMar w:top="1134" w:right="992"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718" w:rsidRDefault="00CA6718">
      <w:r>
        <w:separator/>
      </w:r>
    </w:p>
  </w:endnote>
  <w:endnote w:type="continuationSeparator" w:id="0">
    <w:p w:rsidR="00CA6718" w:rsidRDefault="00CA6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53DCE" w:rsidRDefault="00E53DCE" w:rsidP="00E53DC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E53DCE">
      <w:rPr>
        <w:sz w:val="18"/>
        <w:szCs w:val="18"/>
        <w:lang w:val="fr-FR"/>
      </w:rPr>
      <w:t xml:space="preserve">• Courriel: </w:t>
    </w:r>
    <w:r w:rsidR="004557E0">
      <w:fldChar w:fldCharType="begin"/>
    </w:r>
    <w:r w:rsidR="004557E0" w:rsidRPr="004557E0">
      <w:rPr>
        <w:lang w:val="fr-CH"/>
        <w:rPrChange w:id="2" w:author="mostyn" w:date="2013-05-09T12:44:00Z">
          <w:rPr/>
        </w:rPrChange>
      </w:rPr>
      <w:instrText xml:space="preserve"> HYPERLINK "mailto:itumail@itu.int" </w:instrText>
    </w:r>
    <w:r w:rsidR="004557E0">
      <w:fldChar w:fldCharType="separate"/>
    </w:r>
    <w:r w:rsidRPr="00E53DCE">
      <w:rPr>
        <w:rStyle w:val="Hyperlink"/>
        <w:sz w:val="18"/>
        <w:szCs w:val="18"/>
        <w:lang w:val="fr-FR"/>
      </w:rPr>
      <w:t>itumail@itu.int</w:t>
    </w:r>
    <w:r w:rsidR="004557E0">
      <w:rPr>
        <w:rStyle w:val="Hyperlink"/>
        <w:sz w:val="18"/>
        <w:szCs w:val="18"/>
        <w:lang w:val="fr-FR"/>
      </w:rPr>
      <w:fldChar w:fldCharType="end"/>
    </w:r>
    <w:r w:rsidRPr="00E53DCE">
      <w:rPr>
        <w:sz w:val="18"/>
        <w:szCs w:val="18"/>
        <w:lang w:val="fr-FR"/>
      </w:rPr>
      <w:t xml:space="preserve"> • </w:t>
    </w:r>
    <w:r w:rsidR="004557E0">
      <w:fldChar w:fldCharType="begin"/>
    </w:r>
    <w:r w:rsidR="004557E0" w:rsidRPr="004557E0">
      <w:rPr>
        <w:lang w:val="fr-CH"/>
        <w:rPrChange w:id="3" w:author="mostyn" w:date="2013-05-09T12:44:00Z">
          <w:rPr/>
        </w:rPrChange>
      </w:rPr>
      <w:instrText xml:space="preserve"> HYPERLINK "http://www.itu.int/en/pages/default.aspx" </w:instrText>
    </w:r>
    <w:r w:rsidR="004557E0">
      <w:fldChar w:fldCharType="separate"/>
    </w:r>
    <w:r w:rsidRPr="00E53DCE">
      <w:rPr>
        <w:rStyle w:val="Hyperlink"/>
        <w:sz w:val="18"/>
        <w:szCs w:val="18"/>
        <w:lang w:val="fr-FR"/>
      </w:rPr>
      <w:t>www.itu.int</w:t>
    </w:r>
    <w:r w:rsidR="004557E0">
      <w:rPr>
        <w:rStyle w:val="Hyperlink"/>
        <w:sz w:val="18"/>
        <w:szCs w:val="18"/>
        <w:lang w:val="fr-FR"/>
      </w:rPr>
      <w:fldChar w:fldCharType="end"/>
    </w:r>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718" w:rsidRDefault="00CA6718">
      <w:r>
        <w:t>____________________</w:t>
      </w:r>
    </w:p>
  </w:footnote>
  <w:footnote w:type="continuationSeparator" w:id="0">
    <w:p w:rsidR="00CA6718" w:rsidRDefault="00CA6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041398" w:rsidRDefault="00041398" w:rsidP="00041398">
    <w:pPr>
      <w:pStyle w:val="Header"/>
      <w:jc w:val="center"/>
      <w:rPr>
        <w:sz w:val="18"/>
        <w:szCs w:val="18"/>
      </w:rPr>
    </w:pPr>
    <w:r>
      <w:rPr>
        <w:sz w:val="18"/>
        <w:szCs w:val="18"/>
      </w:rPr>
      <w:t>-</w:t>
    </w:r>
    <w:r w:rsidR="00E915AF" w:rsidRPr="00041398">
      <w:rPr>
        <w:sz w:val="18"/>
        <w:szCs w:val="18"/>
      </w:rPr>
      <w:t xml:space="preserve"> </w:t>
    </w:r>
    <w:r w:rsidR="001B42C9" w:rsidRPr="00041398">
      <w:rPr>
        <w:rStyle w:val="PageNumber"/>
        <w:sz w:val="18"/>
        <w:szCs w:val="18"/>
      </w:rPr>
      <w:fldChar w:fldCharType="begin"/>
    </w:r>
    <w:r w:rsidR="00E915AF" w:rsidRPr="00041398">
      <w:rPr>
        <w:rStyle w:val="PageNumber"/>
        <w:sz w:val="18"/>
        <w:szCs w:val="18"/>
      </w:rPr>
      <w:instrText xml:space="preserve"> PAGE </w:instrText>
    </w:r>
    <w:r w:rsidR="001B42C9" w:rsidRPr="00041398">
      <w:rPr>
        <w:rStyle w:val="PageNumber"/>
        <w:sz w:val="18"/>
        <w:szCs w:val="18"/>
      </w:rPr>
      <w:fldChar w:fldCharType="separate"/>
    </w:r>
    <w:r w:rsidR="00A1601C">
      <w:rPr>
        <w:rStyle w:val="PageNumber"/>
        <w:noProof/>
        <w:sz w:val="18"/>
        <w:szCs w:val="18"/>
      </w:rPr>
      <w:t>4</w:t>
    </w:r>
    <w:r w:rsidR="001B42C9" w:rsidRPr="00041398">
      <w:rPr>
        <w:rStyle w:val="PageNumber"/>
        <w:sz w:val="18"/>
        <w:szCs w:val="18"/>
      </w:rPr>
      <w:fldChar w:fldCharType="end"/>
    </w:r>
    <w:r w:rsidR="00E915AF" w:rsidRPr="00041398">
      <w:rPr>
        <w:rStyle w:val="PageNumber"/>
        <w:sz w:val="18"/>
        <w:szCs w:val="18"/>
      </w:rPr>
      <w:t xml:space="preserve"> </w:t>
    </w:r>
    <w:r>
      <w:rPr>
        <w:rStyle w:val="PageNumbe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041398" w:rsidRDefault="00041398" w:rsidP="00041398">
    <w:pPr>
      <w:pStyle w:val="Header"/>
      <w:jc w:val="center"/>
      <w:rPr>
        <w:iCs/>
      </w:rPr>
    </w:pPr>
    <w:r>
      <w:rPr>
        <w:iCs/>
      </w:rPr>
      <w:t xml:space="preserve">- </w:t>
    </w:r>
    <w:r w:rsidR="001B42C9" w:rsidRPr="00041398">
      <w:rPr>
        <w:iCs/>
      </w:rPr>
      <w:fldChar w:fldCharType="begin"/>
    </w:r>
    <w:r w:rsidR="00E915AF" w:rsidRPr="00041398">
      <w:rPr>
        <w:iCs/>
      </w:rPr>
      <w:instrText xml:space="preserve"> PAGE  \* MERGEFORMAT </w:instrText>
    </w:r>
    <w:r w:rsidR="001B42C9" w:rsidRPr="00041398">
      <w:rPr>
        <w:iCs/>
      </w:rPr>
      <w:fldChar w:fldCharType="separate"/>
    </w:r>
    <w:r w:rsidR="00A1601C">
      <w:rPr>
        <w:iCs/>
        <w:noProof/>
      </w:rPr>
      <w:t>3</w:t>
    </w:r>
    <w:r w:rsidR="001B42C9" w:rsidRPr="00041398">
      <w:rPr>
        <w:iCs/>
      </w:rPr>
      <w:fldChar w:fldCharType="end"/>
    </w:r>
    <w:r>
      <w:rPr>
        <w:iC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2266B75E" wp14:editId="5995599A">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CA6718"/>
    <w:rsid w:val="00006A31"/>
    <w:rsid w:val="00006C82"/>
    <w:rsid w:val="00010E30"/>
    <w:rsid w:val="00015C76"/>
    <w:rsid w:val="00026CF8"/>
    <w:rsid w:val="00030BD7"/>
    <w:rsid w:val="0003138D"/>
    <w:rsid w:val="00031E64"/>
    <w:rsid w:val="00034340"/>
    <w:rsid w:val="00035CB3"/>
    <w:rsid w:val="00041398"/>
    <w:rsid w:val="00045A8D"/>
    <w:rsid w:val="0005167A"/>
    <w:rsid w:val="00054E5D"/>
    <w:rsid w:val="000563B2"/>
    <w:rsid w:val="000615AE"/>
    <w:rsid w:val="00070258"/>
    <w:rsid w:val="0007323C"/>
    <w:rsid w:val="000775B8"/>
    <w:rsid w:val="00086D03"/>
    <w:rsid w:val="000A096A"/>
    <w:rsid w:val="000A375E"/>
    <w:rsid w:val="000A7051"/>
    <w:rsid w:val="000B0AF6"/>
    <w:rsid w:val="000B0E9B"/>
    <w:rsid w:val="000B2CAE"/>
    <w:rsid w:val="000C03C7"/>
    <w:rsid w:val="000C2AD0"/>
    <w:rsid w:val="000D3D12"/>
    <w:rsid w:val="000E3DEE"/>
    <w:rsid w:val="000F0EF5"/>
    <w:rsid w:val="00100B72"/>
    <w:rsid w:val="00101F7D"/>
    <w:rsid w:val="00103C76"/>
    <w:rsid w:val="0011265F"/>
    <w:rsid w:val="00117282"/>
    <w:rsid w:val="00117389"/>
    <w:rsid w:val="0011777C"/>
    <w:rsid w:val="00121C2D"/>
    <w:rsid w:val="00134404"/>
    <w:rsid w:val="00144DFB"/>
    <w:rsid w:val="00187CA3"/>
    <w:rsid w:val="0019125A"/>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62CE"/>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326DB"/>
    <w:rsid w:val="0043682E"/>
    <w:rsid w:val="00447ECB"/>
    <w:rsid w:val="004557E0"/>
    <w:rsid w:val="004623F7"/>
    <w:rsid w:val="00480F51"/>
    <w:rsid w:val="00481124"/>
    <w:rsid w:val="004815EB"/>
    <w:rsid w:val="00487569"/>
    <w:rsid w:val="00496864"/>
    <w:rsid w:val="00496920"/>
    <w:rsid w:val="004A4496"/>
    <w:rsid w:val="004B11AB"/>
    <w:rsid w:val="004B2A1F"/>
    <w:rsid w:val="004B5C95"/>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94BD9"/>
    <w:rsid w:val="005A03A3"/>
    <w:rsid w:val="005A2B92"/>
    <w:rsid w:val="005A3F66"/>
    <w:rsid w:val="005A79E9"/>
    <w:rsid w:val="005B214C"/>
    <w:rsid w:val="005B4CDA"/>
    <w:rsid w:val="005D3669"/>
    <w:rsid w:val="005E5EB3"/>
    <w:rsid w:val="005F3CB6"/>
    <w:rsid w:val="005F657C"/>
    <w:rsid w:val="00602D53"/>
    <w:rsid w:val="006047E5"/>
    <w:rsid w:val="0063529E"/>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C4AC7"/>
    <w:rsid w:val="007D183E"/>
    <w:rsid w:val="007D43D0"/>
    <w:rsid w:val="007E1833"/>
    <w:rsid w:val="007E3F13"/>
    <w:rsid w:val="007F751A"/>
    <w:rsid w:val="00800012"/>
    <w:rsid w:val="0080261F"/>
    <w:rsid w:val="00806160"/>
    <w:rsid w:val="008143A4"/>
    <w:rsid w:val="0081513E"/>
    <w:rsid w:val="00841154"/>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659C5"/>
    <w:rsid w:val="0098013E"/>
    <w:rsid w:val="00981B54"/>
    <w:rsid w:val="009842C3"/>
    <w:rsid w:val="009A009A"/>
    <w:rsid w:val="009A6BB6"/>
    <w:rsid w:val="009B3F43"/>
    <w:rsid w:val="009B5CFA"/>
    <w:rsid w:val="009B6D2A"/>
    <w:rsid w:val="009C161F"/>
    <w:rsid w:val="009C56B4"/>
    <w:rsid w:val="009D51A2"/>
    <w:rsid w:val="009E04A8"/>
    <w:rsid w:val="009E4AEC"/>
    <w:rsid w:val="009E5BD8"/>
    <w:rsid w:val="009E681E"/>
    <w:rsid w:val="00A119E6"/>
    <w:rsid w:val="00A1601C"/>
    <w:rsid w:val="00A20FBC"/>
    <w:rsid w:val="00A31370"/>
    <w:rsid w:val="00A34D6F"/>
    <w:rsid w:val="00A41F91"/>
    <w:rsid w:val="00A45B55"/>
    <w:rsid w:val="00A63355"/>
    <w:rsid w:val="00A648AC"/>
    <w:rsid w:val="00A7596D"/>
    <w:rsid w:val="00A963DF"/>
    <w:rsid w:val="00AA211B"/>
    <w:rsid w:val="00AC0C22"/>
    <w:rsid w:val="00AC3896"/>
    <w:rsid w:val="00AD2CF2"/>
    <w:rsid w:val="00AD496E"/>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6B78"/>
    <w:rsid w:val="00C57E2C"/>
    <w:rsid w:val="00C608B7"/>
    <w:rsid w:val="00C66F24"/>
    <w:rsid w:val="00C76D7F"/>
    <w:rsid w:val="00C813AA"/>
    <w:rsid w:val="00C9291E"/>
    <w:rsid w:val="00C9670B"/>
    <w:rsid w:val="00CA3F44"/>
    <w:rsid w:val="00CA4E58"/>
    <w:rsid w:val="00CA671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0F20"/>
    <w:rsid w:val="00DA4037"/>
    <w:rsid w:val="00DE66A5"/>
    <w:rsid w:val="00DF2B50"/>
    <w:rsid w:val="00E01059"/>
    <w:rsid w:val="00E04C86"/>
    <w:rsid w:val="00E15F6A"/>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75F38"/>
    <w:rsid w:val="00E915AF"/>
    <w:rsid w:val="00E96415"/>
    <w:rsid w:val="00EA15B3"/>
    <w:rsid w:val="00EB2358"/>
    <w:rsid w:val="00EB3EB8"/>
    <w:rsid w:val="00EC00EF"/>
    <w:rsid w:val="00EC02FE"/>
    <w:rsid w:val="00EC4A96"/>
    <w:rsid w:val="00EE03A0"/>
    <w:rsid w:val="00EE1A57"/>
    <w:rsid w:val="00F008C3"/>
    <w:rsid w:val="00F424BF"/>
    <w:rsid w:val="00F44FC3"/>
    <w:rsid w:val="00F46107"/>
    <w:rsid w:val="00F468C5"/>
    <w:rsid w:val="00F52F39"/>
    <w:rsid w:val="00F6184F"/>
    <w:rsid w:val="00F8310E"/>
    <w:rsid w:val="00F914DD"/>
    <w:rsid w:val="00F95AA0"/>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0"/>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
    <w:rsid w:val="00F95AA0"/>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Title Char"/>
    <w:basedOn w:val="DefaultParagraphFont"/>
    <w:link w:val="AnnexNoTitle"/>
    <w:uiPriority w:val="99"/>
    <w:locked/>
    <w:rsid w:val="00F95AA0"/>
    <w:rPr>
      <w:b/>
      <w:sz w:val="24"/>
      <w:szCs w:val="22"/>
      <w:lang w:val="en-US" w:eastAsia="en-US"/>
    </w:rPr>
  </w:style>
  <w:style w:type="character" w:customStyle="1" w:styleId="RectitleChar">
    <w:name w:val="Rec_title Char"/>
    <w:link w:val="Rectitle"/>
    <w:rsid w:val="00DA0F20"/>
    <w:rPr>
      <w:b/>
      <w:sz w:val="28"/>
      <w:szCs w:val="22"/>
      <w:lang w:val="en-US" w:eastAsia="en-US"/>
    </w:rPr>
  </w:style>
  <w:style w:type="character" w:customStyle="1" w:styleId="enumlev10">
    <w:name w:val="enumlev1 Знак"/>
    <w:link w:val="enumlev1"/>
    <w:rsid w:val="00DA0F20"/>
    <w:rPr>
      <w:sz w:val="22"/>
      <w:szCs w:val="22"/>
      <w:lang w:val="en-US" w:eastAsia="en-US"/>
    </w:rPr>
  </w:style>
  <w:style w:type="paragraph" w:customStyle="1" w:styleId="Reasons">
    <w:name w:val="Reasons"/>
    <w:basedOn w:val="Normal"/>
    <w:qFormat/>
    <w:rsid w:val="00E15F6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0"/>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
    <w:rsid w:val="00F95AA0"/>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Title Char"/>
    <w:basedOn w:val="DefaultParagraphFont"/>
    <w:link w:val="AnnexNoTitle"/>
    <w:uiPriority w:val="99"/>
    <w:locked/>
    <w:rsid w:val="00F95AA0"/>
    <w:rPr>
      <w:b/>
      <w:sz w:val="24"/>
      <w:szCs w:val="22"/>
      <w:lang w:val="en-US" w:eastAsia="en-US"/>
    </w:rPr>
  </w:style>
  <w:style w:type="character" w:customStyle="1" w:styleId="RectitleChar">
    <w:name w:val="Rec_title Char"/>
    <w:link w:val="Rectitle"/>
    <w:rsid w:val="00DA0F20"/>
    <w:rPr>
      <w:b/>
      <w:sz w:val="28"/>
      <w:szCs w:val="22"/>
      <w:lang w:val="en-US" w:eastAsia="en-US"/>
    </w:rPr>
  </w:style>
  <w:style w:type="character" w:customStyle="1" w:styleId="enumlev10">
    <w:name w:val="enumlev1 Знак"/>
    <w:link w:val="enumlev1"/>
    <w:rsid w:val="00DA0F20"/>
    <w:rPr>
      <w:sz w:val="22"/>
      <w:szCs w:val="22"/>
      <w:lang w:val="en-US" w:eastAsia="en-US"/>
    </w:rPr>
  </w:style>
  <w:style w:type="paragraph" w:customStyle="1" w:styleId="Reasons">
    <w:name w:val="Reasons"/>
    <w:basedOn w:val="Normal"/>
    <w:qFormat/>
    <w:rsid w:val="00E15F6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12-SG04-C/e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tu.int/en/ITU-T/ipr/Pages/policy.aspx" TargetMode="External"/><Relationship Id="rId4" Type="http://schemas.microsoft.com/office/2007/relationships/stylesWithEffects" Target="stylesWithEffects.xml"/><Relationship Id="rId9" Type="http://schemas.openxmlformats.org/officeDocument/2006/relationships/hyperlink" Target="http://www.itu.int/pub/R-REC"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55190A227FF4CB7908A2B7C8930B48A"/>
        <w:category>
          <w:name w:val="General"/>
          <w:gallery w:val="placeholder"/>
        </w:category>
        <w:types>
          <w:type w:val="bbPlcHdr"/>
        </w:types>
        <w:behaviors>
          <w:behavior w:val="content"/>
        </w:behaviors>
        <w:guid w:val="{7273433B-6B0A-47F9-98CB-0823C53F2129}"/>
      </w:docPartPr>
      <w:docPartBody>
        <w:p w:rsidR="00E40FC6" w:rsidRDefault="00E40FC6">
          <w:pPr>
            <w:pStyle w:val="D55190A227FF4CB7908A2B7C8930B48A"/>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FC6"/>
    <w:rsid w:val="00E40F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55190A227FF4CB7908A2B7C8930B48A">
    <w:name w:val="D55190A227FF4CB7908A2B7C8930B48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55190A227FF4CB7908A2B7C8930B48A">
    <w:name w:val="D55190A227FF4CB7908A2B7C8930B4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4F884-12BC-427C-BB7B-866A9A63A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Template>
  <TotalTime>29</TotalTime>
  <Pages>4</Pages>
  <Words>1098</Words>
  <Characters>7008</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8090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capdessu</cp:lastModifiedBy>
  <cp:revision>18</cp:revision>
  <cp:lastPrinted>2013-03-08T10:15:00Z</cp:lastPrinted>
  <dcterms:created xsi:type="dcterms:W3CDTF">2013-10-18T08:30:00Z</dcterms:created>
  <dcterms:modified xsi:type="dcterms:W3CDTF">2013-10-28T08:32:00Z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