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526"/>
        <w:gridCol w:w="5528"/>
        <w:gridCol w:w="2977"/>
      </w:tblGrid>
      <w:tr w:rsidR="00EA15B3" w:rsidRPr="007B3DB1" w:rsidTr="0072321C">
        <w:tc>
          <w:tcPr>
            <w:tcW w:w="10031"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5733DB" w:rsidTr="0072321C">
        <w:tc>
          <w:tcPr>
            <w:tcW w:w="7054" w:type="dxa"/>
            <w:gridSpan w:val="2"/>
            <w:shd w:val="clear" w:color="auto" w:fill="auto"/>
          </w:tcPr>
          <w:p w:rsidR="00C76D7F" w:rsidRPr="005733DB" w:rsidRDefault="00D21694" w:rsidP="00E17344">
            <w:pPr>
              <w:spacing w:before="0"/>
              <w:jc w:val="left"/>
              <w:rPr>
                <w:sz w:val="24"/>
                <w:szCs w:val="24"/>
                <w:lang w:val="fr-CH"/>
              </w:rPr>
            </w:pPr>
            <w:r w:rsidRPr="005733DB">
              <w:rPr>
                <w:sz w:val="24"/>
                <w:szCs w:val="24"/>
                <w:lang w:val="fr-CH"/>
              </w:rPr>
              <w:t xml:space="preserve">Administrative </w:t>
            </w:r>
            <w:r w:rsidR="008B35A3" w:rsidRPr="005733DB">
              <w:rPr>
                <w:sz w:val="24"/>
                <w:szCs w:val="24"/>
                <w:lang w:val="fr-CH"/>
              </w:rPr>
              <w:t>C</w:t>
            </w:r>
            <w:r w:rsidR="00C76D7F" w:rsidRPr="005733DB">
              <w:rPr>
                <w:sz w:val="24"/>
                <w:szCs w:val="24"/>
                <w:lang w:val="fr-CH"/>
              </w:rPr>
              <w:t>ircular</w:t>
            </w:r>
          </w:p>
          <w:p w:rsidR="00651777" w:rsidRPr="005733DB" w:rsidRDefault="00E17344" w:rsidP="00E17344">
            <w:pPr>
              <w:spacing w:before="0"/>
              <w:jc w:val="left"/>
              <w:rPr>
                <w:b/>
                <w:bCs/>
                <w:sz w:val="24"/>
                <w:szCs w:val="24"/>
                <w:lang w:val="fr-CH"/>
              </w:rPr>
            </w:pPr>
            <w:r w:rsidRPr="005733DB">
              <w:rPr>
                <w:b/>
                <w:bCs/>
                <w:sz w:val="24"/>
                <w:szCs w:val="24"/>
                <w:lang w:val="fr-CH"/>
              </w:rPr>
              <w:t>CA</w:t>
            </w:r>
            <w:r w:rsidR="004A7970" w:rsidRPr="005733DB">
              <w:rPr>
                <w:b/>
                <w:bCs/>
                <w:sz w:val="24"/>
                <w:szCs w:val="24"/>
                <w:lang w:val="fr-CH"/>
              </w:rPr>
              <w:t>CE</w:t>
            </w:r>
            <w:r w:rsidR="003836D4" w:rsidRPr="005733DB">
              <w:rPr>
                <w:b/>
                <w:bCs/>
                <w:sz w:val="24"/>
                <w:szCs w:val="24"/>
                <w:lang w:val="fr-CH"/>
              </w:rPr>
              <w:t>/</w:t>
            </w:r>
            <w:r w:rsidR="00C23D00">
              <w:rPr>
                <w:b/>
                <w:bCs/>
                <w:sz w:val="24"/>
                <w:szCs w:val="24"/>
                <w:lang w:val="fr-CH"/>
              </w:rPr>
              <w:t>637</w:t>
            </w:r>
          </w:p>
        </w:tc>
        <w:tc>
          <w:tcPr>
            <w:tcW w:w="2977" w:type="dxa"/>
            <w:shd w:val="clear" w:color="auto" w:fill="auto"/>
          </w:tcPr>
          <w:p w:rsidR="00651777" w:rsidRPr="000A30A1" w:rsidRDefault="004D2BC0">
            <w:pPr>
              <w:keepNext/>
              <w:keepLines/>
              <w:spacing w:before="0" w:after="120"/>
              <w:jc w:val="right"/>
              <w:rPr>
                <w:sz w:val="24"/>
                <w:szCs w:val="24"/>
                <w:lang w:val="en-GB"/>
              </w:rPr>
            </w:pPr>
            <w:r w:rsidRPr="005733DB">
              <w:rPr>
                <w:sz w:val="24"/>
                <w:szCs w:val="24"/>
                <w:lang w:val="en-GB"/>
              </w:rPr>
              <w:t>2</w:t>
            </w:r>
            <w:r w:rsidR="00C9066E">
              <w:rPr>
                <w:sz w:val="24"/>
                <w:szCs w:val="24"/>
                <w:lang w:val="en-GB"/>
              </w:rPr>
              <w:t>8</w:t>
            </w:r>
            <w:r w:rsidRPr="005733DB">
              <w:rPr>
                <w:sz w:val="24"/>
                <w:szCs w:val="24"/>
                <w:lang w:val="en-GB"/>
              </w:rPr>
              <w:t xml:space="preserve"> October 2013</w:t>
            </w:r>
          </w:p>
        </w:tc>
      </w:tr>
      <w:tr w:rsidR="0037309C" w:rsidRPr="005733DB" w:rsidTr="0072321C">
        <w:tc>
          <w:tcPr>
            <w:tcW w:w="10031" w:type="dxa"/>
            <w:gridSpan w:val="3"/>
            <w:shd w:val="clear" w:color="auto" w:fill="auto"/>
          </w:tcPr>
          <w:p w:rsidR="0037309C" w:rsidRPr="005733DB" w:rsidRDefault="0037309C" w:rsidP="006047E5">
            <w:pPr>
              <w:spacing w:before="0"/>
              <w:jc w:val="left"/>
              <w:rPr>
                <w:rFonts w:cs="Arial"/>
                <w:sz w:val="24"/>
                <w:szCs w:val="24"/>
                <w:lang w:val="en-GB"/>
              </w:rPr>
            </w:pPr>
          </w:p>
        </w:tc>
      </w:tr>
      <w:tr w:rsidR="0037309C" w:rsidRPr="005733DB" w:rsidTr="0072321C">
        <w:tc>
          <w:tcPr>
            <w:tcW w:w="10031" w:type="dxa"/>
            <w:gridSpan w:val="3"/>
            <w:shd w:val="clear" w:color="auto" w:fill="auto"/>
          </w:tcPr>
          <w:p w:rsidR="0037309C" w:rsidRPr="005733DB" w:rsidRDefault="0037309C" w:rsidP="00D374CD">
            <w:pPr>
              <w:spacing w:before="0"/>
              <w:jc w:val="left"/>
              <w:rPr>
                <w:sz w:val="24"/>
                <w:szCs w:val="24"/>
              </w:rPr>
            </w:pPr>
          </w:p>
        </w:tc>
      </w:tr>
      <w:tr w:rsidR="0037309C" w:rsidRPr="005733DB" w:rsidTr="0072321C">
        <w:tc>
          <w:tcPr>
            <w:tcW w:w="10031" w:type="dxa"/>
            <w:gridSpan w:val="3"/>
            <w:shd w:val="clear" w:color="auto" w:fill="auto"/>
          </w:tcPr>
          <w:p w:rsidR="00D21694" w:rsidRPr="005733DB" w:rsidRDefault="004A7970" w:rsidP="00DA16A9">
            <w:pPr>
              <w:spacing w:before="0"/>
              <w:jc w:val="left"/>
              <w:rPr>
                <w:b/>
                <w:bCs/>
                <w:sz w:val="24"/>
                <w:szCs w:val="24"/>
              </w:rPr>
            </w:pPr>
            <w:r w:rsidRPr="005733DB">
              <w:rPr>
                <w:b/>
                <w:bCs/>
                <w:sz w:val="24"/>
                <w:szCs w:val="24"/>
              </w:rPr>
              <w:t>To Administrations of Member States of the ITU, Radiocommunication Sector Members</w:t>
            </w:r>
            <w:r w:rsidR="001963DF">
              <w:rPr>
                <w:b/>
                <w:bCs/>
                <w:sz w:val="24"/>
                <w:szCs w:val="24"/>
              </w:rPr>
              <w:t xml:space="preserve"> </w:t>
            </w:r>
            <w:r w:rsidR="00DA16A9" w:rsidRPr="005733DB">
              <w:rPr>
                <w:b/>
                <w:bCs/>
                <w:sz w:val="24"/>
                <w:szCs w:val="24"/>
              </w:rPr>
              <w:t>and</w:t>
            </w:r>
            <w:r w:rsidRPr="005733DB">
              <w:rPr>
                <w:b/>
                <w:bCs/>
                <w:sz w:val="24"/>
                <w:szCs w:val="24"/>
              </w:rPr>
              <w:br/>
              <w:t xml:space="preserve">ITU-R Associates participating in the work of Radiocommunication Study Group </w:t>
            </w:r>
            <w:r w:rsidR="004D2BC0" w:rsidRPr="005733DB">
              <w:rPr>
                <w:b/>
                <w:bCs/>
                <w:sz w:val="24"/>
                <w:szCs w:val="24"/>
              </w:rPr>
              <w:t>4</w:t>
            </w:r>
          </w:p>
        </w:tc>
      </w:tr>
      <w:tr w:rsidR="0037309C" w:rsidRPr="005733DB" w:rsidTr="0072321C">
        <w:tc>
          <w:tcPr>
            <w:tcW w:w="10031" w:type="dxa"/>
            <w:gridSpan w:val="3"/>
            <w:shd w:val="clear" w:color="auto" w:fill="auto"/>
          </w:tcPr>
          <w:p w:rsidR="0037309C" w:rsidRPr="005733DB" w:rsidRDefault="0037309C" w:rsidP="006047E5">
            <w:pPr>
              <w:spacing w:before="0"/>
              <w:jc w:val="left"/>
              <w:rPr>
                <w:sz w:val="24"/>
                <w:szCs w:val="24"/>
              </w:rPr>
            </w:pPr>
          </w:p>
        </w:tc>
      </w:tr>
      <w:tr w:rsidR="0037309C" w:rsidRPr="005733DB" w:rsidTr="0072321C">
        <w:tc>
          <w:tcPr>
            <w:tcW w:w="10031" w:type="dxa"/>
            <w:gridSpan w:val="3"/>
            <w:shd w:val="clear" w:color="auto" w:fill="auto"/>
          </w:tcPr>
          <w:p w:rsidR="0037309C" w:rsidRPr="005733DB" w:rsidRDefault="0037309C" w:rsidP="006047E5">
            <w:pPr>
              <w:spacing w:before="0"/>
              <w:jc w:val="left"/>
              <w:rPr>
                <w:sz w:val="24"/>
                <w:szCs w:val="24"/>
              </w:rPr>
            </w:pPr>
          </w:p>
        </w:tc>
      </w:tr>
      <w:tr w:rsidR="00B4054B" w:rsidRPr="005733DB" w:rsidTr="0072321C">
        <w:tc>
          <w:tcPr>
            <w:tcW w:w="1526" w:type="dxa"/>
            <w:shd w:val="clear" w:color="auto" w:fill="auto"/>
          </w:tcPr>
          <w:p w:rsidR="00B4054B" w:rsidRPr="000A30A1" w:rsidRDefault="00B4054B" w:rsidP="006A0053">
            <w:pPr>
              <w:keepNext/>
              <w:keepLines/>
              <w:spacing w:before="0" w:after="120"/>
              <w:jc w:val="left"/>
              <w:rPr>
                <w:sz w:val="24"/>
                <w:szCs w:val="24"/>
                <w:lang w:val="en-GB"/>
              </w:rPr>
            </w:pPr>
            <w:r w:rsidRPr="005733DB">
              <w:rPr>
                <w:sz w:val="24"/>
                <w:szCs w:val="24"/>
              </w:rPr>
              <w:t>Subject:</w:t>
            </w:r>
          </w:p>
        </w:tc>
        <w:tc>
          <w:tcPr>
            <w:tcW w:w="8505" w:type="dxa"/>
            <w:gridSpan w:val="2"/>
            <w:vMerge w:val="restart"/>
            <w:shd w:val="clear" w:color="auto" w:fill="auto"/>
          </w:tcPr>
          <w:p w:rsidR="00B4054B" w:rsidRPr="005733DB" w:rsidRDefault="004A7970" w:rsidP="004D2BC0">
            <w:pPr>
              <w:keepNext/>
              <w:keepLines/>
              <w:spacing w:before="0" w:after="120"/>
              <w:rPr>
                <w:b/>
                <w:bCs/>
                <w:sz w:val="24"/>
                <w:szCs w:val="24"/>
              </w:rPr>
            </w:pPr>
            <w:r w:rsidRPr="005733DB">
              <w:rPr>
                <w:b/>
                <w:bCs/>
                <w:sz w:val="24"/>
                <w:szCs w:val="24"/>
              </w:rPr>
              <w:t xml:space="preserve">Radiocommunication Study Group </w:t>
            </w:r>
            <w:r w:rsidR="004D2BC0" w:rsidRPr="005733DB">
              <w:rPr>
                <w:b/>
                <w:bCs/>
                <w:sz w:val="24"/>
                <w:szCs w:val="24"/>
              </w:rPr>
              <w:t>4 (Satellite services)</w:t>
            </w:r>
          </w:p>
          <w:p w:rsidR="004A7970" w:rsidRPr="00C23D00" w:rsidRDefault="004A7970" w:rsidP="00C23D0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0A30A1">
              <w:rPr>
                <w:rFonts w:asciiTheme="minorHAnsi" w:hAnsiTheme="minorHAnsi" w:cstheme="minorHAnsi"/>
                <w:b/>
                <w:sz w:val="24"/>
                <w:szCs w:val="24"/>
              </w:rPr>
              <w:t xml:space="preserve">Proposed adoption of </w:t>
            </w:r>
            <w:r w:rsidR="00A96925">
              <w:rPr>
                <w:rFonts w:asciiTheme="minorHAnsi" w:hAnsiTheme="minorHAnsi" w:cstheme="minorHAnsi"/>
                <w:b/>
                <w:sz w:val="24"/>
                <w:szCs w:val="24"/>
              </w:rPr>
              <w:t>2</w:t>
            </w:r>
            <w:r w:rsidR="004D2BC0" w:rsidRPr="000A30A1">
              <w:rPr>
                <w:rFonts w:asciiTheme="minorHAnsi" w:hAnsiTheme="minorHAnsi" w:cstheme="minorHAnsi"/>
                <w:b/>
                <w:sz w:val="24"/>
                <w:szCs w:val="24"/>
              </w:rPr>
              <w:t xml:space="preserve"> </w:t>
            </w:r>
            <w:r w:rsidRPr="000A30A1">
              <w:rPr>
                <w:rFonts w:asciiTheme="minorHAnsi" w:hAnsiTheme="minorHAnsi" w:cstheme="minorHAnsi"/>
                <w:b/>
                <w:sz w:val="24"/>
                <w:szCs w:val="24"/>
              </w:rPr>
              <w:t xml:space="preserve">draft new ITU-R Recommendations and </w:t>
            </w:r>
            <w:r w:rsidR="007C32F0" w:rsidRPr="005733DB">
              <w:rPr>
                <w:rFonts w:asciiTheme="minorHAnsi" w:hAnsiTheme="minorHAnsi" w:cstheme="minorHAnsi"/>
                <w:b/>
                <w:sz w:val="24"/>
                <w:szCs w:val="24"/>
              </w:rPr>
              <w:t>3</w:t>
            </w:r>
            <w:r w:rsidR="004D2BC0" w:rsidRPr="000A30A1">
              <w:rPr>
                <w:rFonts w:asciiTheme="minorHAnsi" w:hAnsiTheme="minorHAnsi" w:cstheme="minorHAnsi"/>
                <w:b/>
                <w:sz w:val="24"/>
                <w:szCs w:val="24"/>
              </w:rPr>
              <w:t xml:space="preserve"> </w:t>
            </w:r>
            <w:r w:rsidRPr="000A30A1">
              <w:rPr>
                <w:rFonts w:asciiTheme="minorHAnsi" w:hAnsiTheme="minorHAnsi" w:cstheme="minorHAnsi"/>
                <w:b/>
                <w:sz w:val="24"/>
                <w:szCs w:val="24"/>
              </w:rPr>
              <w:t>draft revised</w:t>
            </w:r>
            <w:r w:rsidR="004D2BC0" w:rsidRPr="005733DB">
              <w:rPr>
                <w:rFonts w:asciiTheme="minorHAnsi" w:hAnsiTheme="minorHAnsi" w:cstheme="minorHAnsi"/>
                <w:b/>
                <w:sz w:val="24"/>
                <w:szCs w:val="24"/>
              </w:rPr>
              <w:t xml:space="preserve"> </w:t>
            </w:r>
            <w:r w:rsidRPr="000A30A1">
              <w:rPr>
                <w:rFonts w:asciiTheme="minorHAnsi" w:hAnsiTheme="minorHAnsi" w:cstheme="minorHAnsi"/>
                <w:b/>
                <w:sz w:val="24"/>
                <w:szCs w:val="24"/>
              </w:rPr>
              <w:t>ITU-R Recommendations and their simultaneous approval by correspondence</w:t>
            </w:r>
            <w:r w:rsidR="00A45D9A" w:rsidRPr="005733DB">
              <w:rPr>
                <w:rFonts w:asciiTheme="minorHAnsi" w:hAnsiTheme="minorHAnsi" w:cstheme="minorHAnsi"/>
                <w:b/>
                <w:sz w:val="24"/>
                <w:szCs w:val="24"/>
              </w:rPr>
              <w:t xml:space="preserve"> </w:t>
            </w:r>
            <w:r w:rsidRPr="000A30A1">
              <w:rPr>
                <w:rFonts w:asciiTheme="minorHAnsi" w:hAnsiTheme="minorHAnsi" w:cstheme="minorHAnsi"/>
                <w:b/>
                <w:sz w:val="24"/>
                <w:szCs w:val="24"/>
              </w:rPr>
              <w:t>in accordanc</w:t>
            </w:r>
            <w:r w:rsidR="00C23D00">
              <w:rPr>
                <w:rFonts w:asciiTheme="minorHAnsi" w:hAnsiTheme="minorHAnsi" w:cstheme="minorHAnsi"/>
                <w:b/>
                <w:sz w:val="24"/>
                <w:szCs w:val="24"/>
              </w:rPr>
              <w:t>e with § 10.3 of Resolution ITU-</w:t>
            </w:r>
            <w:r w:rsidRPr="000A30A1">
              <w:rPr>
                <w:rFonts w:asciiTheme="minorHAnsi" w:hAnsiTheme="minorHAnsi" w:cstheme="minorHAnsi"/>
                <w:b/>
                <w:sz w:val="24"/>
                <w:szCs w:val="24"/>
              </w:rPr>
              <w:t>R 1-6 (Procedure for the simultaneous adoption and approval by correspondence)</w:t>
            </w:r>
          </w:p>
        </w:tc>
      </w:tr>
      <w:tr w:rsidR="00B4054B" w:rsidRPr="005733DB" w:rsidTr="0072321C">
        <w:tc>
          <w:tcPr>
            <w:tcW w:w="1526" w:type="dxa"/>
            <w:shd w:val="clear" w:color="auto" w:fill="auto"/>
          </w:tcPr>
          <w:p w:rsidR="00B4054B" w:rsidRPr="005733DB" w:rsidRDefault="00B4054B" w:rsidP="006A0053">
            <w:pPr>
              <w:spacing w:before="0"/>
              <w:jc w:val="left"/>
              <w:rPr>
                <w:b/>
                <w:bCs/>
                <w:sz w:val="24"/>
                <w:szCs w:val="24"/>
                <w:lang w:val="en-GB"/>
              </w:rPr>
            </w:pPr>
          </w:p>
        </w:tc>
        <w:tc>
          <w:tcPr>
            <w:tcW w:w="8505" w:type="dxa"/>
            <w:gridSpan w:val="2"/>
            <w:vMerge/>
            <w:shd w:val="clear" w:color="auto" w:fill="auto"/>
          </w:tcPr>
          <w:p w:rsidR="00B4054B" w:rsidRPr="005733DB" w:rsidRDefault="00B4054B" w:rsidP="006A0053">
            <w:pPr>
              <w:spacing w:before="0"/>
              <w:rPr>
                <w:b/>
                <w:bCs/>
                <w:sz w:val="24"/>
                <w:szCs w:val="24"/>
                <w:lang w:val="en-GB"/>
              </w:rPr>
            </w:pPr>
          </w:p>
        </w:tc>
      </w:tr>
      <w:tr w:rsidR="00B4054B" w:rsidRPr="005733DB" w:rsidTr="0072321C">
        <w:tc>
          <w:tcPr>
            <w:tcW w:w="1526" w:type="dxa"/>
            <w:shd w:val="clear" w:color="auto" w:fill="auto"/>
          </w:tcPr>
          <w:p w:rsidR="00B4054B" w:rsidRPr="005733DB" w:rsidRDefault="00B4054B" w:rsidP="006A0053">
            <w:pPr>
              <w:spacing w:before="0"/>
              <w:jc w:val="left"/>
              <w:rPr>
                <w:b/>
                <w:bCs/>
                <w:sz w:val="24"/>
                <w:szCs w:val="24"/>
                <w:lang w:val="en-GB"/>
              </w:rPr>
            </w:pPr>
          </w:p>
        </w:tc>
        <w:tc>
          <w:tcPr>
            <w:tcW w:w="8505" w:type="dxa"/>
            <w:gridSpan w:val="2"/>
            <w:vMerge/>
            <w:shd w:val="clear" w:color="auto" w:fill="auto"/>
          </w:tcPr>
          <w:p w:rsidR="00B4054B" w:rsidRPr="005733DB" w:rsidRDefault="00B4054B" w:rsidP="006A0053">
            <w:pPr>
              <w:spacing w:before="0"/>
              <w:rPr>
                <w:b/>
                <w:bCs/>
                <w:sz w:val="24"/>
                <w:szCs w:val="24"/>
                <w:lang w:val="en-GB"/>
              </w:rPr>
            </w:pPr>
          </w:p>
        </w:tc>
      </w:tr>
      <w:tr w:rsidR="00C51E92" w:rsidRPr="005733DB" w:rsidTr="0072321C">
        <w:tc>
          <w:tcPr>
            <w:tcW w:w="10031" w:type="dxa"/>
            <w:gridSpan w:val="3"/>
            <w:shd w:val="clear" w:color="auto" w:fill="auto"/>
          </w:tcPr>
          <w:p w:rsidR="00C51E92" w:rsidRPr="005733DB" w:rsidRDefault="00C51E92" w:rsidP="00F72DBF">
            <w:pPr>
              <w:spacing w:before="0"/>
              <w:jc w:val="left"/>
              <w:rPr>
                <w:b/>
                <w:bCs/>
                <w:sz w:val="24"/>
                <w:szCs w:val="24"/>
              </w:rPr>
            </w:pPr>
          </w:p>
        </w:tc>
      </w:tr>
      <w:tr w:rsidR="00C51E92" w:rsidRPr="005733DB" w:rsidTr="0072321C">
        <w:tc>
          <w:tcPr>
            <w:tcW w:w="10031" w:type="dxa"/>
            <w:gridSpan w:val="3"/>
            <w:shd w:val="clear" w:color="auto" w:fill="auto"/>
          </w:tcPr>
          <w:p w:rsidR="00C51E92" w:rsidRPr="005733DB" w:rsidRDefault="00C51E92" w:rsidP="00F72DBF">
            <w:pPr>
              <w:spacing w:before="0"/>
              <w:jc w:val="left"/>
              <w:rPr>
                <w:b/>
                <w:bCs/>
                <w:sz w:val="24"/>
                <w:szCs w:val="24"/>
              </w:rPr>
            </w:pPr>
          </w:p>
        </w:tc>
      </w:tr>
    </w:tbl>
    <w:p w:rsidR="004A7970" w:rsidRPr="005733DB" w:rsidRDefault="004A7970" w:rsidP="00C23D00">
      <w:pPr>
        <w:pStyle w:val="Normalaftertitle"/>
        <w:rPr>
          <w:sz w:val="24"/>
          <w:szCs w:val="24"/>
        </w:rPr>
      </w:pPr>
      <w:r w:rsidRPr="005733DB">
        <w:rPr>
          <w:sz w:val="24"/>
          <w:szCs w:val="24"/>
        </w:rPr>
        <w:t xml:space="preserve">At the meeting of Radiocommunication Study Group </w:t>
      </w:r>
      <w:r w:rsidR="004D2BC0" w:rsidRPr="005733DB">
        <w:rPr>
          <w:sz w:val="24"/>
          <w:szCs w:val="24"/>
        </w:rPr>
        <w:t>4</w:t>
      </w:r>
      <w:r w:rsidRPr="005733DB">
        <w:rPr>
          <w:sz w:val="24"/>
          <w:szCs w:val="24"/>
        </w:rPr>
        <w:t xml:space="preserve">, held </w:t>
      </w:r>
      <w:r w:rsidR="004D2BC0" w:rsidRPr="005733DB">
        <w:rPr>
          <w:sz w:val="24"/>
          <w:szCs w:val="24"/>
        </w:rPr>
        <w:t>on 11 October</w:t>
      </w:r>
      <w:r w:rsidRPr="005733DB">
        <w:rPr>
          <w:sz w:val="24"/>
          <w:szCs w:val="24"/>
        </w:rPr>
        <w:t xml:space="preserve"> 2013, the Study Group decided to seek adoption of </w:t>
      </w:r>
      <w:r w:rsidR="00A96925">
        <w:rPr>
          <w:sz w:val="24"/>
          <w:szCs w:val="24"/>
        </w:rPr>
        <w:t>2</w:t>
      </w:r>
      <w:r w:rsidR="004D2BC0" w:rsidRPr="005733DB">
        <w:rPr>
          <w:sz w:val="24"/>
          <w:szCs w:val="24"/>
        </w:rPr>
        <w:t xml:space="preserve"> </w:t>
      </w:r>
      <w:r w:rsidRPr="005733DB">
        <w:rPr>
          <w:sz w:val="24"/>
          <w:szCs w:val="24"/>
        </w:rPr>
        <w:t>draft new ITU-R Recommendation</w:t>
      </w:r>
      <w:r w:rsidRPr="000A30A1">
        <w:rPr>
          <w:sz w:val="24"/>
          <w:szCs w:val="24"/>
        </w:rPr>
        <w:t>s</w:t>
      </w:r>
      <w:r w:rsidRPr="005733DB">
        <w:rPr>
          <w:sz w:val="24"/>
          <w:szCs w:val="24"/>
        </w:rPr>
        <w:t xml:space="preserve"> </w:t>
      </w:r>
      <w:r w:rsidRPr="005733DB">
        <w:rPr>
          <w:bCs/>
          <w:sz w:val="24"/>
          <w:szCs w:val="24"/>
        </w:rPr>
        <w:t xml:space="preserve">and </w:t>
      </w:r>
      <w:r w:rsidR="007C32F0" w:rsidRPr="005733DB">
        <w:rPr>
          <w:bCs/>
          <w:sz w:val="24"/>
          <w:szCs w:val="24"/>
        </w:rPr>
        <w:t>3</w:t>
      </w:r>
      <w:r w:rsidR="004D2BC0" w:rsidRPr="005733DB">
        <w:rPr>
          <w:bCs/>
          <w:sz w:val="24"/>
          <w:szCs w:val="24"/>
        </w:rPr>
        <w:t xml:space="preserve"> </w:t>
      </w:r>
      <w:r w:rsidRPr="005733DB">
        <w:rPr>
          <w:bCs/>
          <w:sz w:val="24"/>
          <w:szCs w:val="24"/>
        </w:rPr>
        <w:t>draft revised ITU-R Recommendation</w:t>
      </w:r>
      <w:r w:rsidRPr="000A30A1">
        <w:rPr>
          <w:bCs/>
          <w:sz w:val="24"/>
          <w:szCs w:val="24"/>
        </w:rPr>
        <w:t>s</w:t>
      </w:r>
      <w:r w:rsidRPr="005733DB">
        <w:rPr>
          <w:sz w:val="24"/>
          <w:szCs w:val="24"/>
        </w:rPr>
        <w:t xml:space="preserve"> by correspondence (§ 10.2.3 of Resolution ITU-R 1-6) and further decided to apply the procedure for simultaneous adoption and approval by correspondence (P</w:t>
      </w:r>
      <w:r w:rsidR="00C23D00">
        <w:rPr>
          <w:sz w:val="24"/>
          <w:szCs w:val="24"/>
        </w:rPr>
        <w:t>SAA), (§ 10.3 of Resolution ITU-</w:t>
      </w:r>
      <w:r w:rsidRPr="005733DB">
        <w:rPr>
          <w:sz w:val="24"/>
          <w:szCs w:val="24"/>
        </w:rPr>
        <w:t>R 1</w:t>
      </w:r>
      <w:r w:rsidR="00C23D00">
        <w:rPr>
          <w:sz w:val="24"/>
          <w:szCs w:val="24"/>
        </w:rPr>
        <w:t>-</w:t>
      </w:r>
      <w:r w:rsidRPr="005733DB">
        <w:rPr>
          <w:sz w:val="24"/>
          <w:szCs w:val="24"/>
        </w:rPr>
        <w:t>6). The title</w:t>
      </w:r>
      <w:r w:rsidRPr="000A30A1">
        <w:rPr>
          <w:sz w:val="24"/>
          <w:szCs w:val="24"/>
        </w:rPr>
        <w:t>s</w:t>
      </w:r>
      <w:r w:rsidRPr="005733DB">
        <w:rPr>
          <w:sz w:val="24"/>
          <w:szCs w:val="24"/>
        </w:rPr>
        <w:t xml:space="preserve"> and summar</w:t>
      </w:r>
      <w:r w:rsidRPr="000A30A1">
        <w:rPr>
          <w:sz w:val="24"/>
          <w:szCs w:val="24"/>
        </w:rPr>
        <w:t>ies</w:t>
      </w:r>
      <w:r w:rsidRPr="005733DB">
        <w:rPr>
          <w:sz w:val="24"/>
          <w:szCs w:val="24"/>
        </w:rPr>
        <w:t xml:space="preserve"> of the draft Recommendation</w:t>
      </w:r>
      <w:r w:rsidRPr="000A30A1">
        <w:rPr>
          <w:sz w:val="24"/>
          <w:szCs w:val="24"/>
        </w:rPr>
        <w:t>s</w:t>
      </w:r>
      <w:r w:rsidRPr="005733DB">
        <w:rPr>
          <w:sz w:val="24"/>
          <w:szCs w:val="24"/>
        </w:rPr>
        <w:t xml:space="preserve"> are given in </w:t>
      </w:r>
      <w:r w:rsidR="00A96925">
        <w:rPr>
          <w:sz w:val="24"/>
          <w:szCs w:val="24"/>
        </w:rPr>
        <w:t xml:space="preserve">the </w:t>
      </w:r>
      <w:r w:rsidRPr="005733DB">
        <w:rPr>
          <w:sz w:val="24"/>
          <w:szCs w:val="24"/>
        </w:rPr>
        <w:t xml:space="preserve">Annex. </w:t>
      </w:r>
    </w:p>
    <w:p w:rsidR="004A7970" w:rsidRPr="005733DB" w:rsidRDefault="004A7970" w:rsidP="00C9066E">
      <w:pPr>
        <w:rPr>
          <w:sz w:val="24"/>
          <w:szCs w:val="24"/>
        </w:rPr>
      </w:pPr>
      <w:r w:rsidRPr="005733DB">
        <w:rPr>
          <w:sz w:val="24"/>
          <w:szCs w:val="24"/>
        </w:rPr>
        <w:t xml:space="preserve">The consideration period shall extend for 2 months ending on </w:t>
      </w:r>
      <w:r w:rsidR="004D2BC0" w:rsidRPr="005733DB">
        <w:rPr>
          <w:sz w:val="24"/>
          <w:szCs w:val="24"/>
          <w:u w:val="single"/>
        </w:rPr>
        <w:t>2</w:t>
      </w:r>
      <w:r w:rsidR="00C9066E">
        <w:rPr>
          <w:sz w:val="24"/>
          <w:szCs w:val="24"/>
          <w:u w:val="single"/>
        </w:rPr>
        <w:t>8</w:t>
      </w:r>
      <w:r w:rsidR="004D2BC0" w:rsidRPr="005733DB">
        <w:rPr>
          <w:sz w:val="24"/>
          <w:szCs w:val="24"/>
          <w:u w:val="single"/>
        </w:rPr>
        <w:t xml:space="preserve"> December</w:t>
      </w:r>
      <w:r w:rsidRPr="005733DB">
        <w:rPr>
          <w:sz w:val="24"/>
          <w:szCs w:val="24"/>
          <w:u w:val="single"/>
        </w:rPr>
        <w:t xml:space="preserve"> 2013</w:t>
      </w:r>
      <w:r w:rsidRPr="005733DB">
        <w:rPr>
          <w:sz w:val="24"/>
          <w:szCs w:val="24"/>
        </w:rPr>
        <w:t>. If within this period no objections are received from Member States, the draft Recommendation</w:t>
      </w:r>
      <w:r w:rsidRPr="000A30A1">
        <w:rPr>
          <w:sz w:val="24"/>
          <w:szCs w:val="24"/>
        </w:rPr>
        <w:t>s</w:t>
      </w:r>
      <w:r w:rsidRPr="005733DB">
        <w:rPr>
          <w:sz w:val="24"/>
          <w:szCs w:val="24"/>
        </w:rPr>
        <w:t xml:space="preserve"> shall be considered to be adopted by Study Group </w:t>
      </w:r>
      <w:r w:rsidR="004D2BC0" w:rsidRPr="005733DB">
        <w:rPr>
          <w:sz w:val="24"/>
          <w:szCs w:val="24"/>
        </w:rPr>
        <w:t>4</w:t>
      </w:r>
      <w:r w:rsidRPr="005733DB">
        <w:rPr>
          <w:sz w:val="24"/>
          <w:szCs w:val="24"/>
        </w:rPr>
        <w:t>. Furthermore, since the PSAA procedure has been followed, the draft Recommendation</w:t>
      </w:r>
      <w:r w:rsidRPr="000A30A1">
        <w:rPr>
          <w:sz w:val="24"/>
          <w:szCs w:val="24"/>
        </w:rPr>
        <w:t>s</w:t>
      </w:r>
      <w:r w:rsidRPr="005733DB">
        <w:rPr>
          <w:sz w:val="24"/>
          <w:szCs w:val="24"/>
        </w:rPr>
        <w:t xml:space="preserve"> shall also be considered as approved. </w:t>
      </w:r>
    </w:p>
    <w:p w:rsidR="004A7970" w:rsidRPr="005733DB" w:rsidRDefault="004A7970" w:rsidP="00B500FB">
      <w:pPr>
        <w:tabs>
          <w:tab w:val="left" w:pos="0"/>
          <w:tab w:val="left" w:pos="1134"/>
          <w:tab w:val="left" w:pos="3119"/>
        </w:tabs>
        <w:spacing w:after="240"/>
        <w:rPr>
          <w:sz w:val="24"/>
          <w:szCs w:val="24"/>
        </w:rPr>
      </w:pPr>
      <w:r w:rsidRPr="005733DB">
        <w:rPr>
          <w:sz w:val="24"/>
          <w:szCs w:val="24"/>
        </w:rPr>
        <w:t>Any Member State who objects to the adoption of a draft Recommendation is requested to inform the Director and the Chairman of the Study Group of the reasons for the objection.</w:t>
      </w:r>
    </w:p>
    <w:p w:rsidR="004A7970" w:rsidRPr="005733DB" w:rsidRDefault="004A7970" w:rsidP="004D2BC0">
      <w:pPr>
        <w:rPr>
          <w:sz w:val="24"/>
          <w:szCs w:val="24"/>
        </w:rPr>
      </w:pPr>
      <w:r w:rsidRPr="005733DB">
        <w:rPr>
          <w:sz w:val="24"/>
          <w:szCs w:val="24"/>
        </w:rPr>
        <w:t>After the above-mentioned deadline, the results of the PSAA procedure will be announced in an Administrative Circular and the approved Recommendation</w:t>
      </w:r>
      <w:r w:rsidRPr="000A30A1">
        <w:rPr>
          <w:sz w:val="24"/>
          <w:szCs w:val="24"/>
        </w:rPr>
        <w:t>s</w:t>
      </w:r>
      <w:r w:rsidRPr="005733DB">
        <w:rPr>
          <w:sz w:val="24"/>
          <w:szCs w:val="24"/>
        </w:rPr>
        <w:t xml:space="preserve"> will be published as soon as practicable (see </w:t>
      </w:r>
      <w:hyperlink r:id="rId9" w:history="1">
        <w:r w:rsidRPr="005733DB">
          <w:rPr>
            <w:rStyle w:val="Hyperlink"/>
            <w:sz w:val="24"/>
            <w:szCs w:val="24"/>
          </w:rPr>
          <w:t>http://www.itu.int/pub/R-REC</w:t>
        </w:r>
      </w:hyperlink>
      <w:r w:rsidRPr="005733DB">
        <w:rPr>
          <w:sz w:val="24"/>
          <w:szCs w:val="24"/>
        </w:rPr>
        <w:t xml:space="preserve">). </w:t>
      </w:r>
    </w:p>
    <w:p w:rsidR="004A7970" w:rsidRPr="005733DB" w:rsidRDefault="004A7970">
      <w:pPr>
        <w:spacing w:before="136"/>
        <w:rPr>
          <w:sz w:val="24"/>
          <w:szCs w:val="24"/>
        </w:rPr>
      </w:pPr>
      <w:r w:rsidRPr="005733DB">
        <w:br w:type="page"/>
      </w:r>
      <w:r w:rsidRPr="005733DB">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733DB">
        <w:rPr>
          <w:sz w:val="24"/>
          <w:szCs w:val="24"/>
        </w:rPr>
        <w:noBreakHyphen/>
        <w:t>T/ITU</w:t>
      </w:r>
      <w:r w:rsidRPr="005733DB">
        <w:rPr>
          <w:sz w:val="24"/>
          <w:szCs w:val="24"/>
        </w:rPr>
        <w:noBreakHyphen/>
        <w:t>R/ISO/IEC is available at</w:t>
      </w:r>
      <w:r w:rsidR="00B57F3C" w:rsidRPr="005733DB">
        <w:rPr>
          <w:rStyle w:val="Hyperlink"/>
          <w:sz w:val="24"/>
          <w:szCs w:val="24"/>
        </w:rPr>
        <w:t xml:space="preserve"> </w:t>
      </w:r>
      <w:hyperlink r:id="rId10" w:history="1">
        <w:r w:rsidR="00B57F3C" w:rsidRPr="000A30A1">
          <w:rPr>
            <w:rStyle w:val="Hyperlink"/>
            <w:sz w:val="24"/>
            <w:szCs w:val="24"/>
          </w:rPr>
          <w:t>http://www.itu.int/en/ITU-T/ipr/Pages/policy.aspx</w:t>
        </w:r>
      </w:hyperlink>
      <w:r w:rsidRPr="005733DB">
        <w:rPr>
          <w:sz w:val="24"/>
          <w:szCs w:val="24"/>
        </w:rPr>
        <w:t>.</w:t>
      </w:r>
    </w:p>
    <w:p w:rsidR="004A7970" w:rsidRPr="005733DB" w:rsidRDefault="004A7970" w:rsidP="00904ECB">
      <w:pPr>
        <w:spacing w:before="1418" w:line="240" w:lineRule="auto"/>
        <w:jc w:val="left"/>
        <w:rPr>
          <w:rFonts w:asciiTheme="minorHAnsi" w:hAnsiTheme="minorHAnsi" w:cstheme="minorHAnsi"/>
          <w:sz w:val="24"/>
          <w:szCs w:val="24"/>
        </w:rPr>
      </w:pPr>
      <w:r w:rsidRPr="005733DB">
        <w:rPr>
          <w:rFonts w:asciiTheme="minorHAnsi" w:hAnsiTheme="minorHAnsi" w:cstheme="minorHAnsi"/>
          <w:sz w:val="24"/>
          <w:szCs w:val="24"/>
        </w:rPr>
        <w:t>François Rancy</w:t>
      </w:r>
    </w:p>
    <w:p w:rsidR="004A7970" w:rsidRPr="005733DB" w:rsidRDefault="004A7970" w:rsidP="004A7970">
      <w:pPr>
        <w:spacing w:before="0" w:line="240" w:lineRule="auto"/>
        <w:jc w:val="left"/>
        <w:rPr>
          <w:rFonts w:asciiTheme="minorHAnsi" w:hAnsiTheme="minorHAnsi" w:cstheme="minorHAnsi"/>
          <w:sz w:val="24"/>
          <w:szCs w:val="24"/>
        </w:rPr>
      </w:pPr>
      <w:r w:rsidRPr="005733DB">
        <w:rPr>
          <w:rFonts w:asciiTheme="minorHAnsi" w:hAnsiTheme="minorHAnsi" w:cstheme="minorHAnsi"/>
          <w:sz w:val="24"/>
          <w:szCs w:val="24"/>
        </w:rPr>
        <w:t>Director</w:t>
      </w:r>
    </w:p>
    <w:p w:rsidR="004A7970" w:rsidRPr="005733DB" w:rsidRDefault="004A7970" w:rsidP="004A7970">
      <w:pPr>
        <w:ind w:left="1191" w:hanging="1191"/>
        <w:rPr>
          <w:u w:val="single"/>
        </w:rPr>
      </w:pPr>
    </w:p>
    <w:p w:rsidR="004A7970" w:rsidRPr="005733DB" w:rsidRDefault="004A7970" w:rsidP="004A7970">
      <w:pPr>
        <w:ind w:left="1191" w:hanging="1191"/>
        <w:rPr>
          <w:u w:val="single"/>
        </w:rPr>
      </w:pPr>
    </w:p>
    <w:p w:rsidR="004A7970" w:rsidRPr="005733DB" w:rsidRDefault="00C23D00" w:rsidP="00C23D00">
      <w:pPr>
        <w:ind w:left="1191" w:hanging="1191"/>
        <w:rPr>
          <w:sz w:val="24"/>
          <w:szCs w:val="24"/>
        </w:rPr>
      </w:pPr>
      <w:r>
        <w:rPr>
          <w:b/>
          <w:bCs/>
          <w:sz w:val="24"/>
          <w:szCs w:val="24"/>
        </w:rPr>
        <w:t>Annex</w:t>
      </w:r>
      <w:r w:rsidR="004A7970" w:rsidRPr="005733DB">
        <w:rPr>
          <w:b/>
          <w:bCs/>
          <w:sz w:val="24"/>
          <w:szCs w:val="24"/>
        </w:rPr>
        <w:t>:</w:t>
      </w:r>
      <w:r w:rsidR="004A7970" w:rsidRPr="005733DB">
        <w:rPr>
          <w:sz w:val="24"/>
          <w:szCs w:val="24"/>
        </w:rPr>
        <w:t xml:space="preserve"> </w:t>
      </w:r>
      <w:r w:rsidR="004A7970" w:rsidRPr="005733DB">
        <w:rPr>
          <w:sz w:val="24"/>
          <w:szCs w:val="24"/>
        </w:rPr>
        <w:tab/>
        <w:t>Title</w:t>
      </w:r>
      <w:r w:rsidR="004A7970" w:rsidRPr="000A30A1">
        <w:rPr>
          <w:sz w:val="24"/>
          <w:szCs w:val="24"/>
        </w:rPr>
        <w:t>s</w:t>
      </w:r>
      <w:r w:rsidR="004A7970" w:rsidRPr="005733DB">
        <w:rPr>
          <w:sz w:val="24"/>
          <w:szCs w:val="24"/>
        </w:rPr>
        <w:t xml:space="preserve"> and summar</w:t>
      </w:r>
      <w:r w:rsidR="004A7970" w:rsidRPr="000A30A1">
        <w:rPr>
          <w:sz w:val="24"/>
          <w:szCs w:val="24"/>
        </w:rPr>
        <w:t>ies</w:t>
      </w:r>
      <w:r w:rsidR="004A7970" w:rsidRPr="005733DB">
        <w:rPr>
          <w:sz w:val="24"/>
          <w:szCs w:val="24"/>
        </w:rPr>
        <w:t xml:space="preserve"> of the draft Recommendation</w:t>
      </w:r>
      <w:r w:rsidR="004A7970" w:rsidRPr="000A30A1">
        <w:rPr>
          <w:sz w:val="24"/>
          <w:szCs w:val="24"/>
        </w:rPr>
        <w:t>s</w:t>
      </w:r>
    </w:p>
    <w:p w:rsidR="004A7970" w:rsidRPr="004F2B5D" w:rsidRDefault="004F2B5D" w:rsidP="000A30A1">
      <w:pPr>
        <w:tabs>
          <w:tab w:val="clear" w:pos="1588"/>
          <w:tab w:val="clear" w:pos="1985"/>
        </w:tabs>
        <w:jc w:val="left"/>
        <w:rPr>
          <w:sz w:val="24"/>
          <w:szCs w:val="24"/>
        </w:rPr>
      </w:pPr>
      <w:r w:rsidRPr="004F2B5D">
        <w:rPr>
          <w:b/>
          <w:bCs/>
          <w:sz w:val="24"/>
          <w:szCs w:val="24"/>
        </w:rPr>
        <w:t xml:space="preserve">Attached </w:t>
      </w:r>
      <w:r w:rsidR="004A7970" w:rsidRPr="004F2B5D">
        <w:rPr>
          <w:b/>
          <w:bCs/>
          <w:sz w:val="24"/>
          <w:szCs w:val="24"/>
        </w:rPr>
        <w:t>Documents:</w:t>
      </w:r>
      <w:r w:rsidR="00200767">
        <w:rPr>
          <w:b/>
          <w:bCs/>
          <w:sz w:val="24"/>
          <w:szCs w:val="24"/>
        </w:rPr>
        <w:t xml:space="preserve"> </w:t>
      </w:r>
      <w:bookmarkStart w:id="0" w:name="_GoBack"/>
      <w:bookmarkEnd w:id="0"/>
      <w:r w:rsidR="004D2BC0" w:rsidRPr="004F2B5D">
        <w:rPr>
          <w:sz w:val="24"/>
          <w:szCs w:val="24"/>
        </w:rPr>
        <w:t>Documents 4/</w:t>
      </w:r>
      <w:r w:rsidR="00A96925" w:rsidRPr="004F2B5D">
        <w:rPr>
          <w:sz w:val="24"/>
          <w:szCs w:val="24"/>
        </w:rPr>
        <w:t>28</w:t>
      </w:r>
      <w:r w:rsidR="004A7970" w:rsidRPr="004F2B5D">
        <w:rPr>
          <w:sz w:val="24"/>
          <w:szCs w:val="24"/>
        </w:rPr>
        <w:t>(Rev.1)</w:t>
      </w:r>
      <w:r w:rsidR="004D2BC0" w:rsidRPr="004F2B5D">
        <w:rPr>
          <w:sz w:val="24"/>
          <w:szCs w:val="24"/>
        </w:rPr>
        <w:t>, 4/37(Rev.1), 4/38(Rev.1), 4/40(Rev.1), 4/43(Rev.1)</w:t>
      </w:r>
    </w:p>
    <w:p w:rsidR="004A7970" w:rsidRPr="005733DB" w:rsidRDefault="004A7970" w:rsidP="004D2BC0">
      <w:pPr>
        <w:tabs>
          <w:tab w:val="clear" w:pos="1588"/>
          <w:tab w:val="left" w:pos="2552"/>
        </w:tabs>
        <w:rPr>
          <w:sz w:val="24"/>
          <w:szCs w:val="24"/>
        </w:rPr>
      </w:pPr>
      <w:r w:rsidRPr="000A30A1">
        <w:rPr>
          <w:sz w:val="24"/>
          <w:szCs w:val="24"/>
        </w:rPr>
        <w:t xml:space="preserve">These documents are available in electronic format at: </w:t>
      </w:r>
      <w:hyperlink r:id="rId11" w:history="1">
        <w:r w:rsidR="004D2BC0" w:rsidRPr="005733DB">
          <w:rPr>
            <w:rStyle w:val="Hyperlink"/>
            <w:sz w:val="24"/>
            <w:szCs w:val="24"/>
          </w:rPr>
          <w:t>http://www.itu.int/md/R12-SG04-C/en</w:t>
        </w:r>
      </w:hyperlink>
    </w:p>
    <w:p w:rsidR="004A7970" w:rsidRPr="005733DB" w:rsidRDefault="004A7970" w:rsidP="004A7970">
      <w:pPr>
        <w:tabs>
          <w:tab w:val="left" w:pos="284"/>
          <w:tab w:val="left" w:pos="568"/>
        </w:tabs>
        <w:spacing w:before="1920" w:after="60"/>
        <w:rPr>
          <w:sz w:val="24"/>
          <w:szCs w:val="24"/>
          <w:u w:val="single"/>
        </w:rPr>
      </w:pPr>
    </w:p>
    <w:p w:rsidR="004A7970" w:rsidRPr="005733DB" w:rsidRDefault="004A7970" w:rsidP="00332776">
      <w:pPr>
        <w:tabs>
          <w:tab w:val="left" w:pos="284"/>
          <w:tab w:val="left" w:pos="568"/>
        </w:tabs>
        <w:spacing w:before="2760" w:after="60"/>
        <w:rPr>
          <w:b/>
          <w:bCs/>
          <w:sz w:val="18"/>
          <w:szCs w:val="18"/>
        </w:rPr>
      </w:pPr>
      <w:r w:rsidRPr="005733DB">
        <w:rPr>
          <w:b/>
          <w:bCs/>
          <w:sz w:val="18"/>
          <w:szCs w:val="18"/>
        </w:rPr>
        <w:t>Distribution:</w:t>
      </w:r>
    </w:p>
    <w:p w:rsidR="0077406E" w:rsidRPr="005733DB"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Administrations of Member States of the ITU and Radiocommunication Sector Members</w:t>
      </w:r>
    </w:p>
    <w:p w:rsidR="004A7970" w:rsidRPr="005733DB" w:rsidRDefault="0077406E" w:rsidP="004D2BC0">
      <w:pPr>
        <w:tabs>
          <w:tab w:val="left" w:pos="567"/>
          <w:tab w:val="left" w:pos="6237"/>
        </w:tabs>
        <w:spacing w:before="0" w:line="240" w:lineRule="auto"/>
        <w:ind w:left="794" w:hanging="794"/>
        <w:rPr>
          <w:rFonts w:asciiTheme="minorHAnsi" w:hAnsiTheme="minorHAnsi" w:cstheme="minorHAnsi"/>
          <w:sz w:val="18"/>
          <w:szCs w:val="18"/>
        </w:rPr>
      </w:pPr>
      <w:r w:rsidRPr="005733DB">
        <w:rPr>
          <w:rFonts w:asciiTheme="minorHAnsi" w:hAnsiTheme="minorHAnsi" w:cstheme="minorHAnsi"/>
          <w:sz w:val="18"/>
          <w:szCs w:val="18"/>
        </w:rPr>
        <w:tab/>
      </w:r>
      <w:r w:rsidR="004A7970" w:rsidRPr="005733DB">
        <w:rPr>
          <w:rFonts w:asciiTheme="minorHAnsi" w:hAnsiTheme="minorHAnsi" w:cstheme="minorHAnsi"/>
          <w:sz w:val="18"/>
          <w:szCs w:val="18"/>
        </w:rPr>
        <w:t>participating</w:t>
      </w:r>
      <w:r w:rsidRPr="005733DB">
        <w:rPr>
          <w:rFonts w:asciiTheme="minorHAnsi" w:hAnsiTheme="minorHAnsi" w:cstheme="minorHAnsi"/>
          <w:sz w:val="18"/>
          <w:szCs w:val="18"/>
        </w:rPr>
        <w:t xml:space="preserve"> </w:t>
      </w:r>
      <w:r w:rsidR="004A7970" w:rsidRPr="005733DB">
        <w:rPr>
          <w:rFonts w:asciiTheme="minorHAnsi" w:hAnsiTheme="minorHAnsi" w:cstheme="minorHAnsi"/>
          <w:sz w:val="18"/>
          <w:szCs w:val="18"/>
        </w:rPr>
        <w:t>in the work of</w:t>
      </w:r>
      <w:r w:rsidRPr="005733DB">
        <w:rPr>
          <w:rFonts w:asciiTheme="minorHAnsi" w:hAnsiTheme="minorHAnsi" w:cstheme="minorHAnsi"/>
          <w:sz w:val="18"/>
          <w:szCs w:val="18"/>
        </w:rPr>
        <w:t xml:space="preserve"> </w:t>
      </w:r>
      <w:r w:rsidR="004A7970" w:rsidRPr="005733DB">
        <w:rPr>
          <w:rFonts w:asciiTheme="minorHAnsi" w:hAnsiTheme="minorHAnsi" w:cstheme="minorHAnsi"/>
          <w:sz w:val="18"/>
          <w:szCs w:val="18"/>
        </w:rPr>
        <w:t xml:space="preserve">Radiocommunication Study Group </w:t>
      </w:r>
      <w:r w:rsidR="004D2BC0" w:rsidRPr="005733DB">
        <w:rPr>
          <w:rFonts w:asciiTheme="minorHAnsi" w:hAnsiTheme="minorHAnsi" w:cstheme="minorHAnsi"/>
          <w:sz w:val="18"/>
          <w:szCs w:val="18"/>
        </w:rPr>
        <w:t>4</w:t>
      </w:r>
    </w:p>
    <w:p w:rsidR="004A7970" w:rsidRPr="005733DB" w:rsidRDefault="004A7970" w:rsidP="004D2BC0">
      <w:pPr>
        <w:tabs>
          <w:tab w:val="left" w:pos="567"/>
          <w:tab w:val="left" w:pos="6237"/>
        </w:tabs>
        <w:spacing w:before="0" w:line="240" w:lineRule="auto"/>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 xml:space="preserve">ITU-R Associates participating in the work of Radiocommunication Study Group </w:t>
      </w:r>
      <w:r w:rsidR="004D2BC0" w:rsidRPr="005733DB">
        <w:rPr>
          <w:rFonts w:asciiTheme="minorHAnsi" w:hAnsiTheme="minorHAnsi" w:cstheme="minorHAnsi"/>
          <w:sz w:val="18"/>
          <w:szCs w:val="18"/>
        </w:rPr>
        <w:t>4</w:t>
      </w:r>
    </w:p>
    <w:p w:rsidR="0077406E" w:rsidRPr="005733DB"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Chairmen and Vice-Chairmen of Radiocommunication Study Groups and the Special Committee</w:t>
      </w:r>
    </w:p>
    <w:p w:rsidR="004A7970" w:rsidRPr="005733DB"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5733DB">
        <w:rPr>
          <w:rFonts w:asciiTheme="minorHAnsi" w:hAnsiTheme="minorHAnsi" w:cstheme="minorHAnsi"/>
          <w:sz w:val="18"/>
          <w:szCs w:val="18"/>
        </w:rPr>
        <w:tab/>
      </w:r>
      <w:r w:rsidR="004A7970" w:rsidRPr="005733DB">
        <w:rPr>
          <w:rFonts w:asciiTheme="minorHAnsi" w:hAnsiTheme="minorHAnsi" w:cstheme="minorHAnsi"/>
          <w:sz w:val="18"/>
          <w:szCs w:val="18"/>
        </w:rPr>
        <w:t>on Regulatory/Procedural Matters</w:t>
      </w:r>
    </w:p>
    <w:p w:rsidR="004A7970" w:rsidRPr="005733DB" w:rsidRDefault="004A7970" w:rsidP="00B500FB">
      <w:pPr>
        <w:tabs>
          <w:tab w:val="left" w:pos="567"/>
          <w:tab w:val="left" w:pos="6237"/>
        </w:tabs>
        <w:spacing w:before="0" w:line="240" w:lineRule="auto"/>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Chairman and Vice-Chairmen of the Conference Preparatory Meeting</w:t>
      </w:r>
    </w:p>
    <w:p w:rsidR="004A7970" w:rsidRPr="005733DB" w:rsidRDefault="004A7970" w:rsidP="00B500FB">
      <w:pPr>
        <w:tabs>
          <w:tab w:val="left" w:pos="567"/>
          <w:tab w:val="left" w:pos="6237"/>
        </w:tabs>
        <w:spacing w:before="0" w:line="240" w:lineRule="auto"/>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Members of the Radio Regulations Board</w:t>
      </w:r>
    </w:p>
    <w:p w:rsidR="0077406E" w:rsidRPr="005733DB" w:rsidRDefault="004A7970" w:rsidP="00B500FB">
      <w:pPr>
        <w:pStyle w:val="BodyTextIndent"/>
        <w:jc w:val="both"/>
        <w:rPr>
          <w:rFonts w:asciiTheme="minorHAnsi" w:hAnsiTheme="minorHAnsi" w:cstheme="minorHAnsi"/>
          <w:sz w:val="18"/>
          <w:szCs w:val="18"/>
        </w:rPr>
      </w:pPr>
      <w:r w:rsidRPr="005733DB">
        <w:rPr>
          <w:rFonts w:asciiTheme="minorHAnsi" w:hAnsiTheme="minorHAnsi" w:cstheme="minorHAnsi"/>
          <w:sz w:val="18"/>
          <w:szCs w:val="18"/>
        </w:rPr>
        <w:t>–</w:t>
      </w:r>
      <w:r w:rsidRPr="005733DB">
        <w:rPr>
          <w:rFonts w:asciiTheme="minorHAnsi" w:hAnsiTheme="minorHAnsi" w:cstheme="minorHAnsi"/>
          <w:sz w:val="18"/>
          <w:szCs w:val="18"/>
        </w:rPr>
        <w:tab/>
        <w:t xml:space="preserve">Secretary-General of the ITU, Director of the Telecommunication Standardization Bureau, </w:t>
      </w:r>
    </w:p>
    <w:p w:rsidR="004A7970" w:rsidRPr="005733DB" w:rsidRDefault="0077406E" w:rsidP="0077406E">
      <w:pPr>
        <w:pStyle w:val="BodyTextIndent"/>
        <w:jc w:val="both"/>
        <w:rPr>
          <w:rFonts w:asciiTheme="minorHAnsi" w:hAnsiTheme="minorHAnsi" w:cstheme="minorHAnsi"/>
          <w:sz w:val="18"/>
          <w:szCs w:val="18"/>
        </w:rPr>
      </w:pPr>
      <w:r w:rsidRPr="005733DB">
        <w:rPr>
          <w:rFonts w:asciiTheme="minorHAnsi" w:hAnsiTheme="minorHAnsi" w:cstheme="minorHAnsi"/>
          <w:sz w:val="18"/>
          <w:szCs w:val="18"/>
        </w:rPr>
        <w:tab/>
      </w:r>
      <w:r w:rsidR="004A7970" w:rsidRPr="005733DB">
        <w:rPr>
          <w:rFonts w:asciiTheme="minorHAnsi" w:hAnsiTheme="minorHAnsi" w:cstheme="minorHAnsi"/>
          <w:sz w:val="18"/>
          <w:szCs w:val="18"/>
        </w:rPr>
        <w:t>Director of the Telecommunication</w:t>
      </w:r>
      <w:r w:rsidR="004D2BC0" w:rsidRPr="005733DB">
        <w:rPr>
          <w:rFonts w:asciiTheme="minorHAnsi" w:hAnsiTheme="minorHAnsi" w:cstheme="minorHAnsi"/>
          <w:sz w:val="18"/>
          <w:szCs w:val="18"/>
        </w:rPr>
        <w:t xml:space="preserve"> </w:t>
      </w:r>
      <w:r w:rsidR="004A7970" w:rsidRPr="005733DB">
        <w:rPr>
          <w:rFonts w:asciiTheme="minorHAnsi" w:hAnsiTheme="minorHAnsi" w:cstheme="minorHAnsi"/>
          <w:sz w:val="18"/>
          <w:szCs w:val="18"/>
        </w:rPr>
        <w:t>Development Bureau</w:t>
      </w:r>
    </w:p>
    <w:p w:rsidR="004A7970" w:rsidRPr="005733DB" w:rsidRDefault="004A7970" w:rsidP="00C23D00">
      <w:pPr>
        <w:pStyle w:val="AnnexNotitle0"/>
        <w:rPr>
          <w:rFonts w:asciiTheme="minorHAnsi" w:hAnsiTheme="minorHAnsi" w:cstheme="minorHAnsi"/>
          <w:szCs w:val="28"/>
        </w:rPr>
      </w:pPr>
      <w:r w:rsidRPr="005733DB">
        <w:br w:type="page"/>
      </w:r>
      <w:r w:rsidR="00C23D00">
        <w:rPr>
          <w:rFonts w:asciiTheme="minorHAnsi" w:hAnsiTheme="minorHAnsi" w:cstheme="minorHAnsi"/>
          <w:szCs w:val="28"/>
        </w:rPr>
        <w:lastRenderedPageBreak/>
        <w:t xml:space="preserve">Annex </w:t>
      </w:r>
      <w:r w:rsidR="00C23D00">
        <w:rPr>
          <w:rFonts w:asciiTheme="minorHAnsi" w:hAnsiTheme="minorHAnsi" w:cstheme="minorHAnsi"/>
          <w:szCs w:val="28"/>
        </w:rPr>
        <w:br/>
      </w:r>
      <w:r w:rsidR="00C23D00">
        <w:rPr>
          <w:rFonts w:asciiTheme="minorHAnsi" w:hAnsiTheme="minorHAnsi" w:cstheme="minorHAnsi"/>
          <w:szCs w:val="28"/>
        </w:rPr>
        <w:br/>
      </w:r>
      <w:r w:rsidRPr="005733DB">
        <w:rPr>
          <w:rFonts w:asciiTheme="minorHAnsi" w:hAnsiTheme="minorHAnsi" w:cstheme="minorHAnsi"/>
          <w:szCs w:val="28"/>
        </w:rPr>
        <w:t>Title</w:t>
      </w:r>
      <w:r w:rsidRPr="000A30A1">
        <w:rPr>
          <w:rFonts w:asciiTheme="minorHAnsi" w:hAnsiTheme="minorHAnsi" w:cstheme="minorHAnsi"/>
          <w:szCs w:val="28"/>
        </w:rPr>
        <w:t>s</w:t>
      </w:r>
      <w:r w:rsidRPr="005733DB">
        <w:rPr>
          <w:rFonts w:asciiTheme="minorHAnsi" w:hAnsiTheme="minorHAnsi" w:cstheme="minorHAnsi"/>
          <w:szCs w:val="28"/>
        </w:rPr>
        <w:t xml:space="preserve"> and summar</w:t>
      </w:r>
      <w:r w:rsidRPr="000A30A1">
        <w:rPr>
          <w:rFonts w:asciiTheme="minorHAnsi" w:hAnsiTheme="minorHAnsi" w:cstheme="minorHAnsi"/>
          <w:szCs w:val="28"/>
        </w:rPr>
        <w:t>ies</w:t>
      </w:r>
      <w:r w:rsidRPr="005733DB">
        <w:rPr>
          <w:rFonts w:asciiTheme="minorHAnsi" w:hAnsiTheme="minorHAnsi" w:cstheme="minorHAnsi"/>
          <w:szCs w:val="28"/>
        </w:rPr>
        <w:t xml:space="preserve"> of the draft Recommendation</w:t>
      </w:r>
      <w:r w:rsidRPr="000A30A1">
        <w:rPr>
          <w:rFonts w:asciiTheme="minorHAnsi" w:hAnsiTheme="minorHAnsi" w:cstheme="minorHAnsi"/>
          <w:szCs w:val="28"/>
        </w:rPr>
        <w:t>s</w:t>
      </w:r>
    </w:p>
    <w:p w:rsidR="004A7970" w:rsidRPr="005733DB" w:rsidRDefault="004A7970" w:rsidP="004A7970">
      <w:pPr>
        <w:rPr>
          <w:rFonts w:asciiTheme="minorHAnsi" w:hAnsiTheme="minorHAnsi" w:cstheme="minorHAnsi"/>
          <w:sz w:val="24"/>
          <w:szCs w:val="24"/>
        </w:rPr>
      </w:pPr>
    </w:p>
    <w:p w:rsidR="004A7970" w:rsidRPr="005733DB" w:rsidRDefault="00204BCD" w:rsidP="00A96925">
      <w:pPr>
        <w:tabs>
          <w:tab w:val="right" w:pos="794"/>
          <w:tab w:val="right" w:pos="9639"/>
        </w:tabs>
        <w:spacing w:before="360"/>
        <w:rPr>
          <w:rStyle w:val="href"/>
          <w:sz w:val="24"/>
          <w:szCs w:val="24"/>
        </w:rPr>
      </w:pPr>
      <w:r w:rsidRPr="005733DB">
        <w:rPr>
          <w:rFonts w:asciiTheme="minorHAnsi" w:hAnsiTheme="minorHAnsi" w:cstheme="minorHAnsi"/>
          <w:sz w:val="24"/>
          <w:szCs w:val="24"/>
          <w:u w:val="single"/>
        </w:rPr>
        <w:t xml:space="preserve">Draft new Recommendation ITU-R </w:t>
      </w:r>
      <w:r w:rsidRPr="005733DB">
        <w:rPr>
          <w:rStyle w:val="href"/>
          <w:sz w:val="24"/>
          <w:szCs w:val="24"/>
          <w:u w:val="single"/>
        </w:rPr>
        <w:t>M.[MSS 400 MHz]-0</w:t>
      </w:r>
      <w:r w:rsidRPr="005733DB">
        <w:rPr>
          <w:rStyle w:val="href"/>
          <w:sz w:val="24"/>
          <w:szCs w:val="24"/>
        </w:rPr>
        <w:tab/>
        <w:t>Doc. 4/37(Rev.1)</w:t>
      </w:r>
    </w:p>
    <w:p w:rsidR="00204BCD" w:rsidRPr="005733DB" w:rsidRDefault="00204BCD" w:rsidP="00C23D00">
      <w:pPr>
        <w:tabs>
          <w:tab w:val="right" w:pos="794"/>
          <w:tab w:val="right" w:pos="9639"/>
        </w:tabs>
        <w:spacing w:before="360"/>
        <w:jc w:val="center"/>
        <w:rPr>
          <w:b/>
          <w:bCs/>
          <w:sz w:val="28"/>
          <w:szCs w:val="28"/>
        </w:rPr>
      </w:pPr>
      <w:r w:rsidRPr="005733DB">
        <w:rPr>
          <w:b/>
          <w:bCs/>
          <w:sz w:val="28"/>
          <w:szCs w:val="28"/>
        </w:rPr>
        <w:t>Characteristics and protection criteria for non-geostationary mobile-satellite service systems operating in the band 399.9-400.05 MHz</w:t>
      </w:r>
    </w:p>
    <w:p w:rsidR="007C32F0" w:rsidRPr="005733DB" w:rsidRDefault="007C32F0" w:rsidP="00A96925">
      <w:pPr>
        <w:textAlignment w:val="auto"/>
        <w:rPr>
          <w:sz w:val="24"/>
          <w:szCs w:val="24"/>
        </w:rPr>
      </w:pPr>
      <w:r w:rsidRPr="005733DB">
        <w:rPr>
          <w:sz w:val="24"/>
          <w:szCs w:val="24"/>
        </w:rPr>
        <w:t>This Recommendation provides a description, and the corresponding protection criteria for broadband noise and narrow-band interference, of a mobile-satellite service system that uses the 399.9-400.05 MHz frequency band (Earth-to-space).</w:t>
      </w:r>
    </w:p>
    <w:p w:rsidR="00204BCD" w:rsidRPr="005733DB" w:rsidRDefault="00204BCD" w:rsidP="00EA02A7">
      <w:pPr>
        <w:tabs>
          <w:tab w:val="right" w:pos="794"/>
          <w:tab w:val="right" w:pos="9639"/>
        </w:tabs>
        <w:spacing w:before="480"/>
        <w:rPr>
          <w:rStyle w:val="href"/>
          <w:sz w:val="24"/>
          <w:szCs w:val="24"/>
        </w:rPr>
      </w:pPr>
      <w:r w:rsidRPr="005733DB">
        <w:rPr>
          <w:rFonts w:asciiTheme="minorHAnsi" w:hAnsiTheme="minorHAnsi" w:cstheme="minorHAnsi"/>
          <w:sz w:val="24"/>
          <w:szCs w:val="24"/>
          <w:u w:val="single"/>
        </w:rPr>
        <w:t xml:space="preserve">Draft new Recommendation ITU-R </w:t>
      </w:r>
      <w:r w:rsidRPr="005733DB">
        <w:rPr>
          <w:rStyle w:val="href"/>
          <w:sz w:val="24"/>
          <w:szCs w:val="24"/>
          <w:u w:val="single"/>
        </w:rPr>
        <w:t>M.[IMT-ADVANCED-SAT]-0</w:t>
      </w:r>
      <w:r w:rsidRPr="005733DB">
        <w:rPr>
          <w:rStyle w:val="href"/>
          <w:sz w:val="24"/>
          <w:szCs w:val="24"/>
        </w:rPr>
        <w:tab/>
        <w:t>Doc. 4/40(Rev.1)</w:t>
      </w:r>
    </w:p>
    <w:p w:rsidR="007C32F0" w:rsidRPr="005733DB" w:rsidRDefault="007C32F0" w:rsidP="007C32F0">
      <w:pPr>
        <w:pStyle w:val="Rectitle"/>
      </w:pPr>
      <w:r w:rsidRPr="005733DB">
        <w:t xml:space="preserve">Detailed specifications of the </w:t>
      </w:r>
      <w:r w:rsidRPr="005733DB">
        <w:rPr>
          <w:lang w:eastAsia="ko-KR"/>
        </w:rPr>
        <w:t xml:space="preserve">satellite </w:t>
      </w:r>
      <w:r w:rsidRPr="005733DB">
        <w:t>radio interfaces of International Mobile Telecommunications-Advanced (IMT-Advanced)</w:t>
      </w:r>
    </w:p>
    <w:p w:rsidR="007C32F0" w:rsidRPr="005733DB" w:rsidRDefault="007C32F0" w:rsidP="00A96925">
      <w:pPr>
        <w:rPr>
          <w:sz w:val="24"/>
          <w:szCs w:val="24"/>
        </w:rPr>
      </w:pPr>
      <w:r w:rsidRPr="005733DB">
        <w:rPr>
          <w:sz w:val="24"/>
          <w:szCs w:val="24"/>
        </w:rPr>
        <w:t xml:space="preserve">This </w:t>
      </w:r>
      <w:r w:rsidRPr="005733DB">
        <w:rPr>
          <w:sz w:val="24"/>
          <w:szCs w:val="24"/>
          <w:lang w:eastAsia="ko-KR"/>
        </w:rPr>
        <w:t xml:space="preserve">new </w:t>
      </w:r>
      <w:r w:rsidRPr="005733DB">
        <w:rPr>
          <w:sz w:val="24"/>
          <w:szCs w:val="24"/>
        </w:rPr>
        <w:t xml:space="preserve">Recommendation identifies the </w:t>
      </w:r>
      <w:r w:rsidRPr="005733DB">
        <w:rPr>
          <w:sz w:val="24"/>
          <w:szCs w:val="24"/>
          <w:lang w:eastAsia="zh-CN"/>
        </w:rPr>
        <w:t xml:space="preserve">satellite </w:t>
      </w:r>
      <w:r w:rsidRPr="005733DB">
        <w:rPr>
          <w:sz w:val="24"/>
          <w:szCs w:val="24"/>
        </w:rPr>
        <w:t>radio interface technologies of International Mobile Telecommunications-Advanced (IMT-Advanced)</w:t>
      </w:r>
      <w:r w:rsidRPr="005733DB">
        <w:rPr>
          <w:sz w:val="24"/>
          <w:szCs w:val="24"/>
          <w:lang w:eastAsia="ko-KR"/>
        </w:rPr>
        <w:t xml:space="preserve">, SAT-OFDM and BMsat, and </w:t>
      </w:r>
      <w:r w:rsidRPr="005733DB">
        <w:rPr>
          <w:sz w:val="24"/>
          <w:szCs w:val="24"/>
        </w:rPr>
        <w:t>provides the detailed radio interface specifications.</w:t>
      </w:r>
    </w:p>
    <w:p w:rsidR="007C32F0" w:rsidRDefault="007C32F0" w:rsidP="007C32F0">
      <w:pPr>
        <w:ind w:right="-284"/>
        <w:rPr>
          <w:sz w:val="24"/>
          <w:szCs w:val="24"/>
        </w:rPr>
      </w:pPr>
      <w:r w:rsidRPr="005733DB">
        <w:rPr>
          <w:sz w:val="24"/>
          <w:szCs w:val="24"/>
        </w:rPr>
        <w:t xml:space="preserve">These radio interface specifications detail the features and parameters of </w:t>
      </w:r>
      <w:r w:rsidRPr="005733DB">
        <w:rPr>
          <w:sz w:val="24"/>
          <w:szCs w:val="24"/>
          <w:lang w:eastAsia="zh-CN"/>
        </w:rPr>
        <w:t xml:space="preserve">the satellite component of </w:t>
      </w:r>
      <w:r w:rsidRPr="005733DB">
        <w:rPr>
          <w:sz w:val="24"/>
          <w:szCs w:val="24"/>
        </w:rPr>
        <w:t>IMT-Advanced. This Recommendation includes the capability to ensure world-wide compatibility, international roaming, and access to high-speed data services.</w:t>
      </w:r>
    </w:p>
    <w:p w:rsidR="00A96925" w:rsidRDefault="00A96925" w:rsidP="00EA02A7">
      <w:pPr>
        <w:tabs>
          <w:tab w:val="right" w:pos="9639"/>
        </w:tabs>
        <w:spacing w:before="480"/>
        <w:ind w:right="-284"/>
        <w:rPr>
          <w:rStyle w:val="href"/>
          <w:sz w:val="24"/>
          <w:szCs w:val="24"/>
        </w:rPr>
      </w:pPr>
      <w:r w:rsidRPr="005733DB">
        <w:rPr>
          <w:rFonts w:asciiTheme="minorHAnsi" w:hAnsiTheme="minorHAnsi" w:cstheme="minorHAnsi"/>
          <w:sz w:val="24"/>
          <w:szCs w:val="24"/>
          <w:u w:val="single"/>
        </w:rPr>
        <w:t>Draft revis</w:t>
      </w:r>
      <w:r>
        <w:rPr>
          <w:rFonts w:asciiTheme="minorHAnsi" w:hAnsiTheme="minorHAnsi" w:cstheme="minorHAnsi"/>
          <w:sz w:val="24"/>
          <w:szCs w:val="24"/>
          <w:u w:val="single"/>
        </w:rPr>
        <w:t>ion of</w:t>
      </w:r>
      <w:r w:rsidRPr="005733DB">
        <w:rPr>
          <w:rFonts w:asciiTheme="minorHAnsi" w:hAnsiTheme="minorHAnsi" w:cstheme="minorHAnsi"/>
          <w:sz w:val="24"/>
          <w:szCs w:val="24"/>
          <w:u w:val="single"/>
        </w:rPr>
        <w:t xml:space="preserve"> Recommendation ITU-R </w:t>
      </w:r>
      <w:r>
        <w:rPr>
          <w:rStyle w:val="href"/>
          <w:sz w:val="24"/>
          <w:szCs w:val="24"/>
          <w:u w:val="single"/>
        </w:rPr>
        <w:t>SF.674-2</w:t>
      </w:r>
      <w:r>
        <w:rPr>
          <w:rStyle w:val="href"/>
          <w:sz w:val="24"/>
          <w:szCs w:val="24"/>
        </w:rPr>
        <w:tab/>
        <w:t>Doc. 4/28(Rev.1)</w:t>
      </w:r>
    </w:p>
    <w:p w:rsidR="00A96925" w:rsidRDefault="00A96925" w:rsidP="00A96925">
      <w:pPr>
        <w:pStyle w:val="Rectitle"/>
      </w:pPr>
      <w:bookmarkStart w:id="1" w:name="Pre_title"/>
      <w:r w:rsidRPr="00186288">
        <w:t>Determination of the impact on the fixe</w:t>
      </w:r>
      <w:r>
        <w:t>d service operating in the 11.7-</w:t>
      </w:r>
      <w:r w:rsidRPr="00186288">
        <w:t>12.2 GHz band when geostationary fixed-satellite service networks in Region 2 exceed power flux-density thresholds in Resolution 77 (WRC-2000)</w:t>
      </w:r>
      <w:bookmarkEnd w:id="1"/>
    </w:p>
    <w:p w:rsidR="00A96925" w:rsidRPr="00C23D00" w:rsidRDefault="00A96925" w:rsidP="002C1D68">
      <w:pPr>
        <w:rPr>
          <w:sz w:val="24"/>
          <w:szCs w:val="24"/>
          <w:lang w:eastAsia="ja-JP"/>
        </w:rPr>
      </w:pPr>
      <w:r w:rsidRPr="00C23D00">
        <w:rPr>
          <w:sz w:val="24"/>
          <w:szCs w:val="24"/>
          <w:lang w:eastAsia="ja-JP"/>
        </w:rPr>
        <w:t>This revision add</w:t>
      </w:r>
      <w:r w:rsidR="002C1D68">
        <w:rPr>
          <w:sz w:val="24"/>
          <w:szCs w:val="24"/>
          <w:lang w:eastAsia="ja-JP"/>
        </w:rPr>
        <w:t xml:space="preserve">s </w:t>
      </w:r>
      <w:r w:rsidRPr="00C23D00">
        <w:rPr>
          <w:sz w:val="24"/>
          <w:szCs w:val="24"/>
          <w:lang w:eastAsia="ja-JP"/>
        </w:rPr>
        <w:t>the scope, updat</w:t>
      </w:r>
      <w:r w:rsidR="002C1D68">
        <w:rPr>
          <w:sz w:val="24"/>
          <w:szCs w:val="24"/>
          <w:lang w:eastAsia="ja-JP"/>
        </w:rPr>
        <w:t>es</w:t>
      </w:r>
      <w:r w:rsidRPr="00C23D00">
        <w:rPr>
          <w:sz w:val="24"/>
          <w:szCs w:val="24"/>
          <w:lang w:eastAsia="ja-JP"/>
        </w:rPr>
        <w:t xml:space="preserve"> old texts in relation to the results of past World Radiocommunication Conferences </w:t>
      </w:r>
      <w:r w:rsidR="002C1D68">
        <w:rPr>
          <w:sz w:val="24"/>
          <w:szCs w:val="24"/>
          <w:lang w:eastAsia="ja-JP"/>
        </w:rPr>
        <w:t xml:space="preserve">and deletes the </w:t>
      </w:r>
      <w:r w:rsidRPr="00C23D00">
        <w:rPr>
          <w:sz w:val="24"/>
          <w:szCs w:val="24"/>
          <w:lang w:eastAsia="ja-JP"/>
        </w:rPr>
        <w:t>old Appendix 1 to Annex 1 dealing with the interference to analogue fixed service systems.</w:t>
      </w:r>
    </w:p>
    <w:p w:rsidR="00EA02A7" w:rsidRDefault="00EA02A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7C32F0" w:rsidRPr="005733DB" w:rsidRDefault="007C32F0" w:rsidP="00A96925">
      <w:pPr>
        <w:tabs>
          <w:tab w:val="right" w:pos="9639"/>
        </w:tabs>
        <w:spacing w:before="360"/>
        <w:rPr>
          <w:rStyle w:val="href"/>
          <w:sz w:val="24"/>
          <w:szCs w:val="24"/>
        </w:rPr>
      </w:pPr>
      <w:r w:rsidRPr="005733DB">
        <w:rPr>
          <w:rFonts w:asciiTheme="minorHAnsi" w:hAnsiTheme="minorHAnsi" w:cstheme="minorHAnsi"/>
          <w:sz w:val="24"/>
          <w:szCs w:val="24"/>
          <w:u w:val="single"/>
        </w:rPr>
        <w:lastRenderedPageBreak/>
        <w:t>Draft revis</w:t>
      </w:r>
      <w:r w:rsidR="00A96925">
        <w:rPr>
          <w:rFonts w:asciiTheme="minorHAnsi" w:hAnsiTheme="minorHAnsi" w:cstheme="minorHAnsi"/>
          <w:sz w:val="24"/>
          <w:szCs w:val="24"/>
          <w:u w:val="single"/>
        </w:rPr>
        <w:t>ion of</w:t>
      </w:r>
      <w:r w:rsidRPr="005733DB">
        <w:rPr>
          <w:rFonts w:asciiTheme="minorHAnsi" w:hAnsiTheme="minorHAnsi" w:cstheme="minorHAnsi"/>
          <w:sz w:val="24"/>
          <w:szCs w:val="24"/>
          <w:u w:val="single"/>
        </w:rPr>
        <w:t xml:space="preserve"> Recommendation ITU-R </w:t>
      </w:r>
      <w:r w:rsidRPr="005733DB">
        <w:rPr>
          <w:rStyle w:val="href"/>
          <w:sz w:val="24"/>
          <w:szCs w:val="24"/>
          <w:u w:val="single"/>
        </w:rPr>
        <w:t>M.1901-0</w:t>
      </w:r>
      <w:r w:rsidRPr="005733DB">
        <w:rPr>
          <w:rStyle w:val="href"/>
          <w:sz w:val="24"/>
          <w:szCs w:val="24"/>
        </w:rPr>
        <w:tab/>
        <w:t>Doc. 4/38(Rev.1)</w:t>
      </w:r>
    </w:p>
    <w:p w:rsidR="007C32F0" w:rsidRPr="005733DB" w:rsidRDefault="007C32F0" w:rsidP="007C32F0">
      <w:pPr>
        <w:pStyle w:val="Rectitle"/>
      </w:pPr>
      <w:r w:rsidRPr="005733DB">
        <w:rPr>
          <w:lang w:eastAsia="ja-JP"/>
        </w:rPr>
        <w:t xml:space="preserve">Guidance on ITU-R Recommendations related to systems and networks in the radionavigation-satellite service operating in the frequency bands </w:t>
      </w:r>
      <w:r w:rsidRPr="005733DB">
        <w:rPr>
          <w:lang w:eastAsia="ja-JP"/>
        </w:rPr>
        <w:br/>
      </w:r>
      <w:r w:rsidRPr="005733DB">
        <w:t xml:space="preserve">1 164-1 215 MHz, 1 215-1 300 MHz, 1 559-1 610 MHz, </w:t>
      </w:r>
      <w:r w:rsidRPr="005733DB">
        <w:br/>
        <w:t>5 000-5 010 MHz and 5 010-5 030 MHz</w:t>
      </w:r>
    </w:p>
    <w:p w:rsidR="00C23D00" w:rsidRDefault="007C32F0" w:rsidP="00A96925">
      <w:pPr>
        <w:textAlignment w:val="auto"/>
        <w:rPr>
          <w:sz w:val="24"/>
          <w:szCs w:val="24"/>
        </w:rPr>
      </w:pPr>
      <w:r w:rsidRPr="005733DB">
        <w:rPr>
          <w:sz w:val="24"/>
          <w:szCs w:val="24"/>
        </w:rPr>
        <w:t>ITU-R has approved Recommendations ITU-R M.2030 and ITU-R M.2031 so this has been reflected in the draft revision o</w:t>
      </w:r>
      <w:r w:rsidR="00C23D00">
        <w:rPr>
          <w:sz w:val="24"/>
          <w:szCs w:val="24"/>
        </w:rPr>
        <w:t xml:space="preserve">f Recommendation ITU-R M.1901. </w:t>
      </w:r>
      <w:r w:rsidRPr="005733DB">
        <w:rPr>
          <w:sz w:val="24"/>
          <w:szCs w:val="24"/>
        </w:rPr>
        <w:t xml:space="preserve">The specific consequential changes reflecting this are deletion of the </w:t>
      </w:r>
      <w:r w:rsidRPr="005733DB">
        <w:rPr>
          <w:i/>
          <w:sz w:val="24"/>
          <w:szCs w:val="24"/>
        </w:rPr>
        <w:t>noting further</w:t>
      </w:r>
      <w:r w:rsidRPr="005733DB">
        <w:rPr>
          <w:sz w:val="24"/>
          <w:szCs w:val="24"/>
        </w:rPr>
        <w:t xml:space="preserve">, and the addition of new </w:t>
      </w:r>
      <w:r w:rsidRPr="005733DB">
        <w:rPr>
          <w:i/>
          <w:sz w:val="24"/>
          <w:szCs w:val="24"/>
        </w:rPr>
        <w:t>recognizings</w:t>
      </w:r>
      <w:r w:rsidRPr="005733DB">
        <w:rPr>
          <w:sz w:val="24"/>
          <w:szCs w:val="24"/>
        </w:rPr>
        <w:t xml:space="preserve"> </w:t>
      </w:r>
      <w:r w:rsidRPr="005733DB">
        <w:rPr>
          <w:i/>
          <w:sz w:val="24"/>
          <w:szCs w:val="24"/>
        </w:rPr>
        <w:t>c)</w:t>
      </w:r>
      <w:r w:rsidRPr="005733DB">
        <w:rPr>
          <w:sz w:val="24"/>
          <w:szCs w:val="24"/>
        </w:rPr>
        <w:t xml:space="preserve"> and </w:t>
      </w:r>
      <w:r w:rsidRPr="005733DB">
        <w:rPr>
          <w:i/>
          <w:sz w:val="24"/>
          <w:szCs w:val="24"/>
        </w:rPr>
        <w:t>f)</w:t>
      </w:r>
      <w:r w:rsidR="00C23D00">
        <w:rPr>
          <w:sz w:val="24"/>
          <w:szCs w:val="24"/>
        </w:rPr>
        <w:t>.</w:t>
      </w:r>
    </w:p>
    <w:p w:rsidR="007C32F0" w:rsidRPr="005733DB" w:rsidRDefault="007C32F0" w:rsidP="00A96925">
      <w:pPr>
        <w:textAlignment w:val="auto"/>
        <w:rPr>
          <w:sz w:val="24"/>
          <w:szCs w:val="24"/>
        </w:rPr>
      </w:pPr>
      <w:r w:rsidRPr="005733DB">
        <w:rPr>
          <w:sz w:val="24"/>
          <w:szCs w:val="24"/>
        </w:rPr>
        <w:t xml:space="preserve">At the same time, following the guidance provided by the new ITU-R Recommendations format document, the </w:t>
      </w:r>
      <w:r w:rsidRPr="005733DB">
        <w:rPr>
          <w:i/>
          <w:sz w:val="24"/>
          <w:szCs w:val="24"/>
        </w:rPr>
        <w:t>notings</w:t>
      </w:r>
      <w:r w:rsidRPr="005733DB">
        <w:rPr>
          <w:sz w:val="24"/>
          <w:szCs w:val="24"/>
        </w:rPr>
        <w:t xml:space="preserve"> have been changed to </w:t>
      </w:r>
      <w:r w:rsidRPr="005733DB">
        <w:rPr>
          <w:i/>
          <w:sz w:val="24"/>
          <w:szCs w:val="24"/>
        </w:rPr>
        <w:t>recognizings</w:t>
      </w:r>
      <w:r w:rsidRPr="005733DB">
        <w:rPr>
          <w:sz w:val="24"/>
          <w:szCs w:val="24"/>
        </w:rPr>
        <w:t xml:space="preserve"> because</w:t>
      </w:r>
      <w:r w:rsidR="00EA02A7">
        <w:rPr>
          <w:sz w:val="24"/>
          <w:szCs w:val="24"/>
        </w:rPr>
        <w:t xml:space="preserve"> they reference ITU documents. </w:t>
      </w:r>
      <w:r w:rsidRPr="005733DB">
        <w:rPr>
          <w:sz w:val="24"/>
          <w:szCs w:val="24"/>
        </w:rPr>
        <w:t xml:space="preserve">Some editorial and formatting improvements have also been made to </w:t>
      </w:r>
      <w:r w:rsidR="002256B0">
        <w:rPr>
          <w:sz w:val="24"/>
          <w:szCs w:val="24"/>
        </w:rPr>
        <w:t>Annex</w:t>
      </w:r>
      <w:r w:rsidR="009A35C9">
        <w:rPr>
          <w:sz w:val="24"/>
          <w:szCs w:val="24"/>
        </w:rPr>
        <w:t xml:space="preserve"> 1</w:t>
      </w:r>
      <w:r w:rsidRPr="005733DB">
        <w:rPr>
          <w:sz w:val="24"/>
          <w:szCs w:val="24"/>
        </w:rPr>
        <w:t>.</w:t>
      </w:r>
    </w:p>
    <w:p w:rsidR="007C32F0" w:rsidRPr="005733DB" w:rsidRDefault="007C32F0" w:rsidP="00EA02A7">
      <w:pPr>
        <w:tabs>
          <w:tab w:val="right" w:pos="9639"/>
        </w:tabs>
        <w:spacing w:before="480"/>
        <w:rPr>
          <w:rStyle w:val="href"/>
          <w:sz w:val="24"/>
          <w:szCs w:val="24"/>
        </w:rPr>
      </w:pPr>
      <w:r w:rsidRPr="005733DB">
        <w:rPr>
          <w:rFonts w:asciiTheme="minorHAnsi" w:hAnsiTheme="minorHAnsi" w:cstheme="minorHAnsi"/>
          <w:sz w:val="24"/>
          <w:szCs w:val="24"/>
          <w:u w:val="single"/>
        </w:rPr>
        <w:t>Draft revis</w:t>
      </w:r>
      <w:r w:rsidR="00A96925">
        <w:rPr>
          <w:rFonts w:asciiTheme="minorHAnsi" w:hAnsiTheme="minorHAnsi" w:cstheme="minorHAnsi"/>
          <w:sz w:val="24"/>
          <w:szCs w:val="24"/>
          <w:u w:val="single"/>
        </w:rPr>
        <w:t>ion</w:t>
      </w:r>
      <w:r w:rsidRPr="005733DB">
        <w:rPr>
          <w:rFonts w:asciiTheme="minorHAnsi" w:hAnsiTheme="minorHAnsi" w:cstheme="minorHAnsi"/>
          <w:sz w:val="24"/>
          <w:szCs w:val="24"/>
          <w:u w:val="single"/>
        </w:rPr>
        <w:t xml:space="preserve"> </w:t>
      </w:r>
      <w:r w:rsidR="0029374F">
        <w:rPr>
          <w:rFonts w:asciiTheme="minorHAnsi" w:hAnsiTheme="minorHAnsi" w:cstheme="minorHAnsi"/>
          <w:sz w:val="24"/>
          <w:szCs w:val="24"/>
          <w:u w:val="single"/>
        </w:rPr>
        <w:t xml:space="preserve">of </w:t>
      </w:r>
      <w:r w:rsidRPr="005733DB">
        <w:rPr>
          <w:rFonts w:asciiTheme="minorHAnsi" w:hAnsiTheme="minorHAnsi" w:cstheme="minorHAnsi"/>
          <w:sz w:val="24"/>
          <w:szCs w:val="24"/>
          <w:u w:val="single"/>
        </w:rPr>
        <w:t xml:space="preserve">Recommendation ITU-R </w:t>
      </w:r>
      <w:r w:rsidRPr="005733DB">
        <w:rPr>
          <w:rStyle w:val="href"/>
          <w:sz w:val="24"/>
          <w:szCs w:val="24"/>
          <w:u w:val="single"/>
        </w:rPr>
        <w:t>S.1503-1</w:t>
      </w:r>
      <w:r w:rsidRPr="005733DB">
        <w:rPr>
          <w:rStyle w:val="href"/>
          <w:sz w:val="24"/>
          <w:szCs w:val="24"/>
        </w:rPr>
        <w:tab/>
        <w:t>Doc. 4/43(Rev.1)</w:t>
      </w:r>
    </w:p>
    <w:p w:rsidR="007C32F0" w:rsidRPr="005733DB" w:rsidRDefault="007C32F0" w:rsidP="007C32F0">
      <w:pPr>
        <w:pStyle w:val="Rectitle"/>
      </w:pPr>
      <w:r w:rsidRPr="005733DB">
        <w:t>Functional description to be used in developing software tools for determining conformity of non-geostationary-satellite orbit fixed-satellite system networks with limits contained in Article 22 of the Radio Regulations</w:t>
      </w:r>
    </w:p>
    <w:p w:rsidR="007C32F0" w:rsidRPr="005733DB" w:rsidRDefault="007C32F0" w:rsidP="00A96925">
      <w:pPr>
        <w:rPr>
          <w:sz w:val="24"/>
          <w:szCs w:val="24"/>
        </w:rPr>
      </w:pPr>
      <w:r w:rsidRPr="005733DB">
        <w:rPr>
          <w:sz w:val="24"/>
          <w:szCs w:val="24"/>
        </w:rPr>
        <w:t xml:space="preserve">This ITU-R Recommendation defines the methodology that should be used to calculate whether a non-GSO </w:t>
      </w:r>
      <w:smartTag w:uri="urn:schemas-microsoft-com:office:smarttags" w:element="stockticker">
        <w:r w:rsidRPr="005733DB">
          <w:rPr>
            <w:sz w:val="24"/>
            <w:szCs w:val="24"/>
          </w:rPr>
          <w:t>FSS</w:t>
        </w:r>
      </w:smartTag>
      <w:r w:rsidRPr="005733DB">
        <w:rPr>
          <w:sz w:val="24"/>
          <w:szCs w:val="24"/>
        </w:rPr>
        <w:t xml:space="preserve"> system is in conformity with the equivalent power flux-density (epfd) limits contained within Article </w:t>
      </w:r>
      <w:r w:rsidRPr="005733DB">
        <w:rPr>
          <w:b/>
          <w:bCs/>
          <w:sz w:val="24"/>
          <w:szCs w:val="24"/>
        </w:rPr>
        <w:t>22</w:t>
      </w:r>
      <w:r w:rsidRPr="005733DB">
        <w:rPr>
          <w:sz w:val="24"/>
          <w:szCs w:val="24"/>
        </w:rPr>
        <w:t xml:space="preserve"> of the Radio Regulations. It is applicable to those bands for which epfd limits have been defined. </w:t>
      </w:r>
    </w:p>
    <w:p w:rsidR="007C32F0" w:rsidRPr="005733DB" w:rsidRDefault="007C32F0" w:rsidP="007C32F0">
      <w:pPr>
        <w:rPr>
          <w:sz w:val="24"/>
          <w:szCs w:val="24"/>
        </w:rPr>
      </w:pPr>
      <w:r w:rsidRPr="005733DB">
        <w:rPr>
          <w:sz w:val="24"/>
          <w:szCs w:val="24"/>
        </w:rPr>
        <w:t>The algorithm in this Recommendation has been used as the functional requirements of software tools provided to the BR to check non-GSO systems for conformity with the relevant Articles of the Radio Regulations.</w:t>
      </w:r>
    </w:p>
    <w:p w:rsidR="007C32F0" w:rsidRPr="005733DB" w:rsidRDefault="007C32F0" w:rsidP="00A96925">
      <w:pPr>
        <w:rPr>
          <w:sz w:val="24"/>
          <w:szCs w:val="24"/>
        </w:rPr>
      </w:pPr>
      <w:r w:rsidRPr="005733DB">
        <w:rPr>
          <w:sz w:val="24"/>
          <w:szCs w:val="24"/>
        </w:rPr>
        <w:t>This revision contains the following modifications:</w:t>
      </w:r>
    </w:p>
    <w:p w:rsidR="007C32F0" w:rsidRPr="005733DB" w:rsidRDefault="007C32F0" w:rsidP="00860C55">
      <w:pPr>
        <w:pStyle w:val="enumlev1"/>
        <w:rPr>
          <w:sz w:val="24"/>
          <w:szCs w:val="24"/>
        </w:rPr>
      </w:pPr>
      <w:r w:rsidRPr="005733DB">
        <w:rPr>
          <w:sz w:val="24"/>
          <w:szCs w:val="24"/>
        </w:rPr>
        <w:t>1)</w:t>
      </w:r>
      <w:r w:rsidRPr="005733DB">
        <w:rPr>
          <w:sz w:val="24"/>
          <w:szCs w:val="24"/>
        </w:rPr>
        <w:tab/>
      </w:r>
      <w:r w:rsidR="00860C55">
        <w:rPr>
          <w:sz w:val="24"/>
          <w:szCs w:val="24"/>
        </w:rPr>
        <w:t>e</w:t>
      </w:r>
      <w:r w:rsidRPr="005733DB">
        <w:rPr>
          <w:sz w:val="24"/>
          <w:szCs w:val="24"/>
        </w:rPr>
        <w:t>nhancements to the core algorithm to allow it to analyse a wider variety of non-GSO system orbit types including equatorial circular and highly elliptical constellations;</w:t>
      </w:r>
    </w:p>
    <w:p w:rsidR="007C32F0" w:rsidRPr="005733DB" w:rsidRDefault="00860C55" w:rsidP="007C32F0">
      <w:pPr>
        <w:pStyle w:val="enumlev1"/>
        <w:rPr>
          <w:sz w:val="24"/>
          <w:szCs w:val="24"/>
        </w:rPr>
      </w:pPr>
      <w:r>
        <w:rPr>
          <w:sz w:val="24"/>
          <w:szCs w:val="24"/>
        </w:rPr>
        <w:t>2)</w:t>
      </w:r>
      <w:r>
        <w:rPr>
          <w:sz w:val="24"/>
          <w:szCs w:val="24"/>
        </w:rPr>
        <w:tab/>
        <w:t>e</w:t>
      </w:r>
      <w:r w:rsidR="007C32F0" w:rsidRPr="005733DB">
        <w:rPr>
          <w:sz w:val="24"/>
          <w:szCs w:val="24"/>
        </w:rPr>
        <w:t>nhancements to the worst case geometry algorithm;</w:t>
      </w:r>
    </w:p>
    <w:p w:rsidR="007C32F0" w:rsidRPr="005733DB" w:rsidRDefault="00860C55" w:rsidP="007C32F0">
      <w:pPr>
        <w:pStyle w:val="enumlev1"/>
        <w:rPr>
          <w:sz w:val="24"/>
          <w:szCs w:val="24"/>
        </w:rPr>
      </w:pPr>
      <w:r>
        <w:rPr>
          <w:sz w:val="24"/>
          <w:szCs w:val="24"/>
        </w:rPr>
        <w:t>3)</w:t>
      </w:r>
      <w:r>
        <w:rPr>
          <w:sz w:val="24"/>
          <w:szCs w:val="24"/>
        </w:rPr>
        <w:tab/>
        <w:t>r</w:t>
      </w:r>
      <w:r w:rsidR="007C32F0" w:rsidRPr="005733DB">
        <w:rPr>
          <w:sz w:val="24"/>
          <w:szCs w:val="24"/>
        </w:rPr>
        <w:t>e-structure to improve readability;</w:t>
      </w:r>
    </w:p>
    <w:p w:rsidR="007C32F0" w:rsidRPr="005733DB" w:rsidRDefault="00860C55" w:rsidP="007C32F0">
      <w:pPr>
        <w:pStyle w:val="enumlev1"/>
        <w:rPr>
          <w:sz w:val="24"/>
          <w:szCs w:val="24"/>
        </w:rPr>
      </w:pPr>
      <w:r>
        <w:rPr>
          <w:sz w:val="24"/>
          <w:szCs w:val="24"/>
        </w:rPr>
        <w:t>4)</w:t>
      </w:r>
      <w:r>
        <w:rPr>
          <w:sz w:val="24"/>
          <w:szCs w:val="24"/>
        </w:rPr>
        <w:tab/>
        <w:t>s</w:t>
      </w:r>
      <w:r w:rsidR="007C32F0" w:rsidRPr="005733DB">
        <w:rPr>
          <w:sz w:val="24"/>
          <w:szCs w:val="24"/>
        </w:rPr>
        <w:t>implification by removal of the analytic method not used during the development of software for the BR.</w:t>
      </w:r>
    </w:p>
    <w:p w:rsidR="004A7970" w:rsidRDefault="00C23D00" w:rsidP="00E00517">
      <w:pPr>
        <w:spacing w:before="840"/>
        <w:jc w:val="center"/>
      </w:pPr>
      <w:r>
        <w:t>______________</w:t>
      </w:r>
    </w:p>
    <w:sectPr w:rsidR="004A797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45D9A" w:rsidRDefault="00C23D00" w:rsidP="00C23D00">
    <w:pPr>
      <w:pStyle w:val="Header"/>
      <w:jc w:val="center"/>
      <w:rPr>
        <w:sz w:val="18"/>
        <w:szCs w:val="18"/>
      </w:rPr>
    </w:pPr>
    <w:r>
      <w:rPr>
        <w:sz w:val="18"/>
        <w:szCs w:val="18"/>
      </w:rPr>
      <w:t xml:space="preserve">- </w:t>
    </w:r>
    <w:r w:rsidR="00E915AF" w:rsidRPr="00A45D9A">
      <w:rPr>
        <w:rStyle w:val="PageNumber"/>
        <w:sz w:val="18"/>
        <w:szCs w:val="18"/>
      </w:rPr>
      <w:fldChar w:fldCharType="begin"/>
    </w:r>
    <w:r w:rsidR="00E915AF" w:rsidRPr="00A45D9A">
      <w:rPr>
        <w:rStyle w:val="PageNumber"/>
        <w:sz w:val="18"/>
        <w:szCs w:val="18"/>
      </w:rPr>
      <w:instrText xml:space="preserve"> PAGE </w:instrText>
    </w:r>
    <w:r w:rsidR="00E915AF" w:rsidRPr="00A45D9A">
      <w:rPr>
        <w:rStyle w:val="PageNumber"/>
        <w:sz w:val="18"/>
        <w:szCs w:val="18"/>
      </w:rPr>
      <w:fldChar w:fldCharType="separate"/>
    </w:r>
    <w:r w:rsidR="00200767">
      <w:rPr>
        <w:rStyle w:val="PageNumber"/>
        <w:noProof/>
        <w:sz w:val="18"/>
        <w:szCs w:val="18"/>
      </w:rPr>
      <w:t>2</w:t>
    </w:r>
    <w:r w:rsidR="00E915AF" w:rsidRPr="00A45D9A">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9A" w:rsidRPr="00A45D9A" w:rsidRDefault="00C23D00" w:rsidP="00C23D00">
    <w:pPr>
      <w:pStyle w:val="Header"/>
      <w:jc w:val="center"/>
      <w:rPr>
        <w:sz w:val="18"/>
        <w:szCs w:val="18"/>
      </w:rPr>
    </w:pPr>
    <w:r>
      <w:rPr>
        <w:sz w:val="18"/>
        <w:szCs w:val="18"/>
      </w:rPr>
      <w:t>-</w:t>
    </w:r>
    <w:r w:rsidR="00A45D9A" w:rsidRPr="00A45D9A">
      <w:rPr>
        <w:sz w:val="18"/>
        <w:szCs w:val="18"/>
      </w:rPr>
      <w:t xml:space="preserve"> </w:t>
    </w:r>
    <w:r w:rsidR="00A45D9A" w:rsidRPr="00A45D9A">
      <w:rPr>
        <w:rStyle w:val="PageNumber"/>
        <w:sz w:val="18"/>
        <w:szCs w:val="18"/>
      </w:rPr>
      <w:fldChar w:fldCharType="begin"/>
    </w:r>
    <w:r w:rsidR="00A45D9A" w:rsidRPr="00A45D9A">
      <w:rPr>
        <w:rStyle w:val="PageNumber"/>
        <w:sz w:val="18"/>
        <w:szCs w:val="18"/>
      </w:rPr>
      <w:instrText xml:space="preserve"> PAGE </w:instrText>
    </w:r>
    <w:r w:rsidR="00A45D9A" w:rsidRPr="00A45D9A">
      <w:rPr>
        <w:rStyle w:val="PageNumber"/>
        <w:sz w:val="18"/>
        <w:szCs w:val="18"/>
      </w:rPr>
      <w:fldChar w:fldCharType="separate"/>
    </w:r>
    <w:r w:rsidR="00200767">
      <w:rPr>
        <w:rStyle w:val="PageNumber"/>
        <w:noProof/>
        <w:sz w:val="18"/>
        <w:szCs w:val="18"/>
      </w:rPr>
      <w:t>3</w:t>
    </w:r>
    <w:r w:rsidR="00A45D9A" w:rsidRPr="00A45D9A">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072450F0"/>
    <w:lvl w:ilvl="0" w:tplc="7D5A591E">
      <w:start w:val="27"/>
      <w:numFmt w:val="bullet"/>
      <w:lvlText w:val="–"/>
      <w:lvlJc w:val="left"/>
      <w:pPr>
        <w:tabs>
          <w:tab w:val="num" w:pos="360"/>
        </w:tabs>
        <w:ind w:left="360" w:hanging="360"/>
      </w:pPr>
      <w:rPr>
        <w:rFonts w:ascii="Times New Roman" w:eastAsia="Times New Roman" w:hAnsi="Times New Roman" w:hint="default"/>
        <w:b/>
        <w:bC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0A1"/>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40E"/>
    <w:rsid w:val="00187CA3"/>
    <w:rsid w:val="001963DF"/>
    <w:rsid w:val="00196710"/>
    <w:rsid w:val="00197324"/>
    <w:rsid w:val="001B351B"/>
    <w:rsid w:val="001C06DB"/>
    <w:rsid w:val="001C6971"/>
    <w:rsid w:val="001D2785"/>
    <w:rsid w:val="001D7070"/>
    <w:rsid w:val="001F2170"/>
    <w:rsid w:val="001F3948"/>
    <w:rsid w:val="001F5A49"/>
    <w:rsid w:val="00200767"/>
    <w:rsid w:val="00201097"/>
    <w:rsid w:val="00201B6E"/>
    <w:rsid w:val="00204BCD"/>
    <w:rsid w:val="002256B0"/>
    <w:rsid w:val="002302B3"/>
    <w:rsid w:val="00230C66"/>
    <w:rsid w:val="00235A29"/>
    <w:rsid w:val="00241526"/>
    <w:rsid w:val="002443A2"/>
    <w:rsid w:val="00266E74"/>
    <w:rsid w:val="00283C3B"/>
    <w:rsid w:val="002861E6"/>
    <w:rsid w:val="00287D18"/>
    <w:rsid w:val="0029374F"/>
    <w:rsid w:val="002A2618"/>
    <w:rsid w:val="002A5DD7"/>
    <w:rsid w:val="002B0CAC"/>
    <w:rsid w:val="002C1D68"/>
    <w:rsid w:val="002D5A15"/>
    <w:rsid w:val="002D5BDD"/>
    <w:rsid w:val="002E3D27"/>
    <w:rsid w:val="002F0890"/>
    <w:rsid w:val="002F2531"/>
    <w:rsid w:val="002F4967"/>
    <w:rsid w:val="00316935"/>
    <w:rsid w:val="00325C48"/>
    <w:rsid w:val="003266ED"/>
    <w:rsid w:val="00332776"/>
    <w:rsid w:val="003370B8"/>
    <w:rsid w:val="00345D38"/>
    <w:rsid w:val="00352097"/>
    <w:rsid w:val="003666FF"/>
    <w:rsid w:val="0037309C"/>
    <w:rsid w:val="00380A6E"/>
    <w:rsid w:val="003836D4"/>
    <w:rsid w:val="003931E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2BC0"/>
    <w:rsid w:val="004D733B"/>
    <w:rsid w:val="004E0DC4"/>
    <w:rsid w:val="004E0FB5"/>
    <w:rsid w:val="004E43BB"/>
    <w:rsid w:val="004E460D"/>
    <w:rsid w:val="004F178E"/>
    <w:rsid w:val="004F2B5D"/>
    <w:rsid w:val="004F4543"/>
    <w:rsid w:val="004F57BB"/>
    <w:rsid w:val="00505309"/>
    <w:rsid w:val="0050789B"/>
    <w:rsid w:val="005224A1"/>
    <w:rsid w:val="00534372"/>
    <w:rsid w:val="00543DF8"/>
    <w:rsid w:val="00546101"/>
    <w:rsid w:val="00553DD7"/>
    <w:rsid w:val="005638CF"/>
    <w:rsid w:val="0056741E"/>
    <w:rsid w:val="0057325A"/>
    <w:rsid w:val="005733DB"/>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21C"/>
    <w:rsid w:val="007234B1"/>
    <w:rsid w:val="00723D08"/>
    <w:rsid w:val="00725FDA"/>
    <w:rsid w:val="00727816"/>
    <w:rsid w:val="00730B9A"/>
    <w:rsid w:val="00750CFA"/>
    <w:rsid w:val="007553DA"/>
    <w:rsid w:val="0077406E"/>
    <w:rsid w:val="00782354"/>
    <w:rsid w:val="007921A7"/>
    <w:rsid w:val="007B3DB1"/>
    <w:rsid w:val="007C32F0"/>
    <w:rsid w:val="007D183E"/>
    <w:rsid w:val="007D43D0"/>
    <w:rsid w:val="007E1833"/>
    <w:rsid w:val="007E3F13"/>
    <w:rsid w:val="007F751A"/>
    <w:rsid w:val="00800012"/>
    <w:rsid w:val="0080261F"/>
    <w:rsid w:val="00806160"/>
    <w:rsid w:val="008143A4"/>
    <w:rsid w:val="0081513E"/>
    <w:rsid w:val="00854131"/>
    <w:rsid w:val="0085652D"/>
    <w:rsid w:val="00860C55"/>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35C9"/>
    <w:rsid w:val="009A6BB6"/>
    <w:rsid w:val="009B3F43"/>
    <w:rsid w:val="009B5CFA"/>
    <w:rsid w:val="009C161F"/>
    <w:rsid w:val="009C39A2"/>
    <w:rsid w:val="009C56B4"/>
    <w:rsid w:val="009D51A2"/>
    <w:rsid w:val="009E04A8"/>
    <w:rsid w:val="009E4AEC"/>
    <w:rsid w:val="009E5BD8"/>
    <w:rsid w:val="009E681E"/>
    <w:rsid w:val="00A119E6"/>
    <w:rsid w:val="00A20FBC"/>
    <w:rsid w:val="00A31370"/>
    <w:rsid w:val="00A34D6F"/>
    <w:rsid w:val="00A41F91"/>
    <w:rsid w:val="00A43E04"/>
    <w:rsid w:val="00A45D9A"/>
    <w:rsid w:val="00A63355"/>
    <w:rsid w:val="00A7596D"/>
    <w:rsid w:val="00A963DF"/>
    <w:rsid w:val="00A96925"/>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C07319"/>
    <w:rsid w:val="00C16FD2"/>
    <w:rsid w:val="00C23D00"/>
    <w:rsid w:val="00C4395E"/>
    <w:rsid w:val="00C47FFD"/>
    <w:rsid w:val="00C51E92"/>
    <w:rsid w:val="00C57E2C"/>
    <w:rsid w:val="00C608B7"/>
    <w:rsid w:val="00C66F24"/>
    <w:rsid w:val="00C76D7F"/>
    <w:rsid w:val="00C813AA"/>
    <w:rsid w:val="00C818D7"/>
    <w:rsid w:val="00C9066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0517"/>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02A7"/>
    <w:rsid w:val="00EA15B3"/>
    <w:rsid w:val="00EA2056"/>
    <w:rsid w:val="00EB2358"/>
    <w:rsid w:val="00EB3EB8"/>
    <w:rsid w:val="00EC02FE"/>
    <w:rsid w:val="00EC4A96"/>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enumlev10">
    <w:name w:val="enumlev1 Знак"/>
    <w:link w:val="enumlev1"/>
    <w:rsid w:val="007C32F0"/>
    <w:rPr>
      <w:sz w:val="22"/>
      <w:szCs w:val="22"/>
      <w:lang w:val="en-US" w:eastAsia="en-US"/>
    </w:rPr>
  </w:style>
  <w:style w:type="table" w:styleId="TableGrid">
    <w:name w:val="Table Grid"/>
    <w:basedOn w:val="TableNormal"/>
    <w:rsid w:val="00573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23D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enumlev10">
    <w:name w:val="enumlev1 Знак"/>
    <w:link w:val="enumlev1"/>
    <w:rsid w:val="007C32F0"/>
    <w:rPr>
      <w:sz w:val="22"/>
      <w:szCs w:val="22"/>
      <w:lang w:val="en-US" w:eastAsia="en-US"/>
    </w:rPr>
  </w:style>
  <w:style w:type="table" w:styleId="TableGrid">
    <w:name w:val="Table Grid"/>
    <w:basedOn w:val="TableNormal"/>
    <w:rsid w:val="00573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23D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3D42-953A-4870-B927-CDB834AE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78</TotalTime>
  <Pages>4</Pages>
  <Words>941</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19</cp:revision>
  <cp:lastPrinted>2013-10-18T09:04:00Z</cp:lastPrinted>
  <dcterms:created xsi:type="dcterms:W3CDTF">2013-10-18T07:06:00Z</dcterms:created>
  <dcterms:modified xsi:type="dcterms:W3CDTF">2013-10-25T11:21:00Z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