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154A1B" w:rsidRPr="00985D70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985D70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985D70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154DCC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rtl/>
                <w:lang w:eastAsia="fr-CH" w:bidi="ar-SY"/>
              </w:rPr>
            </w:pPr>
          </w:p>
        </w:tc>
      </w:tr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B83DAF" w:rsidRPr="00985D70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985D70" w:rsidTr="00BF3448">
        <w:tc>
          <w:tcPr>
            <w:tcW w:w="6912" w:type="dxa"/>
            <w:gridSpan w:val="2"/>
            <w:shd w:val="clear" w:color="auto" w:fill="auto"/>
          </w:tcPr>
          <w:p w:rsidR="00B77485" w:rsidRPr="00985D70" w:rsidRDefault="00B77485" w:rsidP="00141FB5">
            <w:pPr>
              <w:rPr>
                <w:rtl/>
                <w:lang w:bidi="ar-SY"/>
              </w:rPr>
            </w:pPr>
            <w:r w:rsidRPr="00985D70">
              <w:rPr>
                <w:rFonts w:hint="cs"/>
                <w:rtl/>
                <w:lang w:bidi="ar-AE"/>
              </w:rPr>
              <w:t xml:space="preserve">الرسالة </w:t>
            </w:r>
            <w:r w:rsidR="00FB05F7" w:rsidRPr="00985D70">
              <w:rPr>
                <w:rFonts w:hint="cs"/>
                <w:rtl/>
                <w:lang w:bidi="ar-AE"/>
              </w:rPr>
              <w:t xml:space="preserve">الإدارية </w:t>
            </w:r>
            <w:r w:rsidRPr="00985D70">
              <w:rPr>
                <w:rFonts w:hint="cs"/>
                <w:rtl/>
                <w:lang w:bidi="ar-AE"/>
              </w:rPr>
              <w:t>ال</w:t>
            </w:r>
            <w:r w:rsidR="003F47F3" w:rsidRPr="00985D70">
              <w:rPr>
                <w:rFonts w:hint="cs"/>
                <w:rtl/>
                <w:lang w:bidi="ar-AE"/>
              </w:rPr>
              <w:t>‍</w:t>
            </w:r>
            <w:r w:rsidRPr="00985D70">
              <w:rPr>
                <w:rFonts w:hint="cs"/>
                <w:rtl/>
                <w:lang w:bidi="ar-AE"/>
              </w:rPr>
              <w:t>معممة</w:t>
            </w:r>
            <w:r w:rsidR="0040641C" w:rsidRPr="00985D70">
              <w:rPr>
                <w:rtl/>
                <w:lang w:bidi="ar-AE"/>
              </w:rPr>
              <w:tab/>
            </w:r>
            <w:r w:rsidR="0040641C" w:rsidRPr="00985D70">
              <w:rPr>
                <w:rFonts w:hint="cs"/>
                <w:rtl/>
                <w:lang w:bidi="ar-AE"/>
              </w:rPr>
              <w:br/>
            </w:r>
            <w:r w:rsidR="00FB05F7" w:rsidRPr="00985D70">
              <w:rPr>
                <w:b/>
                <w:bCs/>
              </w:rPr>
              <w:t>CACE</w:t>
            </w:r>
            <w:r w:rsidRPr="00985D70">
              <w:rPr>
                <w:b/>
                <w:bCs/>
              </w:rPr>
              <w:t>/</w:t>
            </w:r>
            <w:r w:rsidR="00141FB5">
              <w:rPr>
                <w:b/>
                <w:bCs/>
              </w:rPr>
              <w:t>637</w:t>
            </w:r>
          </w:p>
        </w:tc>
        <w:tc>
          <w:tcPr>
            <w:tcW w:w="2977" w:type="dxa"/>
            <w:shd w:val="clear" w:color="auto" w:fill="auto"/>
          </w:tcPr>
          <w:p w:rsidR="00B83DAF" w:rsidRPr="00985D70" w:rsidRDefault="00141FB5" w:rsidP="009C790E">
            <w:pPr>
              <w:jc w:val="right"/>
            </w:pPr>
            <w:r>
              <w:t>2</w:t>
            </w:r>
            <w:r w:rsidR="009C790E">
              <w:t>8</w:t>
            </w:r>
            <w:r w:rsidR="00125B91" w:rsidRPr="00985D70">
              <w:rPr>
                <w:rFonts w:hint="cs"/>
                <w:rtl/>
              </w:rPr>
              <w:t xml:space="preserve"> </w:t>
            </w:r>
            <w:r w:rsidR="0047143B">
              <w:rPr>
                <w:rFonts w:hint="cs"/>
                <w:rtl/>
              </w:rPr>
              <w:t>أكتوبر</w:t>
            </w:r>
            <w:r w:rsidR="00125B91" w:rsidRPr="00985D70">
              <w:rPr>
                <w:rFonts w:hint="cs"/>
                <w:rtl/>
              </w:rPr>
              <w:t xml:space="preserve"> </w:t>
            </w:r>
            <w:r w:rsidR="00125B91" w:rsidRPr="00985D70">
              <w:t>2013</w:t>
            </w:r>
          </w:p>
        </w:tc>
      </w:tr>
      <w:tr w:rsidR="00B77485" w:rsidRPr="00985D70" w:rsidTr="006803F9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AA497A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302AE5">
        <w:tc>
          <w:tcPr>
            <w:tcW w:w="9889" w:type="dxa"/>
            <w:gridSpan w:val="3"/>
            <w:shd w:val="clear" w:color="auto" w:fill="auto"/>
          </w:tcPr>
          <w:p w:rsidR="00B77485" w:rsidRPr="00985D70" w:rsidRDefault="00FB05F7" w:rsidP="00C04986">
            <w:pPr>
              <w:spacing w:before="60" w:after="60"/>
              <w:rPr>
                <w:b/>
                <w:bCs/>
                <w:rtl/>
              </w:rPr>
            </w:pPr>
            <w:r w:rsidRPr="00985D70">
              <w:rPr>
                <w:b/>
                <w:bCs/>
                <w:rtl/>
              </w:rPr>
              <w:t>إلى إدارات الدول الأعضاء في الات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حاد وأعضاء قطاع الاتصالات الراديوية</w:t>
            </w:r>
            <w:r w:rsidR="00127558">
              <w:rPr>
                <w:rFonts w:hint="cs"/>
                <w:b/>
                <w:bCs/>
                <w:rtl/>
              </w:rPr>
              <w:t xml:space="preserve"> </w:t>
            </w:r>
            <w:r w:rsidR="003D2E91">
              <w:rPr>
                <w:rFonts w:hint="cs"/>
                <w:b/>
                <w:bCs/>
                <w:rtl/>
              </w:rPr>
              <w:t>و</w:t>
            </w:r>
            <w:r w:rsidRPr="00985D70">
              <w:rPr>
                <w:b/>
                <w:bCs/>
                <w:rtl/>
              </w:rPr>
              <w:t>ال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منتسبين إليه</w:t>
            </w:r>
            <w:r w:rsidR="00C04986">
              <w:rPr>
                <w:rFonts w:hint="cs"/>
                <w:b/>
                <w:bCs/>
                <w:rtl/>
              </w:rPr>
              <w:tab/>
            </w:r>
            <w:r w:rsidR="00C04986">
              <w:rPr>
                <w:b/>
                <w:bCs/>
                <w:rtl/>
              </w:rPr>
              <w:br/>
            </w:r>
            <w:r w:rsidRPr="00985D70">
              <w:rPr>
                <w:b/>
                <w:bCs/>
                <w:rtl/>
              </w:rPr>
              <w:t>ال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مشاركين</w:t>
            </w:r>
            <w:r w:rsidRPr="00985D70">
              <w:rPr>
                <w:rFonts w:hint="cs"/>
                <w:b/>
                <w:bCs/>
                <w:rtl/>
              </w:rPr>
              <w:t> </w:t>
            </w:r>
            <w:r w:rsidRPr="00985D70">
              <w:rPr>
                <w:b/>
                <w:bCs/>
                <w:rtl/>
              </w:rPr>
              <w:t>في أعمال 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 xml:space="preserve">جنة الدراسات </w:t>
            </w:r>
            <w:r w:rsidR="00141FB5">
              <w:rPr>
                <w:b/>
                <w:bCs/>
              </w:rPr>
              <w:t>4</w:t>
            </w:r>
            <w:r w:rsidRPr="00985D70">
              <w:rPr>
                <w:b/>
                <w:bCs/>
                <w:rtl/>
              </w:rPr>
              <w:t xml:space="preserve"> للاتصالات الراديوية</w:t>
            </w:r>
          </w:p>
        </w:tc>
      </w:tr>
      <w:tr w:rsidR="00FB05F7" w:rsidRPr="00985D70" w:rsidTr="00752666">
        <w:tc>
          <w:tcPr>
            <w:tcW w:w="9889" w:type="dxa"/>
            <w:gridSpan w:val="3"/>
            <w:shd w:val="clear" w:color="auto" w:fill="auto"/>
          </w:tcPr>
          <w:p w:rsidR="00FB05F7" w:rsidRPr="00985D70" w:rsidRDefault="00FB05F7" w:rsidP="00B14E56">
            <w:pPr>
              <w:spacing w:before="0"/>
            </w:pPr>
          </w:p>
        </w:tc>
      </w:tr>
      <w:tr w:rsidR="0096482F" w:rsidRPr="00985D70" w:rsidTr="00752666">
        <w:tc>
          <w:tcPr>
            <w:tcW w:w="9889" w:type="dxa"/>
            <w:gridSpan w:val="3"/>
            <w:shd w:val="clear" w:color="auto" w:fill="auto"/>
          </w:tcPr>
          <w:p w:rsidR="0096482F" w:rsidRPr="00985D70" w:rsidRDefault="0096482F" w:rsidP="00B14E56">
            <w:pPr>
              <w:spacing w:before="0"/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  <w:r w:rsidRPr="00985D70">
              <w:rPr>
                <w:rtl/>
              </w:rPr>
              <w:t>ال</w:t>
            </w:r>
            <w:r w:rsidR="00125B91" w:rsidRPr="00985D70">
              <w:rPr>
                <w:rFonts w:hint="cs"/>
                <w:rtl/>
              </w:rPr>
              <w:t>‍</w:t>
            </w:r>
            <w:r w:rsidRPr="00985D70">
              <w:rPr>
                <w:rtl/>
              </w:rPr>
              <w:t>موضوع</w:t>
            </w:r>
            <w:r w:rsidRPr="00985D70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B77485" w:rsidRPr="0053780B" w:rsidRDefault="00FB05F7" w:rsidP="00141FB5">
            <w:pPr>
              <w:rPr>
                <w:b/>
                <w:bCs/>
                <w:rtl/>
                <w:lang w:val="fr-FR"/>
              </w:rPr>
            </w:pPr>
            <w:r w:rsidRPr="0053780B">
              <w:rPr>
                <w:b/>
                <w:bCs/>
                <w:rtl/>
              </w:rPr>
              <w:t>ل</w:t>
            </w:r>
            <w:r w:rsidRPr="0053780B">
              <w:rPr>
                <w:rFonts w:hint="cs"/>
                <w:b/>
                <w:bCs/>
                <w:rtl/>
              </w:rPr>
              <w:t>‍</w:t>
            </w:r>
            <w:r w:rsidRPr="0053780B">
              <w:rPr>
                <w:b/>
                <w:bCs/>
                <w:rtl/>
              </w:rPr>
              <w:t xml:space="preserve">جنة الدراسات </w:t>
            </w:r>
            <w:r w:rsidR="00141FB5">
              <w:rPr>
                <w:b/>
                <w:bCs/>
              </w:rPr>
              <w:t>4</w:t>
            </w:r>
            <w:r w:rsidRPr="0053780B">
              <w:rPr>
                <w:b/>
                <w:bCs/>
                <w:rtl/>
              </w:rPr>
              <w:t xml:space="preserve"> للاتصالات الراديوية</w:t>
            </w:r>
            <w:r w:rsidRPr="0053780B">
              <w:rPr>
                <w:rFonts w:hint="cs"/>
                <w:b/>
                <w:bCs/>
                <w:rtl/>
              </w:rPr>
              <w:t xml:space="preserve"> (</w:t>
            </w:r>
            <w:r w:rsidR="00141FB5">
              <w:rPr>
                <w:rFonts w:hint="cs"/>
                <w:b/>
                <w:bCs/>
                <w:rtl/>
              </w:rPr>
              <w:t>ال</w:t>
            </w:r>
            <w:r w:rsidR="006A7401">
              <w:rPr>
                <w:rFonts w:hint="cs"/>
                <w:b/>
                <w:bCs/>
                <w:rtl/>
              </w:rPr>
              <w:t>‍</w:t>
            </w:r>
            <w:r w:rsidR="00141FB5">
              <w:rPr>
                <w:rFonts w:hint="cs"/>
                <w:b/>
                <w:bCs/>
                <w:rtl/>
              </w:rPr>
              <w:t>خدمات الساتلية</w:t>
            </w:r>
            <w:r w:rsidRPr="0053780B">
              <w:rPr>
                <w:rFonts w:hint="cs"/>
                <w:b/>
                <w:bCs/>
                <w:rtl/>
              </w:rPr>
              <w:t>)</w:t>
            </w:r>
          </w:p>
          <w:p w:rsidR="00F130A4" w:rsidRPr="00141FB5" w:rsidRDefault="00FB05F7" w:rsidP="006A7401">
            <w:pPr>
              <w:tabs>
                <w:tab w:val="clear" w:pos="794"/>
              </w:tabs>
              <w:spacing w:before="60"/>
              <w:ind w:left="425" w:hanging="425"/>
              <w:rPr>
                <w:b/>
                <w:bCs/>
                <w:spacing w:val="-4"/>
                <w:rtl/>
                <w:lang w:bidi="ar-SY"/>
              </w:rPr>
            </w:pPr>
            <w:r w:rsidRPr="0053780B">
              <w:rPr>
                <w:rFonts w:hint="cs"/>
                <w:b/>
                <w:bCs/>
                <w:rtl/>
              </w:rPr>
              <w:t>-</w:t>
            </w:r>
            <w:r w:rsidRPr="0053780B">
              <w:rPr>
                <w:b/>
                <w:bCs/>
                <w:rtl/>
              </w:rPr>
              <w:tab/>
            </w:r>
            <w:r w:rsidR="00141FB5" w:rsidRPr="00831543">
              <w:rPr>
                <w:rFonts w:ascii="Times New Roman Bold" w:hAnsi="Times New Roman Bold" w:hint="cs"/>
                <w:b/>
                <w:bCs/>
                <w:rtl/>
              </w:rPr>
              <w:t xml:space="preserve">اقتراح </w:t>
            </w:r>
            <w:r w:rsidR="00141FB5" w:rsidRPr="00831543">
              <w:rPr>
                <w:rFonts w:ascii="Times New Roman Bold" w:hAnsi="Times New Roman Bold"/>
                <w:b/>
                <w:bCs/>
                <w:rtl/>
              </w:rPr>
              <w:t>اعتماد</w:t>
            </w:r>
            <w:r w:rsidR="00141FB5" w:rsidRPr="00831543">
              <w:rPr>
                <w:rFonts w:ascii="Times New Roman Bold" w:hAnsi="Times New Roman Bold" w:hint="cs"/>
                <w:b/>
                <w:bCs/>
                <w:rtl/>
              </w:rPr>
              <w:t xml:space="preserve"> مشروع</w:t>
            </w:r>
            <w:r w:rsidR="00141FB5">
              <w:rPr>
                <w:rFonts w:ascii="Times New Roman Bold" w:hAnsi="Times New Roman Bold" w:hint="cs"/>
                <w:b/>
                <w:bCs/>
                <w:rtl/>
              </w:rPr>
              <w:t>ي</w:t>
            </w:r>
            <w:r w:rsidR="00141FB5" w:rsidRPr="00831543">
              <w:rPr>
                <w:rFonts w:ascii="Times New Roman Bold" w:hAnsi="Times New Roman Bold" w:hint="cs"/>
                <w:b/>
                <w:bCs/>
                <w:rtl/>
              </w:rPr>
              <w:t xml:space="preserve"> </w:t>
            </w:r>
            <w:r w:rsidR="00141FB5">
              <w:rPr>
                <w:rFonts w:ascii="Times New Roman Bold" w:hAnsi="Times New Roman Bold" w:hint="cs"/>
                <w:b/>
                <w:bCs/>
                <w:rtl/>
              </w:rPr>
              <w:t>توصيتين</w:t>
            </w:r>
            <w:r w:rsidR="00141FB5" w:rsidRPr="00831543">
              <w:rPr>
                <w:rFonts w:ascii="Times New Roman Bold" w:hAnsi="Times New Roman Bold" w:hint="cs"/>
                <w:b/>
                <w:bCs/>
                <w:rtl/>
              </w:rPr>
              <w:t xml:space="preserve"> جديد</w:t>
            </w:r>
            <w:r w:rsidR="00141FB5">
              <w:rPr>
                <w:rFonts w:ascii="Times New Roman Bold" w:hAnsi="Times New Roman Bold" w:hint="cs"/>
                <w:b/>
                <w:bCs/>
                <w:rtl/>
              </w:rPr>
              <w:t>تين</w:t>
            </w:r>
            <w:r w:rsidR="00141FB5" w:rsidRPr="00831543">
              <w:rPr>
                <w:rFonts w:ascii="Times New Roman Bold" w:hAnsi="Times New Roman Bold" w:hint="cs"/>
                <w:b/>
                <w:bCs/>
                <w:rtl/>
              </w:rPr>
              <w:t xml:space="preserve"> لقطاع الاتصالات الراديوية </w:t>
            </w:r>
            <w:r w:rsidR="00141FB5">
              <w:rPr>
                <w:rFonts w:ascii="Times New Roman Bold" w:hAnsi="Times New Roman Bold" w:hint="cs"/>
                <w:b/>
                <w:bCs/>
                <w:rtl/>
              </w:rPr>
              <w:t>ومشاريع</w:t>
            </w:r>
            <w:r w:rsidR="00141FB5" w:rsidRPr="00831543">
              <w:rPr>
                <w:rFonts w:ascii="Times New Roman Bold" w:hAnsi="Times New Roman Bold" w:hint="cs"/>
                <w:b/>
                <w:bCs/>
                <w:rtl/>
              </w:rPr>
              <w:t xml:space="preserve"> مراجعة </w:t>
            </w:r>
            <w:r w:rsidR="00141FB5">
              <w:rPr>
                <w:rFonts w:cs="Times New Roman"/>
                <w:b/>
                <w:bCs/>
              </w:rPr>
              <w:t>3</w:t>
            </w:r>
            <w:r w:rsidR="006A7401">
              <w:rPr>
                <w:rFonts w:ascii="Times New Roman Bold" w:hAnsi="Times New Roman Bold" w:hint="eastAsia"/>
                <w:b/>
                <w:bCs/>
                <w:rtl/>
              </w:rPr>
              <w:t> </w:t>
            </w:r>
            <w:r w:rsidR="00141FB5">
              <w:rPr>
                <w:rFonts w:ascii="Times New Roman Bold" w:hAnsi="Times New Roman Bold" w:hint="cs"/>
                <w:b/>
                <w:bCs/>
                <w:rtl/>
              </w:rPr>
              <w:t>توصيات</w:t>
            </w:r>
            <w:r w:rsidR="00141FB5" w:rsidRPr="00831543">
              <w:rPr>
                <w:rFonts w:ascii="Times New Roman Bold" w:hAnsi="Times New Roman Bold" w:hint="cs"/>
                <w:b/>
                <w:bCs/>
                <w:rtl/>
              </w:rPr>
              <w:t xml:space="preserve"> لقطاع الاتصالات الراديوية</w:t>
            </w:r>
            <w:r w:rsidR="00141FB5" w:rsidRPr="00831543">
              <w:rPr>
                <w:rFonts w:ascii="Times New Roman Bold" w:hAnsi="Times New Roman Bold"/>
                <w:b/>
                <w:bCs/>
                <w:rtl/>
              </w:rPr>
              <w:t xml:space="preserve"> </w:t>
            </w:r>
            <w:r w:rsidR="00141FB5">
              <w:rPr>
                <w:rFonts w:ascii="Times New Roman Bold" w:hAnsi="Times New Roman Bold" w:hint="cs"/>
                <w:b/>
                <w:bCs/>
                <w:rtl/>
              </w:rPr>
              <w:t>وال</w:t>
            </w:r>
            <w:r w:rsidR="006A7401">
              <w:rPr>
                <w:rFonts w:ascii="Times New Roman Bold" w:hAnsi="Times New Roman Bold" w:hint="cs"/>
                <w:b/>
                <w:bCs/>
                <w:rtl/>
              </w:rPr>
              <w:t>‍</w:t>
            </w:r>
            <w:r w:rsidR="00141FB5">
              <w:rPr>
                <w:rFonts w:ascii="Times New Roman Bold" w:hAnsi="Times New Roman Bold" w:hint="cs"/>
                <w:b/>
                <w:bCs/>
                <w:rtl/>
              </w:rPr>
              <w:t xml:space="preserve">موافقة عليها في نفس الوقت </w:t>
            </w:r>
            <w:r w:rsidR="00141FB5" w:rsidRPr="00831543">
              <w:rPr>
                <w:rFonts w:ascii="Times New Roman Bold" w:hAnsi="Times New Roman Bold" w:hint="cs"/>
                <w:b/>
                <w:bCs/>
                <w:rtl/>
              </w:rPr>
              <w:t>عن طريق ال</w:t>
            </w:r>
            <w:r w:rsidR="006A7401">
              <w:rPr>
                <w:rFonts w:ascii="Times New Roman Bold" w:hAnsi="Times New Roman Bold" w:hint="cs"/>
                <w:b/>
                <w:bCs/>
                <w:rtl/>
              </w:rPr>
              <w:t>‍</w:t>
            </w:r>
            <w:r w:rsidR="00141FB5" w:rsidRPr="00831543">
              <w:rPr>
                <w:rFonts w:ascii="Times New Roman Bold" w:hAnsi="Times New Roman Bold" w:hint="cs"/>
                <w:b/>
                <w:bCs/>
                <w:rtl/>
              </w:rPr>
              <w:t>مراسلة</w:t>
            </w:r>
            <w:r w:rsidR="00141FB5">
              <w:rPr>
                <w:rFonts w:ascii="Times New Roman Bold" w:hAnsi="Times New Roman Bold" w:hint="cs"/>
                <w:b/>
                <w:bCs/>
                <w:rtl/>
                <w:lang w:val="fr-FR"/>
              </w:rPr>
              <w:t xml:space="preserve"> </w:t>
            </w:r>
            <w:r w:rsidR="00141FB5" w:rsidRPr="00625711">
              <w:rPr>
                <w:rFonts w:hint="cs"/>
                <w:b/>
                <w:bCs/>
                <w:rtl/>
                <w:lang w:bidi="ar-SY"/>
              </w:rPr>
              <w:t>وفقاً للفقرة</w:t>
            </w:r>
            <w:r w:rsidR="00141FB5">
              <w:rPr>
                <w:rFonts w:hint="eastAsia"/>
                <w:b/>
                <w:bCs/>
                <w:rtl/>
                <w:lang w:bidi="ar-SY"/>
              </w:rPr>
              <w:t> </w:t>
            </w:r>
            <w:r w:rsidR="00141FB5" w:rsidRPr="00625711">
              <w:rPr>
                <w:b/>
                <w:bCs/>
                <w:lang w:bidi="ar-SY"/>
              </w:rPr>
              <w:t>3.10</w:t>
            </w:r>
            <w:r w:rsidR="00141FB5" w:rsidRPr="00625711">
              <w:rPr>
                <w:rFonts w:hint="cs"/>
                <w:b/>
                <w:bCs/>
                <w:rtl/>
                <w:lang w:bidi="ar-SY"/>
              </w:rPr>
              <w:t xml:space="preserve"> من القرار</w:t>
            </w:r>
            <w:r w:rsidR="00141FB5" w:rsidRPr="00625711">
              <w:rPr>
                <w:rFonts w:hint="eastAsia"/>
                <w:b/>
                <w:bCs/>
                <w:rtl/>
                <w:lang w:bidi="ar-SY"/>
              </w:rPr>
              <w:t> </w:t>
            </w:r>
            <w:r w:rsidR="00141FB5" w:rsidRPr="00625711">
              <w:rPr>
                <w:b/>
                <w:bCs/>
                <w:lang w:bidi="ar-SY"/>
              </w:rPr>
              <w:t>ITU</w:t>
            </w:r>
            <w:r w:rsidR="00141FB5" w:rsidRPr="00625711">
              <w:rPr>
                <w:b/>
                <w:bCs/>
                <w:lang w:bidi="ar-SY"/>
              </w:rPr>
              <w:noBreakHyphen/>
              <w:t>R 1</w:t>
            </w:r>
            <w:r w:rsidR="00141FB5" w:rsidRPr="00625711">
              <w:rPr>
                <w:b/>
                <w:bCs/>
                <w:lang w:bidi="ar-SY"/>
              </w:rPr>
              <w:noBreakHyphen/>
              <w:t>6</w:t>
            </w:r>
            <w:r w:rsidR="00141FB5" w:rsidRPr="00625711">
              <w:rPr>
                <w:rFonts w:hint="cs"/>
                <w:b/>
                <w:bCs/>
                <w:rtl/>
                <w:lang w:bidi="ar-SY"/>
              </w:rPr>
              <w:t xml:space="preserve"> (إجراء الاعتماد وال</w:t>
            </w:r>
            <w:r w:rsidR="00141FB5">
              <w:rPr>
                <w:rFonts w:hint="cs"/>
                <w:b/>
                <w:bCs/>
                <w:rtl/>
                <w:lang w:bidi="ar-SY"/>
              </w:rPr>
              <w:t>‍</w:t>
            </w:r>
            <w:r w:rsidR="00141FB5" w:rsidRPr="00625711">
              <w:rPr>
                <w:rFonts w:hint="cs"/>
                <w:b/>
                <w:bCs/>
                <w:rtl/>
                <w:lang w:bidi="ar-SY"/>
              </w:rPr>
              <w:t>موافقة في نفس الوقت بال</w:t>
            </w:r>
            <w:r w:rsidR="00141FB5">
              <w:rPr>
                <w:rFonts w:hint="cs"/>
                <w:b/>
                <w:bCs/>
                <w:rtl/>
                <w:lang w:bidi="ar-SY"/>
              </w:rPr>
              <w:t>‍</w:t>
            </w:r>
            <w:r w:rsidR="00141FB5" w:rsidRPr="00625711">
              <w:rPr>
                <w:rFonts w:hint="cs"/>
                <w:b/>
                <w:bCs/>
                <w:rtl/>
                <w:lang w:bidi="ar-SY"/>
              </w:rPr>
              <w:t>مراسلة)</w:t>
            </w: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B14E56">
            <w:pPr>
              <w:spacing w:before="0"/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40641C">
            <w:pPr>
              <w:rPr>
                <w:lang w:val="fr-FR"/>
              </w:rPr>
            </w:pPr>
          </w:p>
        </w:tc>
      </w:tr>
    </w:tbl>
    <w:p w:rsidR="009929BE" w:rsidRPr="00DE29E8" w:rsidRDefault="00141FB5" w:rsidP="009C13AA">
      <w:pPr>
        <w:spacing w:before="1080"/>
        <w:rPr>
          <w:rtl/>
        </w:rPr>
      </w:pPr>
      <w:bookmarkStart w:id="0" w:name="CurrentLocation"/>
      <w:bookmarkEnd w:id="0"/>
      <w:r w:rsidRPr="00DE29E8">
        <w:rPr>
          <w:rtl/>
        </w:rPr>
        <w:t>قررت لجنة الدراسات</w:t>
      </w:r>
      <w:r w:rsidRPr="00DE29E8">
        <w:rPr>
          <w:rFonts w:hint="cs"/>
          <w:rtl/>
        </w:rPr>
        <w:t> </w:t>
      </w:r>
      <w:r w:rsidRPr="00DE29E8">
        <w:t>4</w:t>
      </w:r>
      <w:r w:rsidRPr="00DE29E8">
        <w:rPr>
          <w:rtl/>
        </w:rPr>
        <w:t xml:space="preserve"> للاتصالات الراديوية في اجتماعها ال</w:t>
      </w:r>
      <w:r w:rsidR="00AF56DC">
        <w:rPr>
          <w:rFonts w:hint="cs"/>
          <w:rtl/>
        </w:rPr>
        <w:t>‍</w:t>
      </w:r>
      <w:r w:rsidRPr="00DE29E8">
        <w:rPr>
          <w:rtl/>
        </w:rPr>
        <w:t xml:space="preserve">منعقد </w:t>
      </w:r>
      <w:r w:rsidRPr="00DE29E8">
        <w:rPr>
          <w:rFonts w:hint="cs"/>
          <w:rtl/>
        </w:rPr>
        <w:t xml:space="preserve">في </w:t>
      </w:r>
      <w:r w:rsidRPr="00DE29E8">
        <w:t>11</w:t>
      </w:r>
      <w:r w:rsidRPr="00DE29E8">
        <w:rPr>
          <w:rFonts w:hint="cs"/>
          <w:rtl/>
        </w:rPr>
        <w:t xml:space="preserve"> أكتوبر</w:t>
      </w:r>
      <w:r w:rsidRPr="00DE29E8">
        <w:rPr>
          <w:rFonts w:hint="eastAsia"/>
          <w:rtl/>
        </w:rPr>
        <w:t> </w:t>
      </w:r>
      <w:r w:rsidRPr="00DE29E8">
        <w:t>2013</w:t>
      </w:r>
      <w:r w:rsidRPr="00DE29E8">
        <w:rPr>
          <w:rtl/>
        </w:rPr>
        <w:t xml:space="preserve"> أن تلتمس اعتماد </w:t>
      </w:r>
      <w:r w:rsidRPr="00DE29E8">
        <w:rPr>
          <w:rFonts w:hint="cs"/>
          <w:rtl/>
        </w:rPr>
        <w:t xml:space="preserve">مشروعي توصيتين جديدتين لقطاع الاتصالات الراديوية ومشاريع مراجعة </w:t>
      </w:r>
      <w:r w:rsidRPr="00DE29E8">
        <w:t>3</w:t>
      </w:r>
      <w:r w:rsidRPr="00DE29E8">
        <w:rPr>
          <w:rFonts w:hint="cs"/>
          <w:rtl/>
          <w:lang w:bidi="ar-SY"/>
        </w:rPr>
        <w:t xml:space="preserve"> </w:t>
      </w:r>
      <w:r w:rsidRPr="00DE29E8">
        <w:rPr>
          <w:rFonts w:hint="cs"/>
          <w:rtl/>
        </w:rPr>
        <w:t>توصيات لقطاع الاتصالات الراديوية عن طريق ال</w:t>
      </w:r>
      <w:r w:rsidR="0002453D">
        <w:rPr>
          <w:rFonts w:hint="cs"/>
          <w:rtl/>
        </w:rPr>
        <w:t>‍</w:t>
      </w:r>
      <w:r w:rsidRPr="00DE29E8">
        <w:rPr>
          <w:rFonts w:hint="cs"/>
          <w:rtl/>
        </w:rPr>
        <w:t>مراسلة (ا</w:t>
      </w:r>
      <w:r w:rsidRPr="00DE29E8">
        <w:rPr>
          <w:rtl/>
        </w:rPr>
        <w:t>لفقرة</w:t>
      </w:r>
      <w:r w:rsidRPr="00DE29E8">
        <w:rPr>
          <w:rFonts w:hint="eastAsia"/>
          <w:rtl/>
        </w:rPr>
        <w:t> </w:t>
      </w:r>
      <w:r w:rsidRPr="00DE29E8">
        <w:t>3.2.10</w:t>
      </w:r>
      <w:r w:rsidRPr="00DE29E8">
        <w:rPr>
          <w:rtl/>
        </w:rPr>
        <w:t xml:space="preserve"> من القرار</w:t>
      </w:r>
      <w:r w:rsidRPr="00DE29E8">
        <w:rPr>
          <w:rFonts w:hint="eastAsia"/>
          <w:rtl/>
        </w:rPr>
        <w:t> </w:t>
      </w:r>
      <w:r w:rsidRPr="00DE29E8">
        <w:t>ITU</w:t>
      </w:r>
      <w:r w:rsidRPr="00DE29E8">
        <w:noBreakHyphen/>
        <w:t>R 1</w:t>
      </w:r>
      <w:r w:rsidRPr="00DE29E8">
        <w:noBreakHyphen/>
        <w:t>6</w:t>
      </w:r>
      <w:r w:rsidR="00967C09">
        <w:rPr>
          <w:rFonts w:hint="cs"/>
          <w:rtl/>
        </w:rPr>
        <w:t>)</w:t>
      </w:r>
      <w:r w:rsidRPr="00DE29E8">
        <w:rPr>
          <w:rtl/>
        </w:rPr>
        <w:t xml:space="preserve"> </w:t>
      </w:r>
      <w:r w:rsidRPr="00DE29E8">
        <w:rPr>
          <w:rFonts w:hint="cs"/>
          <w:rtl/>
        </w:rPr>
        <w:t>وقررت علاوة على ذلك تطبيق إجراء الاعتماد وال</w:t>
      </w:r>
      <w:r w:rsidR="00AF56DC">
        <w:rPr>
          <w:rFonts w:hint="cs"/>
          <w:rtl/>
        </w:rPr>
        <w:t>‍</w:t>
      </w:r>
      <w:r w:rsidRPr="00DE29E8">
        <w:rPr>
          <w:rFonts w:hint="cs"/>
          <w:rtl/>
        </w:rPr>
        <w:t>موافقة في نفس الوقت عن طريق ال</w:t>
      </w:r>
      <w:r w:rsidR="00AF56DC">
        <w:rPr>
          <w:rFonts w:hint="cs"/>
          <w:rtl/>
        </w:rPr>
        <w:t>‍</w:t>
      </w:r>
      <w:r w:rsidRPr="00DE29E8">
        <w:rPr>
          <w:rFonts w:hint="cs"/>
          <w:rtl/>
        </w:rPr>
        <w:t xml:space="preserve">مراسلة </w:t>
      </w:r>
      <w:r w:rsidRPr="00DE29E8">
        <w:t>(PSAA)</w:t>
      </w:r>
      <w:r w:rsidRPr="00DE29E8">
        <w:rPr>
          <w:rFonts w:hint="cs"/>
          <w:rtl/>
        </w:rPr>
        <w:t xml:space="preserve"> (الفقرة </w:t>
      </w:r>
      <w:r w:rsidR="00137D1C">
        <w:t>3.10</w:t>
      </w:r>
      <w:r w:rsidRPr="00DE29E8">
        <w:rPr>
          <w:rFonts w:hint="cs"/>
          <w:rtl/>
        </w:rPr>
        <w:t xml:space="preserve"> </w:t>
      </w:r>
      <w:r w:rsidRPr="00DE29E8">
        <w:rPr>
          <w:rtl/>
        </w:rPr>
        <w:t>من القرار</w:t>
      </w:r>
      <w:r w:rsidRPr="00DE29E8">
        <w:rPr>
          <w:rFonts w:hint="eastAsia"/>
          <w:rtl/>
        </w:rPr>
        <w:t> </w:t>
      </w:r>
      <w:r w:rsidRPr="00DE29E8">
        <w:t>ITU</w:t>
      </w:r>
      <w:r w:rsidRPr="00DE29E8">
        <w:noBreakHyphen/>
        <w:t>R 1</w:t>
      </w:r>
      <w:r w:rsidRPr="00DE29E8">
        <w:noBreakHyphen/>
        <w:t>6</w:t>
      </w:r>
      <w:r w:rsidRPr="00DE29E8">
        <w:rPr>
          <w:rFonts w:hint="cs"/>
          <w:rtl/>
        </w:rPr>
        <w:t>). ويرد في الملحق عناوين وملخصات مشاريع التوصيات.</w:t>
      </w:r>
    </w:p>
    <w:p w:rsidR="00141FB5" w:rsidRPr="00DE29E8" w:rsidRDefault="00141FB5" w:rsidP="009C790E">
      <w:pPr>
        <w:rPr>
          <w:rtl/>
        </w:rPr>
      </w:pPr>
      <w:r w:rsidRPr="00DE29E8">
        <w:rPr>
          <w:rtl/>
        </w:rPr>
        <w:t xml:space="preserve">وتمتد فترة النظر </w:t>
      </w:r>
      <w:r w:rsidRPr="00DE29E8">
        <w:rPr>
          <w:rFonts w:hint="cs"/>
          <w:rtl/>
        </w:rPr>
        <w:t xml:space="preserve">لمدة شهرين </w:t>
      </w:r>
      <w:r w:rsidRPr="00DE29E8">
        <w:rPr>
          <w:rtl/>
        </w:rPr>
        <w:t>تنتهي في</w:t>
      </w:r>
      <w:r w:rsidRPr="00DE29E8">
        <w:rPr>
          <w:rFonts w:hint="cs"/>
          <w:rtl/>
        </w:rPr>
        <w:t xml:space="preserve"> </w:t>
      </w:r>
      <w:r w:rsidRPr="00DE29E8">
        <w:rPr>
          <w:u w:val="single"/>
        </w:rPr>
        <w:t>2</w:t>
      </w:r>
      <w:r w:rsidR="009C790E">
        <w:rPr>
          <w:u w:val="single"/>
        </w:rPr>
        <w:t>8</w:t>
      </w:r>
      <w:r w:rsidRPr="00DE29E8">
        <w:rPr>
          <w:rFonts w:hint="cs"/>
          <w:u w:val="single"/>
          <w:rtl/>
        </w:rPr>
        <w:t xml:space="preserve"> ديسمبر </w:t>
      </w:r>
      <w:r w:rsidRPr="00DE29E8">
        <w:rPr>
          <w:u w:val="single"/>
        </w:rPr>
        <w:t>2013</w:t>
      </w:r>
      <w:r w:rsidRPr="00DE29E8">
        <w:rPr>
          <w:rtl/>
        </w:rPr>
        <w:t>. وإذا لم ترد أي اعتراضات من الدول الأعضاء خلال هذه الفترة</w:t>
      </w:r>
      <w:r w:rsidRPr="00DE29E8">
        <w:rPr>
          <w:rFonts w:hint="cs"/>
          <w:rtl/>
        </w:rPr>
        <w:t xml:space="preserve">، يُعتبر أن لجنة الدراسات </w:t>
      </w:r>
      <w:r w:rsidRPr="00DE29E8">
        <w:t>4</w:t>
      </w:r>
      <w:r w:rsidRPr="00DE29E8">
        <w:rPr>
          <w:rFonts w:hint="cs"/>
          <w:rtl/>
        </w:rPr>
        <w:t xml:space="preserve"> قد اعتمدت مشاريع التوصيات. وإضافة</w:t>
      </w:r>
      <w:r w:rsidR="00137D1C">
        <w:rPr>
          <w:rFonts w:hint="cs"/>
          <w:rtl/>
          <w:lang w:bidi="ar-SA"/>
        </w:rPr>
        <w:t>ً</w:t>
      </w:r>
      <w:r w:rsidRPr="00DE29E8">
        <w:rPr>
          <w:rFonts w:hint="cs"/>
          <w:rtl/>
        </w:rPr>
        <w:t xml:space="preserve"> إلى ذلك، نظراً لاتباع إجراء الاعتماد والموافقة في</w:t>
      </w:r>
      <w:r w:rsidR="00137D1C">
        <w:rPr>
          <w:rFonts w:hint="eastAsia"/>
          <w:rtl/>
        </w:rPr>
        <w:t> </w:t>
      </w:r>
      <w:r w:rsidRPr="00DE29E8">
        <w:rPr>
          <w:rFonts w:hint="cs"/>
          <w:rtl/>
        </w:rPr>
        <w:t>نفس الوقت عن طريق المراسلة، يُعتبر أيضاً أنه تمت الموافقة على مشاريع التوصيات.</w:t>
      </w:r>
    </w:p>
    <w:p w:rsidR="0051048F" w:rsidRPr="00DE29E8" w:rsidRDefault="0051048F" w:rsidP="0051048F">
      <w:pPr>
        <w:rPr>
          <w:rtl/>
        </w:rPr>
      </w:pPr>
      <w:r w:rsidRPr="00DE29E8">
        <w:rPr>
          <w:rFonts w:hint="cs"/>
          <w:rtl/>
        </w:rPr>
        <w:t>ويرجى من أي دولة عضو تعترض على اعتماد أي مشروع توصية أن تخبر المدير ورئيس لجنة الدراسات بأسباب اعتراضها.</w:t>
      </w:r>
    </w:p>
    <w:p w:rsidR="00141FB5" w:rsidRPr="00DE29E8" w:rsidRDefault="00141FB5" w:rsidP="00141FB5">
      <w:pPr>
        <w:rPr>
          <w:rtl/>
        </w:rPr>
      </w:pPr>
      <w:r w:rsidRPr="00DE29E8">
        <w:rPr>
          <w:rFonts w:hint="cs"/>
          <w:rtl/>
        </w:rPr>
        <w:t xml:space="preserve">وبعد انقضاء الموعد النهائي المذكور أعلاه، ستُعلن نتائج الإجراء </w:t>
      </w:r>
      <w:r w:rsidRPr="00DE29E8">
        <w:t>PSAA</w:t>
      </w:r>
      <w:r w:rsidRPr="00DE29E8">
        <w:rPr>
          <w:rFonts w:hint="cs"/>
          <w:rtl/>
        </w:rPr>
        <w:t xml:space="preserve"> في رسالة إدارية معممة وستُنشر التوصيات الموافق عليها في أقرب وقت ممكن عملياً (انظر </w:t>
      </w:r>
      <w:hyperlink r:id="rId9" w:history="1">
        <w:r w:rsidRPr="00DE29E8">
          <w:rPr>
            <w:rStyle w:val="Hyperlink"/>
          </w:rPr>
          <w:t>http://www.itu.int/pub/R-REC</w:t>
        </w:r>
      </w:hyperlink>
      <w:r w:rsidRPr="00DE29E8">
        <w:rPr>
          <w:rFonts w:hint="cs"/>
          <w:rtl/>
        </w:rPr>
        <w:t>).</w:t>
      </w:r>
    </w:p>
    <w:p w:rsidR="00141FB5" w:rsidRPr="00F542D7" w:rsidRDefault="00141FB5" w:rsidP="0058064C">
      <w:pPr>
        <w:pageBreakBefore/>
        <w:rPr>
          <w:spacing w:val="-4"/>
          <w:rtl/>
          <w:lang w:bidi="ar-SA"/>
        </w:rPr>
      </w:pPr>
      <w:r w:rsidRPr="00F542D7">
        <w:rPr>
          <w:spacing w:val="-4"/>
          <w:rtl/>
        </w:rPr>
        <w:lastRenderedPageBreak/>
        <w:t>ويرجى من أي منظمة عضو في الات</w:t>
      </w:r>
      <w:r w:rsidRPr="00F542D7">
        <w:rPr>
          <w:rFonts w:hint="cs"/>
          <w:spacing w:val="-4"/>
          <w:rtl/>
        </w:rPr>
        <w:t>‍</w:t>
      </w:r>
      <w:r w:rsidRPr="00F542D7">
        <w:rPr>
          <w:spacing w:val="-4"/>
          <w:rtl/>
        </w:rPr>
        <w:t>حاد تعلم بوجود براءة اختراع لديها أو لدى غيرها تغطي كلياً أو جزئياً بعض</w:t>
      </w:r>
      <w:r w:rsidR="0058064C" w:rsidRPr="00F542D7">
        <w:rPr>
          <w:rFonts w:hint="cs"/>
          <w:spacing w:val="-4"/>
          <w:rtl/>
        </w:rPr>
        <w:t xml:space="preserve"> </w:t>
      </w:r>
      <w:r w:rsidRPr="00F542D7">
        <w:rPr>
          <w:spacing w:val="-4"/>
          <w:rtl/>
        </w:rPr>
        <w:t>عناصر</w:t>
      </w:r>
      <w:r w:rsidR="0058064C" w:rsidRPr="00F542D7">
        <w:rPr>
          <w:rFonts w:hint="cs"/>
          <w:spacing w:val="-4"/>
          <w:rtl/>
        </w:rPr>
        <w:t xml:space="preserve"> مشاريع</w:t>
      </w:r>
      <w:r w:rsidRPr="00F542D7">
        <w:rPr>
          <w:spacing w:val="-4"/>
          <w:rtl/>
        </w:rPr>
        <w:t xml:space="preserve"> </w:t>
      </w:r>
      <w:r w:rsidR="0058064C" w:rsidRPr="00F542D7">
        <w:rPr>
          <w:rFonts w:hint="cs"/>
          <w:spacing w:val="-4"/>
          <w:rtl/>
        </w:rPr>
        <w:t xml:space="preserve">التوصيات </w:t>
      </w:r>
      <w:r w:rsidRPr="00F542D7">
        <w:rPr>
          <w:spacing w:val="-4"/>
          <w:rtl/>
        </w:rPr>
        <w:t>ال</w:t>
      </w:r>
      <w:r w:rsidRPr="00F542D7">
        <w:rPr>
          <w:rFonts w:hint="cs"/>
          <w:spacing w:val="-4"/>
          <w:rtl/>
        </w:rPr>
        <w:t>‍</w:t>
      </w:r>
      <w:r w:rsidRPr="00F542D7">
        <w:rPr>
          <w:spacing w:val="-4"/>
          <w:rtl/>
        </w:rPr>
        <w:t>مذكورة في هذه الرسالة أو أحدها أن تبلغ الأمانة بهذه ال</w:t>
      </w:r>
      <w:r w:rsidRPr="00F542D7">
        <w:rPr>
          <w:rFonts w:hint="cs"/>
          <w:spacing w:val="-4"/>
          <w:rtl/>
        </w:rPr>
        <w:t>‍</w:t>
      </w:r>
      <w:r w:rsidRPr="00F542D7">
        <w:rPr>
          <w:spacing w:val="-4"/>
          <w:rtl/>
        </w:rPr>
        <w:t>معلومات بأسرع ما</w:t>
      </w:r>
      <w:r w:rsidR="0058064C" w:rsidRPr="00F542D7">
        <w:rPr>
          <w:rFonts w:hint="cs"/>
          <w:spacing w:val="-4"/>
          <w:rtl/>
        </w:rPr>
        <w:t xml:space="preserve"> </w:t>
      </w:r>
      <w:r w:rsidRPr="00F542D7">
        <w:rPr>
          <w:spacing w:val="-4"/>
          <w:rtl/>
        </w:rPr>
        <w:t>ي</w:t>
      </w:r>
      <w:r w:rsidRPr="00F542D7">
        <w:rPr>
          <w:rFonts w:hint="cs"/>
          <w:spacing w:val="-4"/>
          <w:rtl/>
        </w:rPr>
        <w:t>‍</w:t>
      </w:r>
      <w:r w:rsidRPr="00F542D7">
        <w:rPr>
          <w:spacing w:val="-4"/>
          <w:rtl/>
        </w:rPr>
        <w:t>مكن. وي</w:t>
      </w:r>
      <w:r w:rsidRPr="00F542D7">
        <w:rPr>
          <w:rFonts w:hint="cs"/>
          <w:spacing w:val="-4"/>
          <w:rtl/>
        </w:rPr>
        <w:t>‍</w:t>
      </w:r>
      <w:r w:rsidRPr="00F542D7">
        <w:rPr>
          <w:spacing w:val="-4"/>
          <w:rtl/>
        </w:rPr>
        <w:t>مكن</w:t>
      </w:r>
      <w:r w:rsidR="0058064C" w:rsidRPr="00F542D7">
        <w:rPr>
          <w:rFonts w:hint="cs"/>
          <w:spacing w:val="-4"/>
          <w:rtl/>
        </w:rPr>
        <w:t xml:space="preserve"> </w:t>
      </w:r>
      <w:r w:rsidRPr="00F542D7">
        <w:rPr>
          <w:spacing w:val="-4"/>
          <w:rtl/>
        </w:rPr>
        <w:t>الاطلاع على السياسة ال</w:t>
      </w:r>
      <w:r w:rsidRPr="00F542D7">
        <w:rPr>
          <w:rFonts w:hint="cs"/>
          <w:spacing w:val="-4"/>
          <w:rtl/>
        </w:rPr>
        <w:t>‍</w:t>
      </w:r>
      <w:r w:rsidRPr="00F542D7">
        <w:rPr>
          <w:spacing w:val="-4"/>
          <w:rtl/>
        </w:rPr>
        <w:t xml:space="preserve">مشتركة للبراءات </w:t>
      </w:r>
      <w:r w:rsidRPr="00F542D7">
        <w:rPr>
          <w:spacing w:val="-4"/>
        </w:rPr>
        <w:t>"ITU</w:t>
      </w:r>
      <w:r w:rsidRPr="00F542D7">
        <w:rPr>
          <w:spacing w:val="-4"/>
        </w:rPr>
        <w:noBreakHyphen/>
        <w:t>T/ITU</w:t>
      </w:r>
      <w:r w:rsidRPr="00F542D7">
        <w:rPr>
          <w:spacing w:val="-4"/>
        </w:rPr>
        <w:noBreakHyphen/>
        <w:t>R/ISO/IEC"</w:t>
      </w:r>
      <w:r w:rsidRPr="00F542D7">
        <w:rPr>
          <w:spacing w:val="-4"/>
          <w:rtl/>
        </w:rPr>
        <w:t xml:space="preserve"> في ال</w:t>
      </w:r>
      <w:r w:rsidRPr="00F542D7">
        <w:rPr>
          <w:rFonts w:hint="cs"/>
          <w:spacing w:val="-4"/>
          <w:rtl/>
        </w:rPr>
        <w:t>‍</w:t>
      </w:r>
      <w:r w:rsidRPr="00F542D7">
        <w:rPr>
          <w:spacing w:val="-4"/>
          <w:rtl/>
        </w:rPr>
        <w:t>موقع الإلكتروني</w:t>
      </w:r>
      <w:r w:rsidRPr="00F542D7">
        <w:rPr>
          <w:rFonts w:hint="cs"/>
          <w:spacing w:val="-4"/>
          <w:rtl/>
        </w:rPr>
        <w:t xml:space="preserve">: </w:t>
      </w:r>
      <w:hyperlink r:id="rId10" w:history="1">
        <w:r w:rsidR="0058064C" w:rsidRPr="00F542D7">
          <w:rPr>
            <w:rStyle w:val="Hyperlink"/>
            <w:spacing w:val="-4"/>
            <w:szCs w:val="22"/>
          </w:rPr>
          <w:t>http://www.itu.int/en/ITU-T/ipr/Pages/policy.aspx</w:t>
        </w:r>
      </w:hyperlink>
      <w:r w:rsidR="00D960FE" w:rsidRPr="00F542D7">
        <w:rPr>
          <w:rFonts w:hint="cs"/>
          <w:spacing w:val="-4"/>
          <w:rtl/>
          <w:lang w:bidi="ar-SA"/>
        </w:rPr>
        <w:t>.</w:t>
      </w:r>
    </w:p>
    <w:p w:rsidR="00FB05F7" w:rsidRPr="00985D70" w:rsidRDefault="00FB05F7" w:rsidP="0058064C">
      <w:pPr>
        <w:spacing w:before="1440"/>
        <w:jc w:val="left"/>
        <w:rPr>
          <w:rtl/>
        </w:rPr>
      </w:pPr>
      <w:r w:rsidRPr="00985D70">
        <w:rPr>
          <w:rFonts w:hint="cs"/>
          <w:rtl/>
        </w:rPr>
        <w:t>فرانسوا</w:t>
      </w:r>
      <w:r w:rsidRPr="00985D70">
        <w:rPr>
          <w:rFonts w:hint="eastAsia"/>
          <w:rtl/>
        </w:rPr>
        <w:t> </w:t>
      </w:r>
      <w:r w:rsidRPr="00985D70">
        <w:rPr>
          <w:rFonts w:hint="cs"/>
          <w:rtl/>
        </w:rPr>
        <w:t>رانسي</w:t>
      </w:r>
      <w:r w:rsidRPr="00985D70">
        <w:rPr>
          <w:rtl/>
        </w:rPr>
        <w:br/>
      </w:r>
      <w:r w:rsidR="00790041" w:rsidRPr="00985D70">
        <w:rPr>
          <w:rFonts w:hint="cs"/>
          <w:rtl/>
        </w:rPr>
        <w:t>ال‍مدير</w:t>
      </w:r>
    </w:p>
    <w:p w:rsidR="00C148B3" w:rsidRPr="00DE29E8" w:rsidRDefault="00F542D7" w:rsidP="00F542D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600"/>
        <w:rPr>
          <w:rtl/>
        </w:rPr>
      </w:pPr>
      <w:r>
        <w:rPr>
          <w:rFonts w:hint="cs"/>
          <w:b/>
          <w:bCs/>
          <w:rtl/>
        </w:rPr>
        <w:t>ال</w:t>
      </w:r>
      <w:r w:rsidR="001E1D85">
        <w:rPr>
          <w:rFonts w:hint="cs"/>
          <w:b/>
          <w:bCs/>
          <w:rtl/>
        </w:rPr>
        <w:t>‍</w:t>
      </w:r>
      <w:r>
        <w:rPr>
          <w:rFonts w:hint="cs"/>
          <w:b/>
          <w:bCs/>
          <w:rtl/>
        </w:rPr>
        <w:t>ملحق</w:t>
      </w:r>
      <w:r w:rsidR="007F6F14" w:rsidRPr="00DE29E8">
        <w:rPr>
          <w:rFonts w:hint="cs"/>
          <w:b/>
          <w:bCs/>
          <w:rtl/>
        </w:rPr>
        <w:t>:</w:t>
      </w:r>
      <w:r>
        <w:rPr>
          <w:rFonts w:hint="cs"/>
          <w:rtl/>
        </w:rPr>
        <w:tab/>
      </w:r>
      <w:r w:rsidR="00141FB5" w:rsidRPr="00DE29E8">
        <w:rPr>
          <w:rFonts w:hint="cs"/>
          <w:rtl/>
        </w:rPr>
        <w:t>عناوين وملخصات مشاريع التوصيات</w:t>
      </w:r>
    </w:p>
    <w:p w:rsidR="00141FB5" w:rsidRPr="00DE29E8" w:rsidRDefault="00141FB5" w:rsidP="00F542D7">
      <w:pPr>
        <w:tabs>
          <w:tab w:val="clear" w:pos="794"/>
          <w:tab w:val="clear" w:pos="1191"/>
          <w:tab w:val="left" w:pos="1134"/>
        </w:tabs>
        <w:spacing w:before="240"/>
        <w:rPr>
          <w:rtl/>
        </w:rPr>
      </w:pPr>
      <w:r w:rsidRPr="00DE29E8">
        <w:rPr>
          <w:rFonts w:hint="cs"/>
          <w:b/>
          <w:bCs/>
          <w:rtl/>
        </w:rPr>
        <w:t>الوثائق:</w:t>
      </w:r>
      <w:r w:rsidRPr="00DE29E8">
        <w:rPr>
          <w:rFonts w:hint="cs"/>
          <w:rtl/>
        </w:rPr>
        <w:tab/>
        <w:t xml:space="preserve">الوثائق </w:t>
      </w:r>
      <w:r w:rsidR="00F542D7">
        <w:t>4/28</w:t>
      </w:r>
      <w:r w:rsidRPr="00DE29E8">
        <w:t>(Rev.1)</w:t>
      </w:r>
      <w:r w:rsidRPr="00DE29E8">
        <w:rPr>
          <w:rFonts w:hint="cs"/>
          <w:rtl/>
        </w:rPr>
        <w:t xml:space="preserve"> و</w:t>
      </w:r>
      <w:r w:rsidR="00F542D7">
        <w:t>4/37</w:t>
      </w:r>
      <w:r w:rsidRPr="00DE29E8">
        <w:t>(Rev.1)</w:t>
      </w:r>
      <w:r w:rsidRPr="00DE29E8">
        <w:rPr>
          <w:rFonts w:hint="cs"/>
          <w:rtl/>
        </w:rPr>
        <w:t xml:space="preserve"> و</w:t>
      </w:r>
      <w:r w:rsidR="00F542D7">
        <w:t>4/38</w:t>
      </w:r>
      <w:r w:rsidRPr="00DE29E8">
        <w:t>(Rev.1)</w:t>
      </w:r>
      <w:r w:rsidRPr="00DE29E8">
        <w:rPr>
          <w:rFonts w:hint="cs"/>
          <w:rtl/>
        </w:rPr>
        <w:t xml:space="preserve"> و</w:t>
      </w:r>
      <w:r w:rsidR="00F542D7">
        <w:t>4/40</w:t>
      </w:r>
      <w:r w:rsidRPr="00DE29E8">
        <w:t>(Rev.1)</w:t>
      </w:r>
      <w:r w:rsidRPr="00DE29E8">
        <w:rPr>
          <w:rFonts w:hint="cs"/>
          <w:rtl/>
        </w:rPr>
        <w:t xml:space="preserve"> و</w:t>
      </w:r>
      <w:r w:rsidR="00F542D7">
        <w:t>4/43</w:t>
      </w:r>
      <w:r w:rsidRPr="00DE29E8">
        <w:t>(Rev.1)</w:t>
      </w:r>
    </w:p>
    <w:p w:rsidR="00141FB5" w:rsidRPr="00DE29E8" w:rsidRDefault="00141FB5" w:rsidP="0058064C">
      <w:pPr>
        <w:tabs>
          <w:tab w:val="clear" w:pos="1191"/>
        </w:tabs>
        <w:spacing w:before="240"/>
        <w:rPr>
          <w:rtl/>
          <w:lang w:bidi="ar-SY"/>
        </w:rPr>
      </w:pPr>
      <w:r w:rsidRPr="00DE29E8">
        <w:rPr>
          <w:rFonts w:hint="cs"/>
          <w:rtl/>
        </w:rPr>
        <w:t xml:space="preserve">وتتاح هذه الوثائق في نسق إلكتروني في الموقع التالي: </w:t>
      </w:r>
      <w:hyperlink r:id="rId11" w:history="1">
        <w:r w:rsidRPr="00DE29E8">
          <w:rPr>
            <w:rStyle w:val="Hyperlink"/>
          </w:rPr>
          <w:t>http://www.itu.int/md/R12-SG04-C/en</w:t>
        </w:r>
      </w:hyperlink>
    </w:p>
    <w:p w:rsidR="00FB05F7" w:rsidRPr="00985D70" w:rsidRDefault="00FB05F7" w:rsidP="0058064C">
      <w:pPr>
        <w:spacing w:before="1320"/>
        <w:rPr>
          <w:b/>
          <w:bCs/>
          <w:sz w:val="16"/>
          <w:szCs w:val="22"/>
          <w:rtl/>
        </w:rPr>
      </w:pPr>
      <w:bookmarkStart w:id="1" w:name="ddistribution"/>
      <w:bookmarkEnd w:id="1"/>
      <w:r w:rsidRPr="00985D70">
        <w:rPr>
          <w:b/>
          <w:bCs/>
          <w:sz w:val="16"/>
          <w:szCs w:val="22"/>
          <w:rtl/>
        </w:rPr>
        <w:t>التوزيع:</w:t>
      </w:r>
    </w:p>
    <w:p w:rsidR="00FB05F7" w:rsidRPr="00985D70" w:rsidRDefault="00FB05F7" w:rsidP="00334360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rPr>
          <w:sz w:val="16"/>
          <w:szCs w:val="22"/>
          <w:rtl/>
          <w:lang w:val="fr-CH"/>
        </w:rPr>
      </w:pPr>
      <w:r w:rsidRPr="00985D70">
        <w:rPr>
          <w:rFonts w:hint="cs"/>
          <w:sz w:val="16"/>
          <w:szCs w:val="22"/>
          <w:rtl/>
        </w:rPr>
        <w:t>-</w:t>
      </w:r>
      <w:r w:rsidRPr="00985D70">
        <w:rPr>
          <w:rFonts w:hint="cs"/>
          <w:sz w:val="16"/>
          <w:szCs w:val="22"/>
          <w:rtl/>
        </w:rPr>
        <w:tab/>
      </w:r>
      <w:r w:rsidRPr="00985D70">
        <w:rPr>
          <w:sz w:val="16"/>
          <w:szCs w:val="22"/>
          <w:rtl/>
        </w:rPr>
        <w:t>إدارات الدول الأعضاء</w:t>
      </w:r>
      <w:r w:rsidR="00466806">
        <w:rPr>
          <w:rFonts w:hint="cs"/>
          <w:sz w:val="16"/>
          <w:szCs w:val="22"/>
          <w:rtl/>
        </w:rPr>
        <w:t xml:space="preserve"> في الات</w:t>
      </w:r>
      <w:r w:rsidR="00A23414">
        <w:rPr>
          <w:rFonts w:hint="cs"/>
          <w:sz w:val="16"/>
          <w:szCs w:val="22"/>
          <w:rtl/>
        </w:rPr>
        <w:t>‍</w:t>
      </w:r>
      <w:r w:rsidR="00466806">
        <w:rPr>
          <w:rFonts w:hint="cs"/>
          <w:sz w:val="16"/>
          <w:szCs w:val="22"/>
          <w:rtl/>
        </w:rPr>
        <w:t>حاد</w:t>
      </w:r>
      <w:r w:rsidRPr="00985D70">
        <w:rPr>
          <w:rFonts w:hint="cs"/>
          <w:sz w:val="16"/>
          <w:szCs w:val="22"/>
          <w:rtl/>
        </w:rPr>
        <w:t xml:space="preserve"> </w:t>
      </w:r>
      <w:r w:rsidRPr="00985D70">
        <w:rPr>
          <w:sz w:val="16"/>
          <w:szCs w:val="22"/>
          <w:rtl/>
        </w:rPr>
        <w:t>وأعضاء قطاع الاتصالات الراديوية</w:t>
      </w:r>
      <w:r w:rsidRPr="00985D70">
        <w:rPr>
          <w:rFonts w:hint="cs"/>
          <w:sz w:val="16"/>
          <w:szCs w:val="22"/>
          <w:rtl/>
        </w:rPr>
        <w:t xml:space="preserve"> ال‍مشاركون في أعمال ل‍جنة الدراسات</w:t>
      </w:r>
      <w:r w:rsidR="000B1BBB">
        <w:rPr>
          <w:rFonts w:hint="eastAsia"/>
          <w:sz w:val="16"/>
          <w:szCs w:val="22"/>
          <w:rtl/>
        </w:rPr>
        <w:t> </w:t>
      </w:r>
      <w:r w:rsidR="00141FB5">
        <w:rPr>
          <w:sz w:val="16"/>
          <w:szCs w:val="22"/>
          <w:lang w:val="fr-CH"/>
        </w:rPr>
        <w:t>4</w:t>
      </w:r>
      <w:r w:rsidRPr="00985D70">
        <w:rPr>
          <w:rFonts w:hint="cs"/>
          <w:sz w:val="16"/>
          <w:szCs w:val="22"/>
          <w:rtl/>
        </w:rPr>
        <w:t xml:space="preserve"> للاتصالات الراديوية</w:t>
      </w:r>
    </w:p>
    <w:p w:rsidR="00FB05F7" w:rsidRPr="00985D70" w:rsidRDefault="00FB05F7" w:rsidP="00141FB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ال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منتسبون إلى قطاع الاتصالات الراديوية ال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مشاركون في أعمال 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جنة الدراسات</w:t>
      </w:r>
      <w:r w:rsidR="000B1BBB">
        <w:rPr>
          <w:rFonts w:hint="cs"/>
          <w:sz w:val="16"/>
          <w:szCs w:val="22"/>
          <w:rtl/>
        </w:rPr>
        <w:t> </w:t>
      </w:r>
      <w:r w:rsidR="00141FB5">
        <w:rPr>
          <w:sz w:val="16"/>
          <w:szCs w:val="22"/>
        </w:rPr>
        <w:t>4</w:t>
      </w:r>
      <w:r w:rsidRPr="00985D70">
        <w:rPr>
          <w:sz w:val="16"/>
          <w:szCs w:val="22"/>
          <w:rtl/>
        </w:rPr>
        <w:t xml:space="preserve"> للاتصالات الراديوية</w:t>
      </w:r>
    </w:p>
    <w:p w:rsidR="00FB05F7" w:rsidRPr="00985D70" w:rsidRDefault="00FB05F7" w:rsidP="00D6618A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 w:rsidR="00D148B4">
        <w:rPr>
          <w:rFonts w:hint="cs"/>
          <w:sz w:val="16"/>
          <w:szCs w:val="22"/>
          <w:rtl/>
        </w:rPr>
        <w:t>رؤساء ل</w:t>
      </w:r>
      <w:r w:rsidR="00A23414">
        <w:rPr>
          <w:rFonts w:hint="cs"/>
          <w:sz w:val="16"/>
          <w:szCs w:val="22"/>
          <w:rtl/>
        </w:rPr>
        <w:t>‍</w:t>
      </w:r>
      <w:r w:rsidR="00D148B4">
        <w:rPr>
          <w:rFonts w:hint="cs"/>
          <w:sz w:val="16"/>
          <w:szCs w:val="22"/>
          <w:rtl/>
        </w:rPr>
        <w:t>جان دراسات الاتصالات الراديوية واللجنة ال</w:t>
      </w:r>
      <w:r w:rsidR="00A23414">
        <w:rPr>
          <w:rFonts w:hint="cs"/>
          <w:sz w:val="16"/>
          <w:szCs w:val="22"/>
          <w:rtl/>
        </w:rPr>
        <w:t>‍</w:t>
      </w:r>
      <w:r w:rsidR="00D148B4">
        <w:rPr>
          <w:rFonts w:hint="cs"/>
          <w:sz w:val="16"/>
          <w:szCs w:val="22"/>
          <w:rtl/>
        </w:rPr>
        <w:t>خاصة ال</w:t>
      </w:r>
      <w:r w:rsidR="00A23414">
        <w:rPr>
          <w:rFonts w:hint="cs"/>
          <w:sz w:val="16"/>
          <w:szCs w:val="22"/>
          <w:rtl/>
        </w:rPr>
        <w:t>‍</w:t>
      </w:r>
      <w:r w:rsidR="00D148B4">
        <w:rPr>
          <w:rFonts w:hint="cs"/>
          <w:sz w:val="16"/>
          <w:szCs w:val="22"/>
          <w:rtl/>
        </w:rPr>
        <w:t>معنية بال</w:t>
      </w:r>
      <w:r w:rsidR="00A23414">
        <w:rPr>
          <w:rFonts w:hint="cs"/>
          <w:sz w:val="16"/>
          <w:szCs w:val="22"/>
          <w:rtl/>
        </w:rPr>
        <w:t>‍</w:t>
      </w:r>
      <w:r w:rsidR="00D148B4">
        <w:rPr>
          <w:rFonts w:hint="cs"/>
          <w:sz w:val="16"/>
          <w:szCs w:val="22"/>
          <w:rtl/>
        </w:rPr>
        <w:t>مسائل التنظيمية والإجرائية ونوابهم</w:t>
      </w:r>
    </w:p>
    <w:p w:rsidR="00FB05F7" w:rsidRPr="00985D70" w:rsidRDefault="00FB05F7" w:rsidP="00D6618A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رئيس الاجتماع التحضيري للمؤت</w:t>
      </w:r>
      <w:r w:rsidR="00706CA3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مر ونوابه</w:t>
      </w:r>
    </w:p>
    <w:p w:rsidR="00FB05F7" w:rsidRPr="00985D70" w:rsidRDefault="00FB05F7" w:rsidP="00D6618A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أعضاء ل</w:t>
      </w:r>
      <w:r w:rsidR="00A23414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جنة لوائح الراديو</w:t>
      </w:r>
    </w:p>
    <w:p w:rsidR="00D6618A" w:rsidRDefault="00FB05F7" w:rsidP="00D6618A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rtl/>
        </w:rPr>
      </w:pPr>
      <w:r w:rsidRPr="005176E4">
        <w:rPr>
          <w:sz w:val="16"/>
          <w:szCs w:val="22"/>
          <w:rtl/>
        </w:rPr>
        <w:t>-</w:t>
      </w:r>
      <w:r w:rsidRPr="005176E4">
        <w:rPr>
          <w:sz w:val="16"/>
          <w:szCs w:val="22"/>
          <w:rtl/>
        </w:rPr>
        <w:tab/>
        <w:t>الأمين العام للات</w:t>
      </w:r>
      <w:r w:rsidRPr="005176E4">
        <w:rPr>
          <w:rFonts w:hint="cs"/>
          <w:sz w:val="16"/>
          <w:szCs w:val="22"/>
          <w:rtl/>
        </w:rPr>
        <w:t>‍</w:t>
      </w:r>
      <w:r w:rsidRPr="005176E4">
        <w:rPr>
          <w:sz w:val="16"/>
          <w:szCs w:val="22"/>
          <w:rtl/>
        </w:rPr>
        <w:t>حاد ومدير مكتب تقييس الاتصالات ومدير مكتب تنمية الاتصالات</w:t>
      </w:r>
    </w:p>
    <w:p w:rsidR="00C75D64" w:rsidRPr="00067CA9" w:rsidRDefault="00FB05F7" w:rsidP="00D6618A">
      <w:pPr>
        <w:pStyle w:val="AnnexNo"/>
        <w:rPr>
          <w:rtl/>
        </w:rPr>
      </w:pPr>
      <w:r w:rsidRPr="00067CA9">
        <w:rPr>
          <w:rtl/>
        </w:rPr>
        <w:br w:type="page"/>
      </w:r>
      <w:r w:rsidR="00584C09">
        <w:rPr>
          <w:rFonts w:hint="cs"/>
          <w:rtl/>
        </w:rPr>
        <w:lastRenderedPageBreak/>
        <w:t>ال‍</w:t>
      </w:r>
      <w:r w:rsidR="00C75D64" w:rsidRPr="00067CA9">
        <w:rPr>
          <w:rFonts w:hint="eastAsia"/>
          <w:rtl/>
        </w:rPr>
        <w:t>ملحـق</w:t>
      </w:r>
    </w:p>
    <w:p w:rsidR="004A1E69" w:rsidRPr="004A1E69" w:rsidRDefault="00141FB5">
      <w:pPr>
        <w:pStyle w:val="Annextitle"/>
        <w:rPr>
          <w:rtl/>
        </w:rPr>
        <w:pPrChange w:id="2" w:author="POOL" w:date="2009-07-13T17:35:00Z">
          <w:pPr>
            <w:pStyle w:val="Equation"/>
          </w:pPr>
        </w:pPrChange>
      </w:pPr>
      <w:r>
        <w:rPr>
          <w:rFonts w:hint="cs"/>
          <w:rtl/>
          <w:lang w:bidi="ar-SA"/>
        </w:rPr>
        <w:t>عناوين وملخصات مشاريع التوصيات</w:t>
      </w:r>
    </w:p>
    <w:p w:rsidR="00C75D64" w:rsidRPr="00DE29E8" w:rsidRDefault="00141FB5" w:rsidP="00F82D52">
      <w:pPr>
        <w:keepNext/>
        <w:tabs>
          <w:tab w:val="right" w:pos="9639"/>
        </w:tabs>
        <w:spacing w:before="600"/>
        <w:rPr>
          <w:rtl/>
          <w:lang w:eastAsia="ja-JP"/>
        </w:rPr>
      </w:pPr>
      <w:r w:rsidRPr="00DE29E8">
        <w:rPr>
          <w:rFonts w:hint="cs"/>
          <w:u w:val="single"/>
          <w:rtl/>
          <w:lang w:eastAsia="zh-CN"/>
        </w:rPr>
        <w:t xml:space="preserve">مشروع </w:t>
      </w:r>
      <w:r w:rsidR="00E51D3F" w:rsidRPr="00DE29E8">
        <w:rPr>
          <w:rFonts w:hint="cs"/>
          <w:u w:val="single"/>
          <w:rtl/>
          <w:lang w:eastAsia="zh-CN"/>
        </w:rPr>
        <w:t xml:space="preserve">التوصية </w:t>
      </w:r>
      <w:r w:rsidRPr="00DE29E8">
        <w:rPr>
          <w:rFonts w:hint="cs"/>
          <w:u w:val="single"/>
          <w:rtl/>
          <w:lang w:eastAsia="zh-CN"/>
        </w:rPr>
        <w:t xml:space="preserve">الجديدة </w:t>
      </w:r>
      <w:r w:rsidRPr="00DE29E8">
        <w:rPr>
          <w:u w:val="single"/>
          <w:lang w:eastAsia="zh-CN"/>
        </w:rPr>
        <w:t>ITU-R M.</w:t>
      </w:r>
      <w:r w:rsidRPr="00DE29E8">
        <w:rPr>
          <w:rStyle w:val="href"/>
          <w:u w:val="single"/>
        </w:rPr>
        <w:t>[MSS 400 MHz]-0</w:t>
      </w:r>
      <w:r w:rsidR="00E51D3F" w:rsidRPr="00DE29E8">
        <w:rPr>
          <w:rFonts w:hint="cs"/>
          <w:rtl/>
          <w:lang w:eastAsia="ja-JP"/>
        </w:rPr>
        <w:tab/>
        <w:t xml:space="preserve">الوثيقة </w:t>
      </w:r>
      <w:r w:rsidR="00F82D52">
        <w:rPr>
          <w:lang w:eastAsia="zh-CN"/>
        </w:rPr>
        <w:t>4/37</w:t>
      </w:r>
      <w:r w:rsidRPr="00DE29E8">
        <w:rPr>
          <w:lang w:eastAsia="zh-CN"/>
        </w:rPr>
        <w:t>(Rev.1)</w:t>
      </w:r>
    </w:p>
    <w:p w:rsidR="00E51D3F" w:rsidRDefault="00D123B8" w:rsidP="007C1F2D">
      <w:pPr>
        <w:pStyle w:val="Rectitle"/>
        <w:rPr>
          <w:rtl/>
          <w:lang w:eastAsia="zh-CN"/>
        </w:rPr>
      </w:pPr>
      <w:r>
        <w:rPr>
          <w:rFonts w:hint="cs"/>
          <w:rtl/>
          <w:lang w:eastAsia="zh-CN"/>
        </w:rPr>
        <w:t>ال</w:t>
      </w:r>
      <w:r w:rsidR="00141FB5" w:rsidRPr="00980EC1">
        <w:rPr>
          <w:rFonts w:hint="cs"/>
          <w:rtl/>
          <w:lang w:eastAsia="zh-CN"/>
        </w:rPr>
        <w:t>خصائص ومعايير الحماية لأنظمة الخدمة المتنقلة الساتلية غير المستقرة</w:t>
      </w:r>
      <w:r>
        <w:rPr>
          <w:rtl/>
          <w:lang w:eastAsia="zh-CN"/>
        </w:rPr>
        <w:br/>
      </w:r>
      <w:r w:rsidR="00141FB5" w:rsidRPr="00980EC1">
        <w:rPr>
          <w:rFonts w:hint="cs"/>
          <w:rtl/>
          <w:lang w:eastAsia="zh-CN"/>
        </w:rPr>
        <w:t>بالنسبة إلى الأرض</w:t>
      </w:r>
      <w:r>
        <w:rPr>
          <w:rFonts w:hint="cs"/>
          <w:rtl/>
          <w:lang w:eastAsia="zh-CN"/>
        </w:rPr>
        <w:t xml:space="preserve"> </w:t>
      </w:r>
      <w:r w:rsidR="00141FB5" w:rsidRPr="00980EC1">
        <w:rPr>
          <w:rFonts w:hint="cs"/>
          <w:rtl/>
          <w:lang w:eastAsia="zh-CN"/>
        </w:rPr>
        <w:t xml:space="preserve">العاملة في النطاق </w:t>
      </w:r>
      <w:r w:rsidR="00141FB5" w:rsidRPr="00980EC1">
        <w:rPr>
          <w:lang w:eastAsia="zh-CN"/>
        </w:rPr>
        <w:t>MHz 400,05</w:t>
      </w:r>
      <w:r w:rsidR="007C1F2D">
        <w:rPr>
          <w:lang w:eastAsia="zh-CN"/>
        </w:rPr>
        <w:noBreakHyphen/>
      </w:r>
      <w:r w:rsidR="00141FB5" w:rsidRPr="00980EC1">
        <w:rPr>
          <w:lang w:eastAsia="zh-CN"/>
        </w:rPr>
        <w:t>399,9</w:t>
      </w:r>
    </w:p>
    <w:p w:rsidR="00141FB5" w:rsidRDefault="00141FB5" w:rsidP="007C1F2D">
      <w:pPr>
        <w:rPr>
          <w:rtl/>
          <w:lang w:eastAsia="zh-CN"/>
        </w:rPr>
      </w:pPr>
      <w:r>
        <w:rPr>
          <w:rFonts w:hint="cs"/>
          <w:rtl/>
          <w:lang w:eastAsia="zh-CN"/>
        </w:rPr>
        <w:t xml:space="preserve">تقدم هذه التوصية وصفاً </w:t>
      </w:r>
      <w:r w:rsidR="00D123B8">
        <w:rPr>
          <w:rFonts w:hint="cs"/>
          <w:rtl/>
          <w:lang w:eastAsia="zh-CN"/>
        </w:rPr>
        <w:t>ل</w:t>
      </w:r>
      <w:r>
        <w:rPr>
          <w:rFonts w:hint="cs"/>
          <w:rtl/>
          <w:lang w:eastAsia="zh-CN"/>
        </w:rPr>
        <w:t xml:space="preserve">نظام الخدمة المتنقلة الساتلية الذي يستخدم نطاق التردد </w:t>
      </w:r>
      <w:r>
        <w:rPr>
          <w:lang w:eastAsia="zh-CN"/>
        </w:rPr>
        <w:t>MHz 400,</w:t>
      </w:r>
      <w:r w:rsidR="00F82D52">
        <w:rPr>
          <w:lang w:eastAsia="zh-CN"/>
        </w:rPr>
        <w:t>0</w:t>
      </w:r>
      <w:r>
        <w:rPr>
          <w:lang w:eastAsia="zh-CN"/>
        </w:rPr>
        <w:t>5</w:t>
      </w:r>
      <w:r w:rsidR="007C1F2D">
        <w:rPr>
          <w:lang w:eastAsia="zh-CN"/>
        </w:rPr>
        <w:noBreakHyphen/>
      </w:r>
      <w:r>
        <w:rPr>
          <w:lang w:eastAsia="zh-CN"/>
        </w:rPr>
        <w:t>399,9</w:t>
      </w:r>
      <w:r>
        <w:rPr>
          <w:rFonts w:hint="cs"/>
          <w:rtl/>
          <w:lang w:eastAsia="zh-CN"/>
        </w:rPr>
        <w:t xml:space="preserve"> (أرض</w:t>
      </w:r>
      <w:r w:rsidR="007C1F2D">
        <w:rPr>
          <w:rtl/>
          <w:lang w:eastAsia="zh-CN"/>
        </w:rPr>
        <w:noBreakHyphen/>
      </w:r>
      <w:r>
        <w:rPr>
          <w:rFonts w:hint="cs"/>
          <w:rtl/>
          <w:lang w:eastAsia="zh-CN"/>
        </w:rPr>
        <w:t>فضاء)</w:t>
      </w:r>
      <w:r w:rsidR="00D123B8">
        <w:rPr>
          <w:rFonts w:hint="cs"/>
          <w:rtl/>
          <w:lang w:eastAsia="zh-CN"/>
        </w:rPr>
        <w:t>، ومعايير الحماية المقابلة من ضوضاء النطاق العريض والتداخل ضيق النطاق.</w:t>
      </w:r>
    </w:p>
    <w:p w:rsidR="00141FB5" w:rsidRPr="00DE29E8" w:rsidRDefault="00141FB5" w:rsidP="001B25A9">
      <w:pPr>
        <w:keepNext/>
        <w:tabs>
          <w:tab w:val="right" w:pos="9639"/>
        </w:tabs>
        <w:spacing w:before="600"/>
        <w:rPr>
          <w:rtl/>
          <w:lang w:eastAsia="ja-JP"/>
        </w:rPr>
      </w:pPr>
      <w:r w:rsidRPr="00DE29E8">
        <w:rPr>
          <w:rFonts w:hint="cs"/>
          <w:u w:val="single"/>
          <w:rtl/>
          <w:lang w:eastAsia="zh-CN"/>
        </w:rPr>
        <w:t xml:space="preserve">مشروع التوصية الجديدة </w:t>
      </w:r>
      <w:r w:rsidRPr="00DE29E8">
        <w:rPr>
          <w:u w:val="single"/>
          <w:lang w:eastAsia="zh-CN"/>
        </w:rPr>
        <w:t>ITU-R M</w:t>
      </w:r>
      <w:r w:rsidRPr="00DE29E8">
        <w:rPr>
          <w:rStyle w:val="href"/>
          <w:u w:val="single"/>
        </w:rPr>
        <w:t>.[IMT-ADVANCED-SAT]-0</w:t>
      </w:r>
      <w:r w:rsidRPr="00DE29E8">
        <w:rPr>
          <w:rFonts w:hint="cs"/>
          <w:rtl/>
          <w:lang w:eastAsia="ja-JP"/>
        </w:rPr>
        <w:tab/>
        <w:t xml:space="preserve">الوثيقة </w:t>
      </w:r>
      <w:r w:rsidR="00F82D52">
        <w:rPr>
          <w:lang w:eastAsia="zh-CN"/>
        </w:rPr>
        <w:t>4/40</w:t>
      </w:r>
      <w:r w:rsidRPr="00DE29E8">
        <w:rPr>
          <w:lang w:eastAsia="zh-CN"/>
        </w:rPr>
        <w:t>(Rev.1)</w:t>
      </w:r>
    </w:p>
    <w:p w:rsidR="00141FB5" w:rsidRDefault="00141FB5" w:rsidP="00F82D52">
      <w:pPr>
        <w:pStyle w:val="Rectitle"/>
        <w:rPr>
          <w:rtl/>
          <w:lang w:eastAsia="zh-CN"/>
        </w:rPr>
      </w:pPr>
      <w:r w:rsidRPr="00AB59BA">
        <w:rPr>
          <w:rFonts w:hint="cs"/>
          <w:rtl/>
          <w:lang w:eastAsia="zh-CN"/>
        </w:rPr>
        <w:t xml:space="preserve">المواصفات التفصيلية للسطوح البينية الراديوية الساتلية </w:t>
      </w:r>
      <w:r>
        <w:rPr>
          <w:rFonts w:hint="cs"/>
          <w:rtl/>
          <w:lang w:eastAsia="zh-CN"/>
        </w:rPr>
        <w:t>في الاتصالات</w:t>
      </w:r>
      <w:r w:rsidR="00E87362">
        <w:rPr>
          <w:rtl/>
          <w:lang w:eastAsia="zh-CN"/>
        </w:rPr>
        <w:br/>
      </w:r>
      <w:r>
        <w:rPr>
          <w:rFonts w:hint="cs"/>
          <w:rtl/>
          <w:lang w:eastAsia="zh-CN"/>
        </w:rPr>
        <w:t>المتنقلة الدولية</w:t>
      </w:r>
      <w:r w:rsidR="007C1F2D">
        <w:rPr>
          <w:rFonts w:hint="cs"/>
          <w:rtl/>
          <w:lang w:eastAsia="zh-CN"/>
        </w:rPr>
        <w:noBreakHyphen/>
      </w:r>
      <w:r w:rsidRPr="00AB59BA">
        <w:rPr>
          <w:rFonts w:hint="cs"/>
          <w:rtl/>
          <w:lang w:eastAsia="zh-CN"/>
        </w:rPr>
        <w:t xml:space="preserve">المتقدمة </w:t>
      </w:r>
      <w:r w:rsidRPr="00AB59BA">
        <w:t>(IMT-Advanced)</w:t>
      </w:r>
    </w:p>
    <w:p w:rsidR="00141FB5" w:rsidRDefault="00141FB5" w:rsidP="00E87362">
      <w:pPr>
        <w:rPr>
          <w:rtl/>
          <w:lang w:eastAsia="zh-CN"/>
        </w:rPr>
      </w:pPr>
      <w:r w:rsidRPr="00F070F3">
        <w:rPr>
          <w:rFonts w:hint="cs"/>
          <w:rtl/>
        </w:rPr>
        <w:t xml:space="preserve">تحدد هذه التوصية </w:t>
      </w:r>
      <w:r>
        <w:rPr>
          <w:rFonts w:hint="cs"/>
          <w:rtl/>
        </w:rPr>
        <w:t xml:space="preserve">الجديدة </w:t>
      </w:r>
      <w:r w:rsidRPr="00F070F3">
        <w:rPr>
          <w:rFonts w:hint="cs"/>
          <w:rtl/>
        </w:rPr>
        <w:t xml:space="preserve">تكنولوجيات السطوح البينية الراديوية </w:t>
      </w:r>
      <w:r>
        <w:rPr>
          <w:rFonts w:hint="cs"/>
          <w:rtl/>
        </w:rPr>
        <w:t>الساتلية</w:t>
      </w:r>
      <w:r w:rsidRPr="00F070F3">
        <w:rPr>
          <w:rFonts w:hint="cs"/>
          <w:rtl/>
        </w:rPr>
        <w:t xml:space="preserve"> في</w:t>
      </w:r>
      <w:r>
        <w:rPr>
          <w:rFonts w:hint="cs"/>
          <w:rtl/>
        </w:rPr>
        <w:t xml:space="preserve"> الاتصالات المتنقلة الدولية-المتقدمة </w:t>
      </w:r>
      <w:r>
        <w:t>(</w:t>
      </w:r>
      <w:r w:rsidRPr="00F070F3">
        <w:t>IMT</w:t>
      </w:r>
      <w:r w:rsidRPr="00F070F3">
        <w:noBreakHyphen/>
        <w:t>Advanced</w:t>
      </w:r>
      <w:r>
        <w:t>)</w:t>
      </w:r>
      <w:r w:rsidRPr="00F070F3">
        <w:rPr>
          <w:rFonts w:hint="cs"/>
          <w:rtl/>
        </w:rPr>
        <w:t xml:space="preserve"> </w:t>
      </w:r>
      <w:r w:rsidR="00E87362">
        <w:t>SAT</w:t>
      </w:r>
      <w:r w:rsidR="00E87362">
        <w:noBreakHyphen/>
        <w:t>OFDM</w:t>
      </w:r>
      <w:r w:rsidR="00E87362">
        <w:rPr>
          <w:rFonts w:hint="cs"/>
          <w:rtl/>
          <w:lang w:bidi="ar-SY"/>
        </w:rPr>
        <w:t xml:space="preserve"> و</w:t>
      </w:r>
      <w:r w:rsidR="00E87362">
        <w:rPr>
          <w:lang w:bidi="ar-SY"/>
        </w:rPr>
        <w:t>BMsat</w:t>
      </w:r>
      <w:r w:rsidR="00E87362">
        <w:rPr>
          <w:rFonts w:hint="cs"/>
          <w:rtl/>
          <w:lang w:bidi="ar-SY"/>
        </w:rPr>
        <w:t>،</w:t>
      </w:r>
      <w:r w:rsidR="00E87362">
        <w:rPr>
          <w:rFonts w:hint="cs"/>
          <w:rtl/>
        </w:rPr>
        <w:t xml:space="preserve"> </w:t>
      </w:r>
      <w:r w:rsidRPr="00F070F3">
        <w:rPr>
          <w:rFonts w:hint="cs"/>
          <w:rtl/>
        </w:rPr>
        <w:t xml:space="preserve">وتوفر المواصفات </w:t>
      </w:r>
      <w:r w:rsidR="00E87362">
        <w:rPr>
          <w:rFonts w:hint="cs"/>
          <w:rtl/>
        </w:rPr>
        <w:t>التفصيلية</w:t>
      </w:r>
      <w:r w:rsidRPr="00F070F3">
        <w:rPr>
          <w:rFonts w:hint="cs"/>
          <w:rtl/>
        </w:rPr>
        <w:t xml:space="preserve"> للسطوح البينية الراديوية</w:t>
      </w:r>
      <w:r>
        <w:rPr>
          <w:rFonts w:hint="cs"/>
          <w:rtl/>
          <w:lang w:eastAsia="zh-CN"/>
        </w:rPr>
        <w:t>.</w:t>
      </w:r>
    </w:p>
    <w:p w:rsidR="00141FB5" w:rsidRPr="00E87362" w:rsidRDefault="00141FB5" w:rsidP="00F82D52">
      <w:pPr>
        <w:rPr>
          <w:spacing w:val="-2"/>
          <w:rtl/>
        </w:rPr>
      </w:pPr>
      <w:r w:rsidRPr="00E87362">
        <w:rPr>
          <w:rFonts w:hint="cs"/>
          <w:spacing w:val="-2"/>
          <w:rtl/>
        </w:rPr>
        <w:t xml:space="preserve">وتتناول هذه المواصفات للسطوح البينية الراديوية بالتفصيل ملامح ومعلمات </w:t>
      </w:r>
      <w:r w:rsidR="00E87362" w:rsidRPr="00E87362">
        <w:rPr>
          <w:rFonts w:hint="cs"/>
          <w:spacing w:val="-2"/>
          <w:rtl/>
        </w:rPr>
        <w:t xml:space="preserve">المكونة الساتلية في </w:t>
      </w:r>
      <w:r w:rsidRPr="00E87362">
        <w:rPr>
          <w:rFonts w:hint="cs"/>
          <w:spacing w:val="-2"/>
          <w:rtl/>
        </w:rPr>
        <w:t>الاتصالات المتنقلة الدولية</w:t>
      </w:r>
      <w:r w:rsidR="00F82D52">
        <w:rPr>
          <w:rFonts w:hint="cs"/>
          <w:spacing w:val="-2"/>
        </w:rPr>
        <w:sym w:font="Symbol" w:char="F02D"/>
      </w:r>
      <w:r w:rsidRPr="00E87362">
        <w:rPr>
          <w:rFonts w:hint="cs"/>
          <w:spacing w:val="-2"/>
          <w:rtl/>
        </w:rPr>
        <w:t xml:space="preserve">المتقدمة. </w:t>
      </w:r>
      <w:r w:rsidR="00E87362" w:rsidRPr="00E87362">
        <w:rPr>
          <w:rFonts w:hint="cs"/>
          <w:spacing w:val="-2"/>
          <w:rtl/>
        </w:rPr>
        <w:t>وتغطي</w:t>
      </w:r>
      <w:r w:rsidRPr="00E87362">
        <w:rPr>
          <w:rFonts w:hint="cs"/>
          <w:spacing w:val="-2"/>
          <w:rtl/>
        </w:rPr>
        <w:t xml:space="preserve"> هذه التوصية القدرة على ضمان التوافق على مستوى العالم والتجوال الدولي والنفاذ إلى خدمات البيانات عالية</w:t>
      </w:r>
      <w:r w:rsidR="00F82D52">
        <w:rPr>
          <w:rFonts w:hint="eastAsia"/>
          <w:spacing w:val="-2"/>
          <w:rtl/>
        </w:rPr>
        <w:t> </w:t>
      </w:r>
      <w:r w:rsidRPr="00E87362">
        <w:rPr>
          <w:rFonts w:hint="cs"/>
          <w:spacing w:val="-2"/>
          <w:rtl/>
        </w:rPr>
        <w:t>السرعة.</w:t>
      </w:r>
    </w:p>
    <w:p w:rsidR="00141FB5" w:rsidRPr="00071CE5" w:rsidRDefault="00141FB5" w:rsidP="001B25A9">
      <w:pPr>
        <w:keepNext/>
        <w:tabs>
          <w:tab w:val="right" w:pos="9639"/>
        </w:tabs>
        <w:spacing w:before="600"/>
        <w:rPr>
          <w:rtl/>
          <w:lang w:eastAsia="ja-JP"/>
        </w:rPr>
      </w:pPr>
      <w:r>
        <w:rPr>
          <w:rFonts w:hint="cs"/>
          <w:u w:val="single"/>
          <w:rtl/>
          <w:lang w:eastAsia="zh-CN"/>
        </w:rPr>
        <w:t xml:space="preserve">مشروع مراجعة التوصية </w:t>
      </w:r>
      <w:r w:rsidRPr="00C8284E">
        <w:rPr>
          <w:u w:val="single"/>
          <w:lang w:eastAsia="zh-CN"/>
        </w:rPr>
        <w:t>ITU-</w:t>
      </w:r>
      <w:r>
        <w:rPr>
          <w:u w:val="single"/>
          <w:lang w:eastAsia="zh-CN"/>
        </w:rPr>
        <w:t>R SF.674-2</w:t>
      </w:r>
      <w:r w:rsidRPr="00E51D3F">
        <w:rPr>
          <w:rFonts w:hint="cs"/>
          <w:rtl/>
          <w:lang w:eastAsia="ja-JP"/>
        </w:rPr>
        <w:tab/>
      </w:r>
      <w:r>
        <w:rPr>
          <w:rFonts w:hint="cs"/>
          <w:rtl/>
          <w:lang w:eastAsia="ja-JP"/>
        </w:rPr>
        <w:t xml:space="preserve">الوثيقة </w:t>
      </w:r>
      <w:r w:rsidR="00F82D52">
        <w:rPr>
          <w:lang w:eastAsia="zh-CN"/>
        </w:rPr>
        <w:t>4/28</w:t>
      </w:r>
      <w:r>
        <w:rPr>
          <w:lang w:eastAsia="zh-CN"/>
        </w:rPr>
        <w:t>(Rev.1)</w:t>
      </w:r>
    </w:p>
    <w:p w:rsidR="00141FB5" w:rsidRDefault="00141FB5" w:rsidP="00766F32">
      <w:pPr>
        <w:pStyle w:val="Rectitle"/>
        <w:rPr>
          <w:rtl/>
          <w:lang w:eastAsia="zh-CN"/>
        </w:rPr>
      </w:pPr>
      <w:r w:rsidRPr="00C022CB">
        <w:rPr>
          <w:rFonts w:hint="cs"/>
          <w:rtl/>
        </w:rPr>
        <w:t>تحديد الأثر الواقع على الخدمة الثابتة العاملة في النطاق </w:t>
      </w:r>
      <w:r w:rsidRPr="00C022CB">
        <w:t>GHz 12,2</w:t>
      </w:r>
      <w:r w:rsidRPr="00C022CB">
        <w:sym w:font="Symbol" w:char="F02D"/>
      </w:r>
      <w:r w:rsidRPr="00C022CB">
        <w:t>11,7</w:t>
      </w:r>
      <w:r w:rsidRPr="00C022CB">
        <w:rPr>
          <w:rFonts w:hint="cs"/>
          <w:rtl/>
        </w:rPr>
        <w:t xml:space="preserve"> عندما تتجاوز</w:t>
      </w:r>
      <w:r w:rsidR="00E87362">
        <w:rPr>
          <w:rtl/>
        </w:rPr>
        <w:br/>
      </w:r>
      <w:r w:rsidRPr="00C022CB">
        <w:rPr>
          <w:rFonts w:hint="cs"/>
          <w:rtl/>
        </w:rPr>
        <w:t>شبكات الخدمة الثابتة الساتلية المستقرة بالنسبة إلى الأرض العاملة في الإقليم </w:t>
      </w:r>
      <w:r w:rsidRPr="00C022CB">
        <w:t>2</w:t>
      </w:r>
      <w:r w:rsidR="00766F32">
        <w:rPr>
          <w:rtl/>
        </w:rPr>
        <w:br/>
      </w:r>
      <w:r w:rsidRPr="00C022CB">
        <w:rPr>
          <w:rFonts w:hint="cs"/>
          <w:rtl/>
        </w:rPr>
        <w:t>عتبات</w:t>
      </w:r>
      <w:r w:rsidR="00766F32">
        <w:rPr>
          <w:rFonts w:hint="cs"/>
          <w:rtl/>
        </w:rPr>
        <w:t xml:space="preserve"> </w:t>
      </w:r>
      <w:r w:rsidRPr="00C022CB">
        <w:rPr>
          <w:rFonts w:hint="cs"/>
          <w:rtl/>
        </w:rPr>
        <w:t xml:space="preserve">كثافة تدفق القدرة الواردة في القرار </w:t>
      </w:r>
      <w:r w:rsidRPr="00C022CB">
        <w:t>77 (WRC</w:t>
      </w:r>
      <w:r w:rsidRPr="00C022CB">
        <w:sym w:font="Symbol" w:char="F02D"/>
      </w:r>
      <w:r w:rsidRPr="00C022CB">
        <w:t>2000)</w:t>
      </w:r>
    </w:p>
    <w:p w:rsidR="00141FB5" w:rsidRDefault="00141FB5" w:rsidP="00766F32">
      <w:pPr>
        <w:rPr>
          <w:rtl/>
          <w:lang w:eastAsia="zh-CN"/>
        </w:rPr>
      </w:pPr>
      <w:r>
        <w:rPr>
          <w:rFonts w:hint="cs"/>
          <w:rtl/>
          <w:lang w:eastAsia="zh-CN"/>
        </w:rPr>
        <w:t xml:space="preserve">تشمل هذه المراجعة إضافة مجال التطبيق وتقوم بتحديث النصوص </w:t>
      </w:r>
      <w:r w:rsidR="00766F32">
        <w:rPr>
          <w:rFonts w:hint="cs"/>
          <w:rtl/>
          <w:lang w:eastAsia="zh-CN"/>
        </w:rPr>
        <w:t>المتقادمة</w:t>
      </w:r>
      <w:r>
        <w:rPr>
          <w:rFonts w:hint="cs"/>
          <w:rtl/>
          <w:lang w:eastAsia="zh-CN"/>
        </w:rPr>
        <w:t xml:space="preserve"> فيما يتعلق بنتائج المؤتمرات </w:t>
      </w:r>
      <w:r w:rsidR="00766F32">
        <w:rPr>
          <w:rFonts w:hint="cs"/>
          <w:rtl/>
          <w:lang w:eastAsia="zh-CN"/>
        </w:rPr>
        <w:t xml:space="preserve">العالمية </w:t>
      </w:r>
      <w:r>
        <w:rPr>
          <w:rFonts w:hint="cs"/>
          <w:rtl/>
          <w:lang w:eastAsia="zh-CN"/>
        </w:rPr>
        <w:t xml:space="preserve">السابقة للاتصالات الراديوية </w:t>
      </w:r>
      <w:r w:rsidR="00766F32">
        <w:rPr>
          <w:rFonts w:hint="cs"/>
          <w:rtl/>
          <w:lang w:eastAsia="zh-CN"/>
        </w:rPr>
        <w:t xml:space="preserve">وحذف التذييل </w:t>
      </w:r>
      <w:r w:rsidR="00766F32">
        <w:rPr>
          <w:lang w:eastAsia="zh-CN"/>
        </w:rPr>
        <w:t>1</w:t>
      </w:r>
      <w:r w:rsidR="00766F32">
        <w:rPr>
          <w:rFonts w:hint="cs"/>
          <w:rtl/>
          <w:lang w:eastAsia="zh-CN" w:bidi="ar-SY"/>
        </w:rPr>
        <w:t xml:space="preserve"> السابق للملحق </w:t>
      </w:r>
      <w:r w:rsidR="00766F32">
        <w:rPr>
          <w:lang w:eastAsia="zh-CN" w:bidi="ar-SY"/>
        </w:rPr>
        <w:t>1</w:t>
      </w:r>
      <w:r w:rsidR="00766F32">
        <w:rPr>
          <w:rFonts w:hint="cs"/>
          <w:rtl/>
          <w:lang w:eastAsia="zh-CN" w:bidi="ar-SY"/>
        </w:rPr>
        <w:t xml:space="preserve"> </w:t>
      </w:r>
      <w:r>
        <w:rPr>
          <w:rFonts w:hint="cs"/>
          <w:rtl/>
          <w:lang w:eastAsia="zh-CN"/>
        </w:rPr>
        <w:t>الذي يتناول التداخل الذي تتعرض له أنظمة الخدمة الثابتة التماثلية.</w:t>
      </w:r>
    </w:p>
    <w:p w:rsidR="005001E5" w:rsidRPr="00071CE5" w:rsidRDefault="005001E5" w:rsidP="00F82D52">
      <w:pPr>
        <w:keepNext/>
        <w:tabs>
          <w:tab w:val="right" w:pos="9639"/>
        </w:tabs>
        <w:spacing w:before="600"/>
        <w:rPr>
          <w:rtl/>
          <w:lang w:eastAsia="ja-JP"/>
        </w:rPr>
      </w:pPr>
      <w:r>
        <w:rPr>
          <w:rFonts w:hint="cs"/>
          <w:u w:val="single"/>
          <w:rtl/>
          <w:lang w:eastAsia="zh-CN"/>
        </w:rPr>
        <w:lastRenderedPageBreak/>
        <w:t xml:space="preserve">مشروع مراجعة التوصية </w:t>
      </w:r>
      <w:r w:rsidRPr="00C8284E">
        <w:rPr>
          <w:u w:val="single"/>
          <w:lang w:eastAsia="zh-CN"/>
        </w:rPr>
        <w:t>ITU-</w:t>
      </w:r>
      <w:r>
        <w:rPr>
          <w:u w:val="single"/>
          <w:lang w:eastAsia="zh-CN"/>
        </w:rPr>
        <w:t>R M.1901-0</w:t>
      </w:r>
      <w:r w:rsidRPr="00E51D3F">
        <w:rPr>
          <w:rFonts w:hint="cs"/>
          <w:rtl/>
          <w:lang w:eastAsia="ja-JP"/>
        </w:rPr>
        <w:tab/>
      </w:r>
      <w:r>
        <w:rPr>
          <w:rFonts w:hint="cs"/>
          <w:rtl/>
          <w:lang w:eastAsia="ja-JP"/>
        </w:rPr>
        <w:t xml:space="preserve">الوثيقة </w:t>
      </w:r>
      <w:r w:rsidR="00F82D52">
        <w:rPr>
          <w:lang w:eastAsia="zh-CN"/>
        </w:rPr>
        <w:t>4/38</w:t>
      </w:r>
      <w:r>
        <w:rPr>
          <w:lang w:eastAsia="zh-CN"/>
        </w:rPr>
        <w:t>(Rev.1)</w:t>
      </w:r>
    </w:p>
    <w:p w:rsidR="005001E5" w:rsidRDefault="005001E5" w:rsidP="00EC37A9">
      <w:pPr>
        <w:pStyle w:val="Rectitle"/>
        <w:rPr>
          <w:rtl/>
          <w:lang w:eastAsia="zh-CN"/>
        </w:rPr>
      </w:pPr>
      <w:r w:rsidRPr="001B66DB">
        <w:rPr>
          <w:rFonts w:eastAsia="SimSun" w:hint="cs"/>
          <w:noProof/>
          <w:rtl/>
        </w:rPr>
        <w:t>إرشادات بشأن توصيات قطاع الاتصالات الراديوية المتصلة بأنظمة وشبكات خدمة الملاحة الراديوية الساتلية العاملة في نطاقات التردد</w:t>
      </w:r>
      <w:r w:rsidRPr="001B66DB">
        <w:rPr>
          <w:rFonts w:eastAsia="SimSun" w:hint="cs"/>
          <w:noProof/>
          <w:rtl/>
          <w:lang w:bidi="ar-SY"/>
        </w:rPr>
        <w:t xml:space="preserve"> </w:t>
      </w:r>
      <w:r w:rsidRPr="001B66DB">
        <w:rPr>
          <w:rFonts w:eastAsia="SimSun"/>
          <w:noProof/>
          <w:lang w:bidi="ar-SY"/>
        </w:rPr>
        <w:t>MHz 1 215</w:t>
      </w:r>
      <w:r w:rsidRPr="001B66DB">
        <w:rPr>
          <w:rFonts w:eastAsia="SimSun"/>
          <w:noProof/>
          <w:lang w:bidi="ar-SY"/>
        </w:rPr>
        <w:noBreakHyphen/>
        <w:t>1 164</w:t>
      </w:r>
      <w:r w:rsidRPr="001B66DB">
        <w:rPr>
          <w:rFonts w:eastAsia="SimSun" w:hint="cs"/>
          <w:noProof/>
          <w:rtl/>
        </w:rPr>
        <w:t xml:space="preserve"> و</w:t>
      </w:r>
      <w:r w:rsidRPr="001B66DB">
        <w:rPr>
          <w:rFonts w:eastAsia="SimSun"/>
          <w:noProof/>
        </w:rPr>
        <w:t>MHz 1 300</w:t>
      </w:r>
      <w:r w:rsidRPr="001B66DB">
        <w:rPr>
          <w:rFonts w:eastAsia="SimSun"/>
          <w:noProof/>
        </w:rPr>
        <w:noBreakHyphen/>
        <w:t>1 215</w:t>
      </w:r>
      <w:r w:rsidRPr="001B66DB">
        <w:rPr>
          <w:rFonts w:eastAsia="SimSun" w:hint="cs"/>
          <w:noProof/>
          <w:rtl/>
        </w:rPr>
        <w:t xml:space="preserve"> و</w:t>
      </w:r>
      <w:r w:rsidRPr="001B66DB">
        <w:rPr>
          <w:rFonts w:eastAsia="SimSun"/>
          <w:noProof/>
        </w:rPr>
        <w:t>MHz 1 610</w:t>
      </w:r>
      <w:r w:rsidRPr="001B66DB">
        <w:rPr>
          <w:rFonts w:eastAsia="SimSun"/>
          <w:noProof/>
        </w:rPr>
        <w:noBreakHyphen/>
        <w:t>1 559</w:t>
      </w:r>
      <w:r w:rsidRPr="001B66DB">
        <w:rPr>
          <w:rFonts w:eastAsia="SimSun" w:hint="cs"/>
          <w:noProof/>
          <w:rtl/>
        </w:rPr>
        <w:t xml:space="preserve"> و</w:t>
      </w:r>
      <w:r w:rsidRPr="001B66DB">
        <w:rPr>
          <w:rFonts w:eastAsia="SimSun"/>
          <w:noProof/>
        </w:rPr>
        <w:t>MHz 5 010</w:t>
      </w:r>
      <w:r w:rsidRPr="001B66DB">
        <w:rPr>
          <w:rFonts w:eastAsia="SimSun"/>
          <w:noProof/>
        </w:rPr>
        <w:noBreakHyphen/>
        <w:t>5 000</w:t>
      </w:r>
      <w:r w:rsidRPr="001B66DB">
        <w:rPr>
          <w:rFonts w:eastAsia="SimSun" w:hint="cs"/>
          <w:noProof/>
          <w:rtl/>
        </w:rPr>
        <w:t xml:space="preserve"> و</w:t>
      </w:r>
      <w:r w:rsidRPr="001B66DB">
        <w:rPr>
          <w:rFonts w:eastAsia="SimSun"/>
          <w:noProof/>
        </w:rPr>
        <w:t>MHz 5 030</w:t>
      </w:r>
      <w:r w:rsidRPr="001B66DB">
        <w:rPr>
          <w:rFonts w:eastAsia="SimSun"/>
          <w:noProof/>
        </w:rPr>
        <w:noBreakHyphen/>
        <w:t>5 010</w:t>
      </w:r>
    </w:p>
    <w:p w:rsidR="005001E5" w:rsidRDefault="005001E5" w:rsidP="00F82D52">
      <w:pPr>
        <w:rPr>
          <w:rtl/>
          <w:lang w:eastAsia="zh-CN"/>
        </w:rPr>
      </w:pPr>
      <w:r>
        <w:rPr>
          <w:rFonts w:hint="cs"/>
          <w:rtl/>
          <w:lang w:eastAsia="zh-CN"/>
        </w:rPr>
        <w:t xml:space="preserve">وافق قطاع الاتصالات الراديوية على التوصيتين </w:t>
      </w:r>
      <w:r>
        <w:rPr>
          <w:lang w:eastAsia="zh-CN"/>
        </w:rPr>
        <w:t>ITU</w:t>
      </w:r>
      <w:r w:rsidR="007C1F2D">
        <w:rPr>
          <w:lang w:eastAsia="zh-CN"/>
        </w:rPr>
        <w:noBreakHyphen/>
      </w:r>
      <w:r>
        <w:rPr>
          <w:lang w:eastAsia="zh-CN"/>
        </w:rPr>
        <w:t>R M.2030</w:t>
      </w:r>
      <w:r>
        <w:rPr>
          <w:rFonts w:hint="cs"/>
          <w:rtl/>
          <w:lang w:eastAsia="zh-CN"/>
        </w:rPr>
        <w:t xml:space="preserve"> و</w:t>
      </w:r>
      <w:r>
        <w:rPr>
          <w:lang w:eastAsia="zh-CN"/>
        </w:rPr>
        <w:t>ITU</w:t>
      </w:r>
      <w:r w:rsidR="007C1F2D">
        <w:rPr>
          <w:lang w:eastAsia="zh-CN"/>
        </w:rPr>
        <w:noBreakHyphen/>
      </w:r>
      <w:r>
        <w:rPr>
          <w:lang w:eastAsia="zh-CN"/>
        </w:rPr>
        <w:t>R M.2031</w:t>
      </w:r>
      <w:r>
        <w:rPr>
          <w:rFonts w:hint="cs"/>
          <w:rtl/>
          <w:lang w:eastAsia="zh-CN"/>
        </w:rPr>
        <w:t xml:space="preserve"> </w:t>
      </w:r>
      <w:r w:rsidR="00EC37A9">
        <w:rPr>
          <w:rFonts w:hint="cs"/>
          <w:rtl/>
          <w:lang w:eastAsia="zh-CN"/>
        </w:rPr>
        <w:t xml:space="preserve">كما يظهر </w:t>
      </w:r>
      <w:r>
        <w:rPr>
          <w:rFonts w:hint="cs"/>
          <w:rtl/>
          <w:lang w:eastAsia="zh-CN"/>
        </w:rPr>
        <w:t xml:space="preserve">في مشروع مراجعة التوصية </w:t>
      </w:r>
      <w:r>
        <w:rPr>
          <w:lang w:eastAsia="zh-CN"/>
        </w:rPr>
        <w:t>ITU</w:t>
      </w:r>
      <w:r w:rsidR="00EC37A9">
        <w:rPr>
          <w:lang w:eastAsia="zh-CN"/>
        </w:rPr>
        <w:noBreakHyphen/>
      </w:r>
      <w:r>
        <w:rPr>
          <w:lang w:eastAsia="zh-CN"/>
        </w:rPr>
        <w:t>R M.1901</w:t>
      </w:r>
      <w:r>
        <w:rPr>
          <w:rFonts w:hint="cs"/>
          <w:rtl/>
          <w:lang w:eastAsia="zh-CN"/>
        </w:rPr>
        <w:t>. وتشمل التغيرات المحددة المترتبة على ذلك إلغاء فقرة "</w:t>
      </w:r>
      <w:r w:rsidR="00F82D52" w:rsidRPr="00F82D52">
        <w:rPr>
          <w:rFonts w:hint="eastAsia"/>
          <w:sz w:val="16"/>
          <w:szCs w:val="16"/>
          <w:rtl/>
          <w:lang w:eastAsia="zh-CN"/>
        </w:rPr>
        <w:t> </w:t>
      </w:r>
      <w:r w:rsidRPr="008C26BF">
        <w:rPr>
          <w:rFonts w:hint="cs"/>
          <w:i/>
          <w:iCs/>
          <w:rtl/>
          <w:lang w:eastAsia="zh-CN"/>
        </w:rPr>
        <w:t>إذ تلاحظ كذلك</w:t>
      </w:r>
      <w:r>
        <w:rPr>
          <w:rFonts w:hint="cs"/>
          <w:rtl/>
          <w:lang w:eastAsia="zh-CN"/>
        </w:rPr>
        <w:t>" وإضافة فقرتين جديدتين</w:t>
      </w:r>
      <w:r w:rsidR="00F82D52">
        <w:rPr>
          <w:rFonts w:hint="eastAsia"/>
          <w:rtl/>
          <w:lang w:eastAsia="zh-CN"/>
        </w:rPr>
        <w:t> </w:t>
      </w:r>
      <w:r w:rsidRPr="00F82D52">
        <w:rPr>
          <w:rFonts w:hint="cs"/>
          <w:i/>
          <w:iCs/>
          <w:rtl/>
          <w:lang w:eastAsia="zh-CN"/>
        </w:rPr>
        <w:t>ج)</w:t>
      </w:r>
      <w:r w:rsidR="00F82D52">
        <w:rPr>
          <w:rFonts w:hint="eastAsia"/>
          <w:rtl/>
          <w:lang w:eastAsia="zh-CN"/>
        </w:rPr>
        <w:t> </w:t>
      </w:r>
      <w:r>
        <w:rPr>
          <w:rFonts w:hint="cs"/>
          <w:rtl/>
          <w:lang w:eastAsia="zh-CN"/>
        </w:rPr>
        <w:t>و</w:t>
      </w:r>
      <w:r w:rsidRPr="00F82D52">
        <w:rPr>
          <w:rFonts w:ascii="Traditional Arabic" w:hAnsi="Traditional Arabic" w:hint="cs"/>
          <w:i/>
          <w:iCs/>
          <w:rtl/>
          <w:lang w:eastAsia="zh-CN"/>
        </w:rPr>
        <w:t>ﻫ</w:t>
      </w:r>
      <w:r w:rsidRPr="00F82D52">
        <w:rPr>
          <w:rFonts w:hint="cs"/>
          <w:i/>
          <w:iCs/>
          <w:rtl/>
          <w:lang w:eastAsia="zh-CN"/>
        </w:rPr>
        <w:t>)</w:t>
      </w:r>
      <w:r>
        <w:rPr>
          <w:rFonts w:hint="cs"/>
          <w:rtl/>
          <w:lang w:eastAsia="zh-CN"/>
        </w:rPr>
        <w:t xml:space="preserve"> في</w:t>
      </w:r>
      <w:r w:rsidR="00EC37A9">
        <w:rPr>
          <w:rFonts w:hint="eastAsia"/>
          <w:rtl/>
          <w:lang w:eastAsia="zh-CN"/>
        </w:rPr>
        <w:t> </w:t>
      </w:r>
      <w:r w:rsidR="00EC37A9">
        <w:rPr>
          <w:rFonts w:hint="cs"/>
          <w:rtl/>
          <w:lang w:eastAsia="zh-CN"/>
        </w:rPr>
        <w:t xml:space="preserve">فقرة </w:t>
      </w:r>
      <w:r w:rsidR="00EC37A9" w:rsidRPr="00EC37A9">
        <w:rPr>
          <w:rFonts w:hint="cs"/>
          <w:i/>
          <w:iCs/>
          <w:rtl/>
          <w:lang w:eastAsia="zh-CN"/>
        </w:rPr>
        <w:t>"</w:t>
      </w:r>
      <w:r w:rsidR="00EC37A9">
        <w:rPr>
          <w:rFonts w:hint="cs"/>
          <w:i/>
          <w:iCs/>
          <w:rtl/>
          <w:lang w:eastAsia="zh-CN"/>
        </w:rPr>
        <w:t>إذ تدرك"</w:t>
      </w:r>
      <w:r>
        <w:rPr>
          <w:rFonts w:hint="cs"/>
          <w:rtl/>
          <w:lang w:eastAsia="zh-CN"/>
        </w:rPr>
        <w:t>.</w:t>
      </w:r>
    </w:p>
    <w:p w:rsidR="005001E5" w:rsidRPr="00EC37A9" w:rsidRDefault="005001E5" w:rsidP="00EC37A9">
      <w:pPr>
        <w:rPr>
          <w:spacing w:val="-2"/>
          <w:rtl/>
          <w:lang w:eastAsia="zh-CN"/>
        </w:rPr>
      </w:pPr>
      <w:r w:rsidRPr="00EC37A9">
        <w:rPr>
          <w:rFonts w:hint="cs"/>
          <w:spacing w:val="-2"/>
          <w:rtl/>
          <w:lang w:eastAsia="zh-CN"/>
        </w:rPr>
        <w:t xml:space="preserve">وفي الوقت نفسه، تبعاً للإرشادات المقدمة في وثيقة النسق الجديد لتوصيات قطاع الاتصالات الراديوية، تم تغيير فقرات </w:t>
      </w:r>
      <w:r w:rsidR="00EC37A9" w:rsidRPr="00EC37A9">
        <w:rPr>
          <w:rFonts w:hint="cs"/>
          <w:i/>
          <w:iCs/>
          <w:spacing w:val="-2"/>
          <w:rtl/>
          <w:lang w:eastAsia="zh-CN"/>
        </w:rPr>
        <w:t>"</w:t>
      </w:r>
      <w:r w:rsidRPr="00EC37A9">
        <w:rPr>
          <w:rFonts w:hint="cs"/>
          <w:i/>
          <w:iCs/>
          <w:spacing w:val="-2"/>
          <w:rtl/>
          <w:lang w:eastAsia="zh-CN"/>
        </w:rPr>
        <w:t>إذ</w:t>
      </w:r>
      <w:r w:rsidR="00EC37A9" w:rsidRPr="00EC37A9">
        <w:rPr>
          <w:rFonts w:hint="eastAsia"/>
          <w:i/>
          <w:iCs/>
          <w:spacing w:val="-2"/>
          <w:rtl/>
          <w:lang w:eastAsia="zh-CN"/>
        </w:rPr>
        <w:t> </w:t>
      </w:r>
      <w:r w:rsidRPr="00EC37A9">
        <w:rPr>
          <w:rFonts w:hint="cs"/>
          <w:i/>
          <w:iCs/>
          <w:spacing w:val="-2"/>
          <w:rtl/>
          <w:lang w:eastAsia="zh-CN"/>
        </w:rPr>
        <w:t>تلاحظ</w:t>
      </w:r>
      <w:r w:rsidR="00EC37A9" w:rsidRPr="00EC37A9">
        <w:rPr>
          <w:rFonts w:hint="cs"/>
          <w:i/>
          <w:iCs/>
          <w:spacing w:val="-2"/>
          <w:rtl/>
          <w:lang w:eastAsia="zh-CN"/>
        </w:rPr>
        <w:t>"</w:t>
      </w:r>
      <w:r w:rsidRPr="00EC37A9">
        <w:rPr>
          <w:rFonts w:hint="cs"/>
          <w:spacing w:val="-2"/>
          <w:rtl/>
          <w:lang w:eastAsia="zh-CN"/>
        </w:rPr>
        <w:t xml:space="preserve"> إلى </w:t>
      </w:r>
      <w:r w:rsidR="00EC37A9" w:rsidRPr="00EC37A9">
        <w:rPr>
          <w:rFonts w:hint="cs"/>
          <w:i/>
          <w:iCs/>
          <w:spacing w:val="-2"/>
          <w:rtl/>
          <w:lang w:eastAsia="zh-CN"/>
        </w:rPr>
        <w:t>"</w:t>
      </w:r>
      <w:r w:rsidRPr="00EC37A9">
        <w:rPr>
          <w:rFonts w:hint="cs"/>
          <w:i/>
          <w:iCs/>
          <w:spacing w:val="-2"/>
          <w:rtl/>
          <w:lang w:eastAsia="zh-CN"/>
        </w:rPr>
        <w:t xml:space="preserve">إذ </w:t>
      </w:r>
      <w:r w:rsidR="00EC37A9" w:rsidRPr="00EC37A9">
        <w:rPr>
          <w:rFonts w:hint="cs"/>
          <w:i/>
          <w:iCs/>
          <w:spacing w:val="-2"/>
          <w:rtl/>
          <w:lang w:eastAsia="zh-CN"/>
        </w:rPr>
        <w:t>تدرك"</w:t>
      </w:r>
      <w:r w:rsidRPr="00EC37A9">
        <w:rPr>
          <w:rFonts w:hint="cs"/>
          <w:spacing w:val="-2"/>
          <w:rtl/>
          <w:lang w:eastAsia="zh-CN"/>
        </w:rPr>
        <w:t xml:space="preserve"> نظراً لأنها تشير إلى وثائق الاتحاد. وأدخلت كذلك بعض التعديلات الصياغية والتنسيقية على الملحق</w:t>
      </w:r>
      <w:r w:rsidR="00EC37A9" w:rsidRPr="00EC37A9">
        <w:rPr>
          <w:rFonts w:hint="eastAsia"/>
          <w:spacing w:val="-2"/>
          <w:rtl/>
          <w:lang w:eastAsia="zh-CN"/>
        </w:rPr>
        <w:t> </w:t>
      </w:r>
      <w:r w:rsidRPr="00EC37A9">
        <w:rPr>
          <w:spacing w:val="-2"/>
          <w:lang w:eastAsia="zh-CN"/>
        </w:rPr>
        <w:t>1</w:t>
      </w:r>
      <w:r w:rsidRPr="00EC37A9">
        <w:rPr>
          <w:rFonts w:hint="cs"/>
          <w:spacing w:val="-2"/>
          <w:rtl/>
          <w:lang w:eastAsia="zh-CN"/>
        </w:rPr>
        <w:t>.</w:t>
      </w:r>
    </w:p>
    <w:p w:rsidR="005001E5" w:rsidRPr="00071CE5" w:rsidRDefault="005001E5" w:rsidP="00EC37A9">
      <w:pPr>
        <w:keepNext/>
        <w:tabs>
          <w:tab w:val="right" w:pos="9639"/>
        </w:tabs>
        <w:spacing w:before="600"/>
        <w:rPr>
          <w:rtl/>
          <w:lang w:eastAsia="ja-JP"/>
        </w:rPr>
      </w:pPr>
      <w:r>
        <w:rPr>
          <w:rFonts w:hint="cs"/>
          <w:u w:val="single"/>
          <w:rtl/>
          <w:lang w:eastAsia="zh-CN"/>
        </w:rPr>
        <w:t xml:space="preserve">مشروع مراجعة التوصية </w:t>
      </w:r>
      <w:r w:rsidRPr="00C8284E">
        <w:rPr>
          <w:u w:val="single"/>
          <w:lang w:eastAsia="zh-CN"/>
        </w:rPr>
        <w:t>ITU-</w:t>
      </w:r>
      <w:r>
        <w:rPr>
          <w:u w:val="single"/>
          <w:lang w:eastAsia="zh-CN"/>
        </w:rPr>
        <w:t>R S.1503-</w:t>
      </w:r>
      <w:r w:rsidR="00EC37A9">
        <w:rPr>
          <w:u w:val="single"/>
          <w:lang w:eastAsia="zh-CN"/>
        </w:rPr>
        <w:t>1</w:t>
      </w:r>
      <w:r w:rsidRPr="00E51D3F">
        <w:rPr>
          <w:rFonts w:hint="cs"/>
          <w:rtl/>
          <w:lang w:eastAsia="ja-JP"/>
        </w:rPr>
        <w:tab/>
      </w:r>
      <w:r>
        <w:rPr>
          <w:rFonts w:hint="cs"/>
          <w:rtl/>
          <w:lang w:eastAsia="ja-JP"/>
        </w:rPr>
        <w:t xml:space="preserve">الوثيقة </w:t>
      </w:r>
      <w:r w:rsidR="00F82D52">
        <w:rPr>
          <w:lang w:eastAsia="zh-CN"/>
        </w:rPr>
        <w:t>4/43</w:t>
      </w:r>
      <w:r>
        <w:rPr>
          <w:lang w:eastAsia="zh-CN"/>
        </w:rPr>
        <w:t>(Rev.1)</w:t>
      </w:r>
    </w:p>
    <w:p w:rsidR="005001E5" w:rsidRDefault="005001E5" w:rsidP="004A1D41">
      <w:pPr>
        <w:pStyle w:val="Rectitle"/>
        <w:rPr>
          <w:rtl/>
          <w:lang w:eastAsia="zh-CN"/>
        </w:rPr>
      </w:pPr>
      <w:r w:rsidRPr="002F7332">
        <w:rPr>
          <w:rFonts w:hint="cs"/>
          <w:spacing w:val="-2"/>
          <w:rtl/>
        </w:rPr>
        <w:t xml:space="preserve">وصف وظيفي يُستخدم في إعداد أدوات برمجية لتحديد مطابقة </w:t>
      </w:r>
      <w:r w:rsidR="004A1D41">
        <w:rPr>
          <w:spacing w:val="-2"/>
          <w:rtl/>
          <w:lang w:bidi="ar-SA"/>
        </w:rPr>
        <w:br/>
      </w:r>
      <w:r w:rsidRPr="002F7332">
        <w:rPr>
          <w:rFonts w:hint="cs"/>
          <w:spacing w:val="-2"/>
          <w:rtl/>
        </w:rPr>
        <w:t>شبكات</w:t>
      </w:r>
      <w:r w:rsidR="00D63E59">
        <w:rPr>
          <w:rFonts w:hint="cs"/>
          <w:spacing w:val="-2"/>
          <w:rtl/>
        </w:rPr>
        <w:t xml:space="preserve"> </w:t>
      </w:r>
      <w:r w:rsidR="00D63E59" w:rsidRPr="00DE29E8">
        <w:rPr>
          <w:rFonts w:hint="cs"/>
          <w:rtl/>
          <w:lang w:eastAsia="zh-CN"/>
        </w:rPr>
        <w:t>نظام</w:t>
      </w:r>
      <w:r w:rsidR="004A1D41">
        <w:rPr>
          <w:rFonts w:hint="cs"/>
          <w:rtl/>
          <w:lang w:eastAsia="zh-CN"/>
        </w:rPr>
        <w:t xml:space="preserve"> </w:t>
      </w:r>
      <w:r w:rsidR="00D63E59" w:rsidRPr="00DE29E8">
        <w:rPr>
          <w:rFonts w:hint="cs"/>
          <w:rtl/>
          <w:lang w:eastAsia="zh-CN"/>
        </w:rPr>
        <w:t>في الخدمة الثابتة الساتلية غير المستقرة بالنسبة إلى الأرض</w:t>
      </w:r>
      <w:r w:rsidR="004A1D41">
        <w:rPr>
          <w:spacing w:val="-2"/>
          <w:rtl/>
        </w:rPr>
        <w:br/>
      </w:r>
      <w:r w:rsidRPr="002F7332">
        <w:rPr>
          <w:rFonts w:hint="cs"/>
          <w:spacing w:val="-2"/>
          <w:rtl/>
        </w:rPr>
        <w:t>مع الحدود</w:t>
      </w:r>
      <w:r w:rsidR="004A1D41">
        <w:rPr>
          <w:rFonts w:hint="cs"/>
          <w:spacing w:val="-2"/>
          <w:rtl/>
        </w:rPr>
        <w:t xml:space="preserve"> </w:t>
      </w:r>
      <w:r w:rsidRPr="002F7332">
        <w:rPr>
          <w:rFonts w:hint="cs"/>
          <w:spacing w:val="-2"/>
          <w:rtl/>
        </w:rPr>
        <w:t>التي تنص عليها المادة</w:t>
      </w:r>
      <w:r w:rsidRPr="002F7332">
        <w:rPr>
          <w:rFonts w:hint="eastAsia"/>
          <w:spacing w:val="-2"/>
          <w:rtl/>
        </w:rPr>
        <w:t> </w:t>
      </w:r>
      <w:r w:rsidRPr="002F7332">
        <w:rPr>
          <w:spacing w:val="-2"/>
        </w:rPr>
        <w:t>22</w:t>
      </w:r>
      <w:r w:rsidRPr="002F7332">
        <w:rPr>
          <w:rFonts w:hint="cs"/>
          <w:spacing w:val="-2"/>
          <w:rtl/>
        </w:rPr>
        <w:t xml:space="preserve"> من لوائح الراديو</w:t>
      </w:r>
    </w:p>
    <w:p w:rsidR="005001E5" w:rsidRPr="00DE29E8" w:rsidRDefault="005001E5" w:rsidP="00D63E59">
      <w:pPr>
        <w:rPr>
          <w:rtl/>
          <w:lang w:eastAsia="zh-CN"/>
        </w:rPr>
      </w:pPr>
      <w:r w:rsidRPr="00DE29E8">
        <w:rPr>
          <w:rFonts w:hint="cs"/>
          <w:rtl/>
          <w:lang w:eastAsia="zh-CN"/>
        </w:rPr>
        <w:t>تعرّف هذه التوصية المنهجية التي ينبغي استعمالها لتقييم ما إذا كان نظام في الخدمة الثابتة الساتلية غير المستقرة بالنسبة إلى الأرض مطابقاً لحدود كثافة تدفق القدرة المكافئة</w:t>
      </w:r>
      <w:r w:rsidR="00717F36">
        <w:rPr>
          <w:rFonts w:hint="eastAsia"/>
          <w:rtl/>
          <w:lang w:eastAsia="zh-CN"/>
        </w:rPr>
        <w:t> </w:t>
      </w:r>
      <w:r w:rsidR="00717F36">
        <w:rPr>
          <w:lang w:eastAsia="zh-CN"/>
        </w:rPr>
        <w:t>(epfd)</w:t>
      </w:r>
      <w:r w:rsidRPr="00DE29E8">
        <w:rPr>
          <w:rFonts w:hint="cs"/>
          <w:rtl/>
          <w:lang w:eastAsia="zh-CN"/>
        </w:rPr>
        <w:t xml:space="preserve"> الواردة في المادة </w:t>
      </w:r>
      <w:r w:rsidRPr="00564770">
        <w:rPr>
          <w:b/>
          <w:bCs/>
          <w:lang w:eastAsia="zh-CN"/>
        </w:rPr>
        <w:t>22</w:t>
      </w:r>
      <w:r w:rsidRPr="00DE29E8">
        <w:rPr>
          <w:rFonts w:hint="cs"/>
          <w:rtl/>
          <w:lang w:eastAsia="zh-CN"/>
        </w:rPr>
        <w:t xml:space="preserve"> من لوائح الراديو. وتنطبق</w:t>
      </w:r>
      <w:r w:rsidR="00D63E59">
        <w:rPr>
          <w:rFonts w:hint="cs"/>
          <w:rtl/>
          <w:lang w:eastAsia="zh-CN"/>
        </w:rPr>
        <w:t xml:space="preserve"> التوصية</w:t>
      </w:r>
      <w:r w:rsidRPr="00DE29E8">
        <w:rPr>
          <w:rFonts w:hint="cs"/>
          <w:rtl/>
          <w:lang w:eastAsia="zh-CN"/>
        </w:rPr>
        <w:t xml:space="preserve"> على النطاقات التي حُددت </w:t>
      </w:r>
      <w:r w:rsidR="00D63E59">
        <w:rPr>
          <w:rFonts w:hint="cs"/>
          <w:rtl/>
          <w:lang w:eastAsia="zh-CN"/>
        </w:rPr>
        <w:t xml:space="preserve">من أجلها </w:t>
      </w:r>
      <w:r w:rsidRPr="00DE29E8">
        <w:rPr>
          <w:rFonts w:hint="cs"/>
          <w:rtl/>
          <w:lang w:eastAsia="zh-CN"/>
        </w:rPr>
        <w:t>حدود كثافة تدفق القدرة.</w:t>
      </w:r>
    </w:p>
    <w:p w:rsidR="005001E5" w:rsidRDefault="005001E5" w:rsidP="00596377">
      <w:pPr>
        <w:rPr>
          <w:rtl/>
          <w:lang w:eastAsia="zh-CN"/>
        </w:rPr>
      </w:pPr>
      <w:r>
        <w:rPr>
          <w:rFonts w:hint="cs"/>
          <w:rtl/>
          <w:lang w:eastAsia="zh-CN"/>
        </w:rPr>
        <w:t xml:space="preserve">واستعملت الخوارزمية </w:t>
      </w:r>
      <w:r w:rsidR="00596377">
        <w:rPr>
          <w:rFonts w:hint="cs"/>
          <w:rtl/>
          <w:lang w:eastAsia="zh-CN"/>
        </w:rPr>
        <w:t xml:space="preserve">الواردة </w:t>
      </w:r>
      <w:r>
        <w:rPr>
          <w:rFonts w:hint="cs"/>
          <w:rtl/>
          <w:lang w:eastAsia="zh-CN"/>
        </w:rPr>
        <w:t>في هذه التوصية كمتطلبات وظيفية لأدوات البرمجية المقدمة إلى مكتب الاتصالات الراديوية للتحقق من مطابقة أنظمة غير مستقرة بالنسبة إلى الأرض للمواد ذات الصلة في لوائح الراديو.</w:t>
      </w:r>
    </w:p>
    <w:p w:rsidR="005001E5" w:rsidRDefault="005001E5" w:rsidP="005001E5">
      <w:pPr>
        <w:rPr>
          <w:rtl/>
          <w:lang w:eastAsia="zh-CN"/>
        </w:rPr>
      </w:pPr>
      <w:r>
        <w:rPr>
          <w:rFonts w:hint="cs"/>
          <w:rtl/>
          <w:lang w:eastAsia="zh-CN"/>
        </w:rPr>
        <w:t>وتشمل المراجعة التعديلات التالية:</w:t>
      </w:r>
    </w:p>
    <w:p w:rsidR="005001E5" w:rsidRDefault="005001E5" w:rsidP="00721B26">
      <w:pPr>
        <w:pStyle w:val="enumlev1"/>
        <w:rPr>
          <w:rtl/>
          <w:lang w:eastAsia="zh-CN"/>
        </w:rPr>
      </w:pPr>
      <w:r>
        <w:rPr>
          <w:lang w:eastAsia="zh-CN"/>
        </w:rPr>
        <w:t>(1</w:t>
      </w:r>
      <w:r>
        <w:rPr>
          <w:rFonts w:hint="cs"/>
          <w:rtl/>
          <w:lang w:eastAsia="zh-CN"/>
        </w:rPr>
        <w:tab/>
        <w:t>تحسين الخوارزمية الرئيسية للسماح بتحليل مجموعة أوسع من أنماط مدارات الأنظمة غير المستقرة بالنسبة إلى الأرض بما</w:t>
      </w:r>
      <w:r w:rsidR="00721B26">
        <w:rPr>
          <w:rFonts w:hint="eastAsia"/>
          <w:rtl/>
          <w:lang w:eastAsia="zh-CN"/>
        </w:rPr>
        <w:t> </w:t>
      </w:r>
      <w:r>
        <w:rPr>
          <w:rFonts w:hint="cs"/>
          <w:rtl/>
          <w:lang w:eastAsia="zh-CN"/>
        </w:rPr>
        <w:t xml:space="preserve">في ذلك </w:t>
      </w:r>
      <w:r w:rsidR="00210CB8">
        <w:rPr>
          <w:rFonts w:hint="cs"/>
          <w:rtl/>
          <w:lang w:eastAsia="zh-CN"/>
        </w:rPr>
        <w:t xml:space="preserve">المدارات </w:t>
      </w:r>
      <w:r>
        <w:rPr>
          <w:rFonts w:hint="cs"/>
          <w:rtl/>
          <w:lang w:eastAsia="zh-CN"/>
        </w:rPr>
        <w:t>الاستوائية الدائرية وشديدة الإهليلجية؛</w:t>
      </w:r>
    </w:p>
    <w:p w:rsidR="005001E5" w:rsidRDefault="005001E5" w:rsidP="00730DF4">
      <w:pPr>
        <w:pStyle w:val="enumlev1"/>
        <w:rPr>
          <w:rtl/>
          <w:lang w:eastAsia="zh-CN"/>
        </w:rPr>
      </w:pPr>
      <w:r>
        <w:rPr>
          <w:lang w:eastAsia="zh-CN"/>
        </w:rPr>
        <w:t>(2</w:t>
      </w:r>
      <w:r>
        <w:rPr>
          <w:rFonts w:hint="cs"/>
          <w:rtl/>
          <w:lang w:eastAsia="zh-CN"/>
        </w:rPr>
        <w:tab/>
        <w:t>تحسين خوارزمية هندسة أسوأ حالة؛</w:t>
      </w:r>
    </w:p>
    <w:p w:rsidR="005001E5" w:rsidRDefault="005001E5" w:rsidP="00210CB8">
      <w:pPr>
        <w:pStyle w:val="enumlev1"/>
        <w:rPr>
          <w:rtl/>
          <w:lang w:eastAsia="zh-CN"/>
        </w:rPr>
      </w:pPr>
      <w:r>
        <w:rPr>
          <w:lang w:eastAsia="zh-CN"/>
        </w:rPr>
        <w:t>(3</w:t>
      </w:r>
      <w:r>
        <w:rPr>
          <w:rFonts w:hint="cs"/>
          <w:rtl/>
          <w:lang w:eastAsia="zh-CN"/>
        </w:rPr>
        <w:tab/>
        <w:t xml:space="preserve">إعادة </w:t>
      </w:r>
      <w:r w:rsidR="00210CB8">
        <w:rPr>
          <w:rFonts w:hint="cs"/>
          <w:rtl/>
          <w:lang w:eastAsia="zh-CN"/>
        </w:rPr>
        <w:t>تنظيم النص لزيادة الوضوح</w:t>
      </w:r>
      <w:r>
        <w:rPr>
          <w:rFonts w:hint="cs"/>
          <w:rtl/>
          <w:lang w:eastAsia="zh-CN"/>
        </w:rPr>
        <w:t>؛</w:t>
      </w:r>
    </w:p>
    <w:p w:rsidR="005001E5" w:rsidRDefault="005001E5" w:rsidP="00210CB8">
      <w:pPr>
        <w:pStyle w:val="enumlev1"/>
        <w:rPr>
          <w:rtl/>
          <w:lang w:eastAsia="zh-CN"/>
        </w:rPr>
      </w:pPr>
      <w:r>
        <w:rPr>
          <w:lang w:eastAsia="zh-CN"/>
        </w:rPr>
        <w:t>(4</w:t>
      </w:r>
      <w:r>
        <w:rPr>
          <w:rFonts w:hint="cs"/>
          <w:rtl/>
          <w:lang w:eastAsia="zh-CN"/>
        </w:rPr>
        <w:tab/>
        <w:t>التبسيط من خلال إلغاء الطريقة التحليلية غير المستعملة أثناء تطوير البرمجي</w:t>
      </w:r>
      <w:r w:rsidR="00210CB8">
        <w:rPr>
          <w:rFonts w:hint="cs"/>
          <w:rtl/>
          <w:lang w:eastAsia="zh-CN"/>
        </w:rPr>
        <w:t>ات المعدة ل</w:t>
      </w:r>
      <w:r>
        <w:rPr>
          <w:rFonts w:hint="cs"/>
          <w:rtl/>
          <w:lang w:eastAsia="zh-CN"/>
        </w:rPr>
        <w:t>مكتب الاتصالات الراديوية.</w:t>
      </w:r>
    </w:p>
    <w:p w:rsidR="00B45FA0" w:rsidRPr="00753BD1" w:rsidRDefault="00172AD2" w:rsidP="008F5BE4">
      <w:pPr>
        <w:spacing w:before="600"/>
        <w:jc w:val="center"/>
        <w:rPr>
          <w:rtl/>
          <w:lang w:eastAsia="zh-CN"/>
        </w:rPr>
      </w:pPr>
      <w:r>
        <w:rPr>
          <w:rFonts w:hint="cs"/>
          <w:rtl/>
          <w:lang w:eastAsia="zh-CN"/>
        </w:rPr>
        <w:t>___________</w:t>
      </w:r>
    </w:p>
    <w:sectPr w:rsidR="00B45FA0" w:rsidRPr="00753BD1" w:rsidSect="00154A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AF" w:rsidRDefault="00B83DAF" w:rsidP="0040641C">
      <w:r>
        <w:separator/>
      </w:r>
    </w:p>
    <w:p w:rsidR="00E5049F" w:rsidRDefault="00E5049F" w:rsidP="0040641C"/>
    <w:p w:rsidR="005E4BF8" w:rsidRDefault="005E4BF8" w:rsidP="0040641C"/>
  </w:endnote>
  <w:end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FDE" w:rsidRDefault="00DC5F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6AC" w:rsidRPr="0090232E" w:rsidRDefault="007A56AC" w:rsidP="00721B26">
    <w:pPr>
      <w:tabs>
        <w:tab w:val="center" w:pos="5670"/>
        <w:tab w:val="right" w:pos="9639"/>
      </w:tabs>
      <w:bidi w:val="0"/>
      <w:rPr>
        <w:sz w:val="16"/>
        <w:szCs w:val="16"/>
        <w:lang w:val="es-ES"/>
      </w:rPr>
    </w:pPr>
    <w:bookmarkStart w:id="3" w:name="_GoBack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88" w:rsidRPr="00895F88" w:rsidRDefault="00895F88" w:rsidP="00895F8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895F88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AF" w:rsidRDefault="00B83DAF" w:rsidP="0040641C">
      <w:r>
        <w:t>____________________</w:t>
      </w:r>
    </w:p>
  </w:footnote>
  <w:foot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FDE" w:rsidRDefault="00DC5F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1B0B68" w:rsidRDefault="00702A71" w:rsidP="0040641C">
    <w:pPr>
      <w:pStyle w:val="Header"/>
      <w:bidi w:val="0"/>
      <w:rPr>
        <w:rStyle w:val="PageNumber"/>
        <w:rFonts w:cs="Calibri"/>
        <w:sz w:val="22"/>
        <w:szCs w:val="22"/>
      </w:rPr>
    </w:pPr>
    <w:r w:rsidRPr="001B0B68">
      <w:rPr>
        <w:sz w:val="22"/>
        <w:szCs w:val="22"/>
      </w:rPr>
      <w:t xml:space="preserve">- </w:t>
    </w:r>
    <w:r w:rsidRPr="001B0B68">
      <w:rPr>
        <w:rStyle w:val="PageNumber"/>
        <w:rFonts w:cs="Calibri"/>
        <w:sz w:val="22"/>
        <w:szCs w:val="22"/>
      </w:rPr>
      <w:fldChar w:fldCharType="begin"/>
    </w:r>
    <w:r w:rsidRPr="001B0B68">
      <w:rPr>
        <w:rStyle w:val="PageNumber"/>
        <w:rFonts w:cs="Calibri"/>
        <w:sz w:val="22"/>
        <w:szCs w:val="22"/>
      </w:rPr>
      <w:instrText xml:space="preserve"> PAGE </w:instrText>
    </w:r>
    <w:r w:rsidRPr="001B0B68">
      <w:rPr>
        <w:rStyle w:val="PageNumber"/>
        <w:rFonts w:cs="Calibri"/>
        <w:sz w:val="22"/>
        <w:szCs w:val="22"/>
      </w:rPr>
      <w:fldChar w:fldCharType="separate"/>
    </w:r>
    <w:r w:rsidR="00DC5FDE">
      <w:rPr>
        <w:rStyle w:val="PageNumber"/>
        <w:rFonts w:cs="Calibri"/>
        <w:noProof/>
        <w:sz w:val="22"/>
        <w:szCs w:val="22"/>
      </w:rPr>
      <w:t>2</w:t>
    </w:r>
    <w:r w:rsidRPr="001B0B68">
      <w:rPr>
        <w:rStyle w:val="PageNumber"/>
        <w:rFonts w:cs="Calibri"/>
        <w:sz w:val="22"/>
        <w:szCs w:val="22"/>
      </w:rPr>
      <w:fldChar w:fldCharType="end"/>
    </w:r>
    <w:r w:rsidRPr="001B0B68">
      <w:rPr>
        <w:rStyle w:val="PageNumber"/>
        <w:rFonts w:cs="Calibri"/>
        <w:sz w:val="22"/>
        <w:szCs w:val="22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85" w:rsidRDefault="00B46FCF" w:rsidP="0040641C">
    <w:pPr>
      <w:pStyle w:val="Header"/>
    </w:pPr>
    <w:r w:rsidRPr="00B46FCF">
      <w:rPr>
        <w:noProof/>
        <w:lang w:eastAsia="zh-CN" w:bidi="ar-SA"/>
      </w:rPr>
      <w:drawing>
        <wp:inline distT="0" distB="0" distL="0" distR="0" wp14:anchorId="62D2971E" wp14:editId="43FC47E5">
          <wp:extent cx="638175" cy="7239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1CDF"/>
    <w:rsid w:val="00002129"/>
    <w:rsid w:val="00004AA6"/>
    <w:rsid w:val="0001209E"/>
    <w:rsid w:val="00016557"/>
    <w:rsid w:val="000169D1"/>
    <w:rsid w:val="00017A26"/>
    <w:rsid w:val="0002125E"/>
    <w:rsid w:val="0002453D"/>
    <w:rsid w:val="000279B5"/>
    <w:rsid w:val="00031D4D"/>
    <w:rsid w:val="00035AC9"/>
    <w:rsid w:val="000426E3"/>
    <w:rsid w:val="0004450B"/>
    <w:rsid w:val="00045059"/>
    <w:rsid w:val="000508A6"/>
    <w:rsid w:val="00054872"/>
    <w:rsid w:val="00067CA9"/>
    <w:rsid w:val="00071CE5"/>
    <w:rsid w:val="00072C95"/>
    <w:rsid w:val="00073B79"/>
    <w:rsid w:val="00077EC4"/>
    <w:rsid w:val="00083ED6"/>
    <w:rsid w:val="000A1733"/>
    <w:rsid w:val="000A35C5"/>
    <w:rsid w:val="000A3857"/>
    <w:rsid w:val="000A6C6C"/>
    <w:rsid w:val="000A6F21"/>
    <w:rsid w:val="000B1297"/>
    <w:rsid w:val="000B1BBB"/>
    <w:rsid w:val="000B4F36"/>
    <w:rsid w:val="000B6EB6"/>
    <w:rsid w:val="000C4981"/>
    <w:rsid w:val="000D0AE5"/>
    <w:rsid w:val="000E15C1"/>
    <w:rsid w:val="000E64DA"/>
    <w:rsid w:val="000E7F52"/>
    <w:rsid w:val="000F370C"/>
    <w:rsid w:val="000F527D"/>
    <w:rsid w:val="000F730F"/>
    <w:rsid w:val="001003AC"/>
    <w:rsid w:val="00101648"/>
    <w:rsid w:val="00101A92"/>
    <w:rsid w:val="0010737B"/>
    <w:rsid w:val="00110801"/>
    <w:rsid w:val="00110E6F"/>
    <w:rsid w:val="00113392"/>
    <w:rsid w:val="001214B1"/>
    <w:rsid w:val="00125B91"/>
    <w:rsid w:val="00126A16"/>
    <w:rsid w:val="00127558"/>
    <w:rsid w:val="00135138"/>
    <w:rsid w:val="00137D1C"/>
    <w:rsid w:val="00141FB5"/>
    <w:rsid w:val="00151719"/>
    <w:rsid w:val="00151B87"/>
    <w:rsid w:val="00154A1B"/>
    <w:rsid w:val="00154DCC"/>
    <w:rsid w:val="00155F29"/>
    <w:rsid w:val="00172AD2"/>
    <w:rsid w:val="001730EB"/>
    <w:rsid w:val="00176171"/>
    <w:rsid w:val="0017621F"/>
    <w:rsid w:val="001809BF"/>
    <w:rsid w:val="00182849"/>
    <w:rsid w:val="001860BE"/>
    <w:rsid w:val="001907F7"/>
    <w:rsid w:val="00194644"/>
    <w:rsid w:val="00195371"/>
    <w:rsid w:val="001A0D98"/>
    <w:rsid w:val="001B0B68"/>
    <w:rsid w:val="001B1B7B"/>
    <w:rsid w:val="001B20D0"/>
    <w:rsid w:val="001B2272"/>
    <w:rsid w:val="001B22F8"/>
    <w:rsid w:val="001B25A9"/>
    <w:rsid w:val="001B2DBA"/>
    <w:rsid w:val="001B5816"/>
    <w:rsid w:val="001B6696"/>
    <w:rsid w:val="001C608C"/>
    <w:rsid w:val="001D1D48"/>
    <w:rsid w:val="001D2954"/>
    <w:rsid w:val="001E15AA"/>
    <w:rsid w:val="001E1D85"/>
    <w:rsid w:val="001F045C"/>
    <w:rsid w:val="001F0B82"/>
    <w:rsid w:val="001F4D76"/>
    <w:rsid w:val="001F51CE"/>
    <w:rsid w:val="002014D0"/>
    <w:rsid w:val="002022D7"/>
    <w:rsid w:val="00206E2B"/>
    <w:rsid w:val="00210B45"/>
    <w:rsid w:val="00210CB8"/>
    <w:rsid w:val="00214333"/>
    <w:rsid w:val="002162E8"/>
    <w:rsid w:val="0021748E"/>
    <w:rsid w:val="00227F65"/>
    <w:rsid w:val="00233C28"/>
    <w:rsid w:val="00234BE3"/>
    <w:rsid w:val="00245428"/>
    <w:rsid w:val="002518EE"/>
    <w:rsid w:val="00253D08"/>
    <w:rsid w:val="00253EA4"/>
    <w:rsid w:val="00263682"/>
    <w:rsid w:val="00274773"/>
    <w:rsid w:val="0027690C"/>
    <w:rsid w:val="0027799D"/>
    <w:rsid w:val="0028363A"/>
    <w:rsid w:val="002917EF"/>
    <w:rsid w:val="00291BE8"/>
    <w:rsid w:val="00293629"/>
    <w:rsid w:val="002943F5"/>
    <w:rsid w:val="002A26AD"/>
    <w:rsid w:val="002A4BA8"/>
    <w:rsid w:val="002A52A0"/>
    <w:rsid w:val="002C090D"/>
    <w:rsid w:val="002C753A"/>
    <w:rsid w:val="002D166F"/>
    <w:rsid w:val="002D34D0"/>
    <w:rsid w:val="002E121B"/>
    <w:rsid w:val="002E3792"/>
    <w:rsid w:val="002E492B"/>
    <w:rsid w:val="002F09E5"/>
    <w:rsid w:val="002F1732"/>
    <w:rsid w:val="002F5120"/>
    <w:rsid w:val="00316B78"/>
    <w:rsid w:val="00317D3A"/>
    <w:rsid w:val="0032158B"/>
    <w:rsid w:val="0032177C"/>
    <w:rsid w:val="00322AF8"/>
    <w:rsid w:val="0033354D"/>
    <w:rsid w:val="00334360"/>
    <w:rsid w:val="003411F3"/>
    <w:rsid w:val="00343581"/>
    <w:rsid w:val="00345C9C"/>
    <w:rsid w:val="0035399B"/>
    <w:rsid w:val="00362963"/>
    <w:rsid w:val="00362E1A"/>
    <w:rsid w:val="0036449B"/>
    <w:rsid w:val="003674A6"/>
    <w:rsid w:val="00367BBB"/>
    <w:rsid w:val="0037417F"/>
    <w:rsid w:val="003757CC"/>
    <w:rsid w:val="00377082"/>
    <w:rsid w:val="00377341"/>
    <w:rsid w:val="0038391B"/>
    <w:rsid w:val="003A241D"/>
    <w:rsid w:val="003A59BD"/>
    <w:rsid w:val="003B1B5D"/>
    <w:rsid w:val="003B1FBA"/>
    <w:rsid w:val="003C6569"/>
    <w:rsid w:val="003D18B7"/>
    <w:rsid w:val="003D2E91"/>
    <w:rsid w:val="003D3993"/>
    <w:rsid w:val="003D44A1"/>
    <w:rsid w:val="003E0E63"/>
    <w:rsid w:val="003E10AB"/>
    <w:rsid w:val="003E2ED5"/>
    <w:rsid w:val="003F18DA"/>
    <w:rsid w:val="003F34DC"/>
    <w:rsid w:val="003F47F3"/>
    <w:rsid w:val="003F4D9B"/>
    <w:rsid w:val="00401D1F"/>
    <w:rsid w:val="0040641C"/>
    <w:rsid w:val="004100F4"/>
    <w:rsid w:val="00411A4F"/>
    <w:rsid w:val="004124FE"/>
    <w:rsid w:val="004140EA"/>
    <w:rsid w:val="00414A48"/>
    <w:rsid w:val="00432EC2"/>
    <w:rsid w:val="00434805"/>
    <w:rsid w:val="00434B10"/>
    <w:rsid w:val="00436EDB"/>
    <w:rsid w:val="004406E3"/>
    <w:rsid w:val="0044634B"/>
    <w:rsid w:val="00453D4D"/>
    <w:rsid w:val="00457565"/>
    <w:rsid w:val="004646F6"/>
    <w:rsid w:val="00466806"/>
    <w:rsid w:val="0047143B"/>
    <w:rsid w:val="00471862"/>
    <w:rsid w:val="00471DD0"/>
    <w:rsid w:val="0047339A"/>
    <w:rsid w:val="00473950"/>
    <w:rsid w:val="004858AB"/>
    <w:rsid w:val="004976B3"/>
    <w:rsid w:val="004A1D41"/>
    <w:rsid w:val="004A1E69"/>
    <w:rsid w:val="004A5AB1"/>
    <w:rsid w:val="004B04D5"/>
    <w:rsid w:val="004C1881"/>
    <w:rsid w:val="004C2077"/>
    <w:rsid w:val="004C270F"/>
    <w:rsid w:val="004D4294"/>
    <w:rsid w:val="004D624F"/>
    <w:rsid w:val="004D75FF"/>
    <w:rsid w:val="004D77CF"/>
    <w:rsid w:val="004E74BF"/>
    <w:rsid w:val="004F26AE"/>
    <w:rsid w:val="005001E5"/>
    <w:rsid w:val="00501B47"/>
    <w:rsid w:val="00502A18"/>
    <w:rsid w:val="0050504B"/>
    <w:rsid w:val="0051048F"/>
    <w:rsid w:val="00514374"/>
    <w:rsid w:val="0051634A"/>
    <w:rsid w:val="0051686A"/>
    <w:rsid w:val="005176E4"/>
    <w:rsid w:val="0053317C"/>
    <w:rsid w:val="00535AFB"/>
    <w:rsid w:val="0053780B"/>
    <w:rsid w:val="00550968"/>
    <w:rsid w:val="005536CD"/>
    <w:rsid w:val="00554B1F"/>
    <w:rsid w:val="0055521C"/>
    <w:rsid w:val="00555296"/>
    <w:rsid w:val="005611F9"/>
    <w:rsid w:val="00564770"/>
    <w:rsid w:val="0056634E"/>
    <w:rsid w:val="00566F8C"/>
    <w:rsid w:val="00575003"/>
    <w:rsid w:val="0058064C"/>
    <w:rsid w:val="00584C09"/>
    <w:rsid w:val="00584E0D"/>
    <w:rsid w:val="00587AD2"/>
    <w:rsid w:val="00593FED"/>
    <w:rsid w:val="00595800"/>
    <w:rsid w:val="00596377"/>
    <w:rsid w:val="005B13A8"/>
    <w:rsid w:val="005B4154"/>
    <w:rsid w:val="005B4982"/>
    <w:rsid w:val="005B4B08"/>
    <w:rsid w:val="005B633B"/>
    <w:rsid w:val="005B7E8A"/>
    <w:rsid w:val="005C263D"/>
    <w:rsid w:val="005C39FE"/>
    <w:rsid w:val="005C6634"/>
    <w:rsid w:val="005C79A3"/>
    <w:rsid w:val="005E0656"/>
    <w:rsid w:val="005E4BF8"/>
    <w:rsid w:val="005E72AF"/>
    <w:rsid w:val="005E77F8"/>
    <w:rsid w:val="005F130D"/>
    <w:rsid w:val="005F43FE"/>
    <w:rsid w:val="005F7D34"/>
    <w:rsid w:val="005F7F4C"/>
    <w:rsid w:val="00601980"/>
    <w:rsid w:val="00603B07"/>
    <w:rsid w:val="0060519A"/>
    <w:rsid w:val="006051A6"/>
    <w:rsid w:val="006136BC"/>
    <w:rsid w:val="00614BB4"/>
    <w:rsid w:val="00616897"/>
    <w:rsid w:val="006178BB"/>
    <w:rsid w:val="00617D81"/>
    <w:rsid w:val="006230BD"/>
    <w:rsid w:val="00623D15"/>
    <w:rsid w:val="00624358"/>
    <w:rsid w:val="00625711"/>
    <w:rsid w:val="0062794A"/>
    <w:rsid w:val="00630566"/>
    <w:rsid w:val="00637C9D"/>
    <w:rsid w:val="00637CD7"/>
    <w:rsid w:val="0064068A"/>
    <w:rsid w:val="0064333A"/>
    <w:rsid w:val="00644787"/>
    <w:rsid w:val="0066315C"/>
    <w:rsid w:val="0067004A"/>
    <w:rsid w:val="00673F81"/>
    <w:rsid w:val="00676338"/>
    <w:rsid w:val="00677831"/>
    <w:rsid w:val="00677A51"/>
    <w:rsid w:val="00684D90"/>
    <w:rsid w:val="006905F0"/>
    <w:rsid w:val="006924A4"/>
    <w:rsid w:val="00696236"/>
    <w:rsid w:val="00697F6F"/>
    <w:rsid w:val="006A089A"/>
    <w:rsid w:val="006A41E6"/>
    <w:rsid w:val="006A6CAA"/>
    <w:rsid w:val="006A7401"/>
    <w:rsid w:val="006B3F95"/>
    <w:rsid w:val="006B46DE"/>
    <w:rsid w:val="006B73A8"/>
    <w:rsid w:val="006C2683"/>
    <w:rsid w:val="006D31F5"/>
    <w:rsid w:val="006D4BEB"/>
    <w:rsid w:val="006D4E72"/>
    <w:rsid w:val="006D716C"/>
    <w:rsid w:val="006D777A"/>
    <w:rsid w:val="006E30A7"/>
    <w:rsid w:val="006E365F"/>
    <w:rsid w:val="006E439B"/>
    <w:rsid w:val="006E5584"/>
    <w:rsid w:val="006F5A94"/>
    <w:rsid w:val="006F6DD0"/>
    <w:rsid w:val="00700BED"/>
    <w:rsid w:val="007016A3"/>
    <w:rsid w:val="00701C59"/>
    <w:rsid w:val="00702A71"/>
    <w:rsid w:val="00702B45"/>
    <w:rsid w:val="00706736"/>
    <w:rsid w:val="00706CA3"/>
    <w:rsid w:val="0071106C"/>
    <w:rsid w:val="00714C2F"/>
    <w:rsid w:val="00714F54"/>
    <w:rsid w:val="00717F36"/>
    <w:rsid w:val="00721B26"/>
    <w:rsid w:val="00723795"/>
    <w:rsid w:val="00730DF4"/>
    <w:rsid w:val="00737537"/>
    <w:rsid w:val="00741561"/>
    <w:rsid w:val="00745C10"/>
    <w:rsid w:val="00746900"/>
    <w:rsid w:val="00753BD1"/>
    <w:rsid w:val="00753FFD"/>
    <w:rsid w:val="0075479D"/>
    <w:rsid w:val="00756479"/>
    <w:rsid w:val="00762CF0"/>
    <w:rsid w:val="007641BB"/>
    <w:rsid w:val="0076544C"/>
    <w:rsid w:val="00766F32"/>
    <w:rsid w:val="00771C1E"/>
    <w:rsid w:val="0077256B"/>
    <w:rsid w:val="00777D00"/>
    <w:rsid w:val="00785D50"/>
    <w:rsid w:val="00786005"/>
    <w:rsid w:val="00786603"/>
    <w:rsid w:val="00790041"/>
    <w:rsid w:val="0079641E"/>
    <w:rsid w:val="007A5579"/>
    <w:rsid w:val="007A56AC"/>
    <w:rsid w:val="007A59D7"/>
    <w:rsid w:val="007A7518"/>
    <w:rsid w:val="007B00A1"/>
    <w:rsid w:val="007C1B13"/>
    <w:rsid w:val="007C1F2D"/>
    <w:rsid w:val="007C2ADA"/>
    <w:rsid w:val="007D2EBF"/>
    <w:rsid w:val="007E02F9"/>
    <w:rsid w:val="007E0A6F"/>
    <w:rsid w:val="007E6CD5"/>
    <w:rsid w:val="007F2EC0"/>
    <w:rsid w:val="007F3CB0"/>
    <w:rsid w:val="007F6F14"/>
    <w:rsid w:val="0080201E"/>
    <w:rsid w:val="0080744B"/>
    <w:rsid w:val="00811467"/>
    <w:rsid w:val="00813125"/>
    <w:rsid w:val="008172A1"/>
    <w:rsid w:val="00832D29"/>
    <w:rsid w:val="00837C3E"/>
    <w:rsid w:val="00840C1F"/>
    <w:rsid w:val="00843537"/>
    <w:rsid w:val="00851629"/>
    <w:rsid w:val="008566F2"/>
    <w:rsid w:val="00856E49"/>
    <w:rsid w:val="008577A1"/>
    <w:rsid w:val="008663FF"/>
    <w:rsid w:val="008667A4"/>
    <w:rsid w:val="0087580E"/>
    <w:rsid w:val="00881D43"/>
    <w:rsid w:val="00882803"/>
    <w:rsid w:val="00887F2D"/>
    <w:rsid w:val="00890E63"/>
    <w:rsid w:val="0089168D"/>
    <w:rsid w:val="00895F88"/>
    <w:rsid w:val="008A2811"/>
    <w:rsid w:val="008B4D20"/>
    <w:rsid w:val="008C09DD"/>
    <w:rsid w:val="008C29C9"/>
    <w:rsid w:val="008D3CC4"/>
    <w:rsid w:val="008D4874"/>
    <w:rsid w:val="008E0AB8"/>
    <w:rsid w:val="008E27BB"/>
    <w:rsid w:val="008F1DA5"/>
    <w:rsid w:val="008F5BE4"/>
    <w:rsid w:val="008F6223"/>
    <w:rsid w:val="0090114E"/>
    <w:rsid w:val="0090232E"/>
    <w:rsid w:val="0091067F"/>
    <w:rsid w:val="00910AE4"/>
    <w:rsid w:val="00911B58"/>
    <w:rsid w:val="00912E3F"/>
    <w:rsid w:val="00917A34"/>
    <w:rsid w:val="009216B2"/>
    <w:rsid w:val="00921C09"/>
    <w:rsid w:val="00927B62"/>
    <w:rsid w:val="009320CD"/>
    <w:rsid w:val="00933F5D"/>
    <w:rsid w:val="0093776F"/>
    <w:rsid w:val="00942FE4"/>
    <w:rsid w:val="009463F8"/>
    <w:rsid w:val="00960FD3"/>
    <w:rsid w:val="00962157"/>
    <w:rsid w:val="00962804"/>
    <w:rsid w:val="0096482F"/>
    <w:rsid w:val="009676DC"/>
    <w:rsid w:val="00967C09"/>
    <w:rsid w:val="009746CA"/>
    <w:rsid w:val="00980D6F"/>
    <w:rsid w:val="00983A83"/>
    <w:rsid w:val="009846D5"/>
    <w:rsid w:val="00985D70"/>
    <w:rsid w:val="0099072C"/>
    <w:rsid w:val="009929BE"/>
    <w:rsid w:val="00995B6A"/>
    <w:rsid w:val="00996765"/>
    <w:rsid w:val="009A20CA"/>
    <w:rsid w:val="009A369E"/>
    <w:rsid w:val="009B5718"/>
    <w:rsid w:val="009B785F"/>
    <w:rsid w:val="009C13AA"/>
    <w:rsid w:val="009C16B7"/>
    <w:rsid w:val="009C6484"/>
    <w:rsid w:val="009C790E"/>
    <w:rsid w:val="009D3F00"/>
    <w:rsid w:val="009D4DB1"/>
    <w:rsid w:val="009D4F69"/>
    <w:rsid w:val="009E068B"/>
    <w:rsid w:val="009E14F3"/>
    <w:rsid w:val="009E1957"/>
    <w:rsid w:val="009E63FC"/>
    <w:rsid w:val="009E69A1"/>
    <w:rsid w:val="009F664B"/>
    <w:rsid w:val="00A06093"/>
    <w:rsid w:val="00A10B59"/>
    <w:rsid w:val="00A11E76"/>
    <w:rsid w:val="00A13759"/>
    <w:rsid w:val="00A14171"/>
    <w:rsid w:val="00A15980"/>
    <w:rsid w:val="00A23414"/>
    <w:rsid w:val="00A23E17"/>
    <w:rsid w:val="00A25867"/>
    <w:rsid w:val="00A32E03"/>
    <w:rsid w:val="00A46274"/>
    <w:rsid w:val="00A47673"/>
    <w:rsid w:val="00A62B6B"/>
    <w:rsid w:val="00A62D1F"/>
    <w:rsid w:val="00A64BD3"/>
    <w:rsid w:val="00A71C23"/>
    <w:rsid w:val="00A77413"/>
    <w:rsid w:val="00A82657"/>
    <w:rsid w:val="00A849DB"/>
    <w:rsid w:val="00A974D1"/>
    <w:rsid w:val="00AA488A"/>
    <w:rsid w:val="00AB05FA"/>
    <w:rsid w:val="00AB07C5"/>
    <w:rsid w:val="00AB3CD0"/>
    <w:rsid w:val="00AC62A7"/>
    <w:rsid w:val="00AC6687"/>
    <w:rsid w:val="00AC66CB"/>
    <w:rsid w:val="00AC72E1"/>
    <w:rsid w:val="00AD0DA4"/>
    <w:rsid w:val="00AD5754"/>
    <w:rsid w:val="00AE1F6F"/>
    <w:rsid w:val="00AE236D"/>
    <w:rsid w:val="00AE736C"/>
    <w:rsid w:val="00AF260B"/>
    <w:rsid w:val="00AF3604"/>
    <w:rsid w:val="00AF46D6"/>
    <w:rsid w:val="00AF4F7D"/>
    <w:rsid w:val="00AF56DC"/>
    <w:rsid w:val="00B00BF1"/>
    <w:rsid w:val="00B02760"/>
    <w:rsid w:val="00B05BCE"/>
    <w:rsid w:val="00B11172"/>
    <w:rsid w:val="00B12C70"/>
    <w:rsid w:val="00B14E56"/>
    <w:rsid w:val="00B1559B"/>
    <w:rsid w:val="00B226BE"/>
    <w:rsid w:val="00B25394"/>
    <w:rsid w:val="00B27185"/>
    <w:rsid w:val="00B30EEC"/>
    <w:rsid w:val="00B34BD4"/>
    <w:rsid w:val="00B37C92"/>
    <w:rsid w:val="00B427F9"/>
    <w:rsid w:val="00B437BF"/>
    <w:rsid w:val="00B43876"/>
    <w:rsid w:val="00B45FA0"/>
    <w:rsid w:val="00B46FCF"/>
    <w:rsid w:val="00B55891"/>
    <w:rsid w:val="00B56018"/>
    <w:rsid w:val="00B57344"/>
    <w:rsid w:val="00B6187F"/>
    <w:rsid w:val="00B61B2F"/>
    <w:rsid w:val="00B658E8"/>
    <w:rsid w:val="00B6766E"/>
    <w:rsid w:val="00B71A53"/>
    <w:rsid w:val="00B746B9"/>
    <w:rsid w:val="00B77485"/>
    <w:rsid w:val="00B83795"/>
    <w:rsid w:val="00B83DAF"/>
    <w:rsid w:val="00B84527"/>
    <w:rsid w:val="00B865AE"/>
    <w:rsid w:val="00B86CBA"/>
    <w:rsid w:val="00B87E04"/>
    <w:rsid w:val="00B87F62"/>
    <w:rsid w:val="00B97EAC"/>
    <w:rsid w:val="00BA183E"/>
    <w:rsid w:val="00BA62CA"/>
    <w:rsid w:val="00BA62E2"/>
    <w:rsid w:val="00BB1CC1"/>
    <w:rsid w:val="00BB4C56"/>
    <w:rsid w:val="00BC0B60"/>
    <w:rsid w:val="00BC2598"/>
    <w:rsid w:val="00BC7796"/>
    <w:rsid w:val="00BD393E"/>
    <w:rsid w:val="00BE3483"/>
    <w:rsid w:val="00BE3FD7"/>
    <w:rsid w:val="00BE5F6F"/>
    <w:rsid w:val="00BE6E26"/>
    <w:rsid w:val="00BF1A36"/>
    <w:rsid w:val="00BF3448"/>
    <w:rsid w:val="00C019B1"/>
    <w:rsid w:val="00C024BD"/>
    <w:rsid w:val="00C04986"/>
    <w:rsid w:val="00C14758"/>
    <w:rsid w:val="00C148B3"/>
    <w:rsid w:val="00C1691A"/>
    <w:rsid w:val="00C2024A"/>
    <w:rsid w:val="00C37B75"/>
    <w:rsid w:val="00C4487E"/>
    <w:rsid w:val="00C46998"/>
    <w:rsid w:val="00C50B61"/>
    <w:rsid w:val="00C531B1"/>
    <w:rsid w:val="00C56ACE"/>
    <w:rsid w:val="00C60D6E"/>
    <w:rsid w:val="00C626AC"/>
    <w:rsid w:val="00C70ACD"/>
    <w:rsid w:val="00C75D64"/>
    <w:rsid w:val="00C76AFF"/>
    <w:rsid w:val="00C77E1E"/>
    <w:rsid w:val="00C81F32"/>
    <w:rsid w:val="00C820D1"/>
    <w:rsid w:val="00C90B49"/>
    <w:rsid w:val="00CA031D"/>
    <w:rsid w:val="00CA31D5"/>
    <w:rsid w:val="00CA481F"/>
    <w:rsid w:val="00CB1311"/>
    <w:rsid w:val="00CB4CC7"/>
    <w:rsid w:val="00CB4F19"/>
    <w:rsid w:val="00CC5722"/>
    <w:rsid w:val="00CC60B6"/>
    <w:rsid w:val="00CC7BB1"/>
    <w:rsid w:val="00CD00B4"/>
    <w:rsid w:val="00CD3ED5"/>
    <w:rsid w:val="00CD4B68"/>
    <w:rsid w:val="00CD7339"/>
    <w:rsid w:val="00CE05A9"/>
    <w:rsid w:val="00CE5A31"/>
    <w:rsid w:val="00CF153D"/>
    <w:rsid w:val="00D06594"/>
    <w:rsid w:val="00D06E04"/>
    <w:rsid w:val="00D10118"/>
    <w:rsid w:val="00D123B8"/>
    <w:rsid w:val="00D148B4"/>
    <w:rsid w:val="00D21455"/>
    <w:rsid w:val="00D272C1"/>
    <w:rsid w:val="00D30547"/>
    <w:rsid w:val="00D332B2"/>
    <w:rsid w:val="00D340D1"/>
    <w:rsid w:val="00D35752"/>
    <w:rsid w:val="00D422AA"/>
    <w:rsid w:val="00D4383B"/>
    <w:rsid w:val="00D463D0"/>
    <w:rsid w:val="00D5513C"/>
    <w:rsid w:val="00D611C7"/>
    <w:rsid w:val="00D61395"/>
    <w:rsid w:val="00D63D34"/>
    <w:rsid w:val="00D63E59"/>
    <w:rsid w:val="00D6618A"/>
    <w:rsid w:val="00D6756E"/>
    <w:rsid w:val="00D70F15"/>
    <w:rsid w:val="00D744B4"/>
    <w:rsid w:val="00D84194"/>
    <w:rsid w:val="00D85C32"/>
    <w:rsid w:val="00D960FE"/>
    <w:rsid w:val="00DB34B9"/>
    <w:rsid w:val="00DB37F6"/>
    <w:rsid w:val="00DB44A0"/>
    <w:rsid w:val="00DB75F6"/>
    <w:rsid w:val="00DC1F44"/>
    <w:rsid w:val="00DC31AF"/>
    <w:rsid w:val="00DC327A"/>
    <w:rsid w:val="00DC5857"/>
    <w:rsid w:val="00DC5FDE"/>
    <w:rsid w:val="00DC601C"/>
    <w:rsid w:val="00DC640D"/>
    <w:rsid w:val="00DC6C14"/>
    <w:rsid w:val="00DD2F93"/>
    <w:rsid w:val="00DE29E8"/>
    <w:rsid w:val="00DE3C02"/>
    <w:rsid w:val="00DE5184"/>
    <w:rsid w:val="00E0259A"/>
    <w:rsid w:val="00E039FF"/>
    <w:rsid w:val="00E20064"/>
    <w:rsid w:val="00E30F98"/>
    <w:rsid w:val="00E331F6"/>
    <w:rsid w:val="00E3357F"/>
    <w:rsid w:val="00E5049F"/>
    <w:rsid w:val="00E51D3F"/>
    <w:rsid w:val="00E673B8"/>
    <w:rsid w:val="00E67F70"/>
    <w:rsid w:val="00E77927"/>
    <w:rsid w:val="00E8544E"/>
    <w:rsid w:val="00E85F49"/>
    <w:rsid w:val="00E87362"/>
    <w:rsid w:val="00E962CA"/>
    <w:rsid w:val="00EA3486"/>
    <w:rsid w:val="00EB2911"/>
    <w:rsid w:val="00EB7A7B"/>
    <w:rsid w:val="00EC0837"/>
    <w:rsid w:val="00EC2925"/>
    <w:rsid w:val="00EC37A9"/>
    <w:rsid w:val="00EC4130"/>
    <w:rsid w:val="00EC710F"/>
    <w:rsid w:val="00EC731E"/>
    <w:rsid w:val="00ED09ED"/>
    <w:rsid w:val="00ED75BE"/>
    <w:rsid w:val="00EE30A5"/>
    <w:rsid w:val="00EE5525"/>
    <w:rsid w:val="00EE6E30"/>
    <w:rsid w:val="00F00134"/>
    <w:rsid w:val="00F00A50"/>
    <w:rsid w:val="00F03257"/>
    <w:rsid w:val="00F0695C"/>
    <w:rsid w:val="00F10BB0"/>
    <w:rsid w:val="00F12052"/>
    <w:rsid w:val="00F130A4"/>
    <w:rsid w:val="00F22FAC"/>
    <w:rsid w:val="00F24131"/>
    <w:rsid w:val="00F31AB4"/>
    <w:rsid w:val="00F31C78"/>
    <w:rsid w:val="00F3354A"/>
    <w:rsid w:val="00F35601"/>
    <w:rsid w:val="00F35FDD"/>
    <w:rsid w:val="00F42740"/>
    <w:rsid w:val="00F47641"/>
    <w:rsid w:val="00F51414"/>
    <w:rsid w:val="00F5255B"/>
    <w:rsid w:val="00F542D7"/>
    <w:rsid w:val="00F542DE"/>
    <w:rsid w:val="00F60216"/>
    <w:rsid w:val="00F6100D"/>
    <w:rsid w:val="00F61324"/>
    <w:rsid w:val="00F71AB3"/>
    <w:rsid w:val="00F7302E"/>
    <w:rsid w:val="00F731D5"/>
    <w:rsid w:val="00F7615E"/>
    <w:rsid w:val="00F769F8"/>
    <w:rsid w:val="00F76A81"/>
    <w:rsid w:val="00F80E3E"/>
    <w:rsid w:val="00F82D52"/>
    <w:rsid w:val="00F82F1D"/>
    <w:rsid w:val="00F87CD1"/>
    <w:rsid w:val="00FB05F7"/>
    <w:rsid w:val="00FB1538"/>
    <w:rsid w:val="00FB442A"/>
    <w:rsid w:val="00FB5847"/>
    <w:rsid w:val="00FC0B0D"/>
    <w:rsid w:val="00FC23A6"/>
    <w:rsid w:val="00FC5D4C"/>
    <w:rsid w:val="00FC6453"/>
    <w:rsid w:val="00FD08D7"/>
    <w:rsid w:val="00FD3426"/>
    <w:rsid w:val="00FD441D"/>
    <w:rsid w:val="00FD5E20"/>
    <w:rsid w:val="00FE4524"/>
    <w:rsid w:val="00FE5275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uiPriority w:val="99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uiPriority w:val="99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12-SG04-C/e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en/ITU-T/ipr/Pages/policy.asp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pub/R-REC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CFB00-F4DA-4B86-8294-65315AF65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877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6158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jovet</cp:lastModifiedBy>
  <cp:revision>4</cp:revision>
  <cp:lastPrinted>2013-10-21T16:45:00Z</cp:lastPrinted>
  <dcterms:created xsi:type="dcterms:W3CDTF">2013-10-24T05:46:00Z</dcterms:created>
  <dcterms:modified xsi:type="dcterms:W3CDTF">2013-10-24T05:53:00Z</dcterms:modified>
</cp:coreProperties>
</file>