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AA7806" w:rsidTr="006160CB">
        <w:tc>
          <w:tcPr>
            <w:tcW w:w="9889" w:type="dxa"/>
            <w:gridSpan w:val="3"/>
            <w:shd w:val="clear" w:color="auto" w:fill="auto"/>
          </w:tcPr>
          <w:p w:rsidR="00E53DCE" w:rsidRPr="00AA7806" w:rsidRDefault="00A96D3A" w:rsidP="0086264D">
            <w:pPr>
              <w:spacing w:before="0" w:line="240" w:lineRule="auto"/>
              <w:jc w:val="left"/>
              <w:rPr>
                <w:rFonts w:cstheme="minorHAnsi"/>
                <w:b/>
                <w:bCs/>
                <w:color w:val="808080"/>
                <w:sz w:val="28"/>
                <w:szCs w:val="28"/>
                <w:lang w:val="es-ES_tradnl"/>
              </w:rPr>
            </w:pPr>
            <w:bookmarkStart w:id="0" w:name="_GoBack"/>
            <w:bookmarkEnd w:id="0"/>
            <w:r w:rsidRPr="00AA7806">
              <w:rPr>
                <w:rFonts w:cstheme="minorHAnsi"/>
                <w:b/>
                <w:bCs/>
                <w:color w:val="808080"/>
                <w:sz w:val="28"/>
                <w:szCs w:val="28"/>
                <w:lang w:val="es-ES_tradnl"/>
              </w:rPr>
              <w:t>Oficina de Radiocomunicaciones (BR)</w:t>
            </w:r>
          </w:p>
          <w:p w:rsidR="00E53DCE" w:rsidRPr="00AA7806" w:rsidRDefault="00E53DCE" w:rsidP="0086264D">
            <w:pPr>
              <w:spacing w:before="0" w:line="240" w:lineRule="auto"/>
              <w:jc w:val="left"/>
              <w:rPr>
                <w:rFonts w:cstheme="minorHAnsi"/>
                <w:b/>
                <w:bCs/>
                <w:color w:val="808080"/>
                <w:sz w:val="28"/>
                <w:szCs w:val="28"/>
                <w:lang w:val="es-ES_tradnl"/>
              </w:rPr>
            </w:pPr>
          </w:p>
          <w:p w:rsidR="00E53DCE" w:rsidRPr="00AA7806" w:rsidRDefault="00E53DCE" w:rsidP="0086264D">
            <w:pPr>
              <w:spacing w:before="0" w:line="240" w:lineRule="auto"/>
              <w:jc w:val="left"/>
              <w:rPr>
                <w:rFonts w:cs="Times New Roman Bold"/>
                <w:b/>
                <w:bCs/>
                <w:color w:val="808080"/>
                <w:sz w:val="28"/>
                <w:szCs w:val="28"/>
                <w:lang w:val="es-ES_tradnl"/>
              </w:rPr>
            </w:pPr>
          </w:p>
        </w:tc>
      </w:tr>
      <w:tr w:rsidR="00E53DCE" w:rsidRPr="00AA7806" w:rsidTr="006160CB">
        <w:tc>
          <w:tcPr>
            <w:tcW w:w="7054" w:type="dxa"/>
            <w:gridSpan w:val="2"/>
            <w:shd w:val="clear" w:color="auto" w:fill="auto"/>
          </w:tcPr>
          <w:p w:rsidR="00E53DCE" w:rsidRPr="00AA7806" w:rsidRDefault="00A96D3A" w:rsidP="0086264D">
            <w:pPr>
              <w:spacing w:before="0" w:line="240" w:lineRule="auto"/>
              <w:jc w:val="left"/>
              <w:rPr>
                <w:szCs w:val="24"/>
                <w:lang w:val="es-ES_tradnl"/>
              </w:rPr>
            </w:pPr>
            <w:r w:rsidRPr="00AA7806">
              <w:rPr>
                <w:szCs w:val="24"/>
                <w:lang w:val="es-ES_tradnl"/>
              </w:rPr>
              <w:t>Circular Administrativa</w:t>
            </w:r>
          </w:p>
          <w:p w:rsidR="00E53DCE" w:rsidRPr="00AA7806" w:rsidRDefault="0086264D" w:rsidP="0086264D">
            <w:pPr>
              <w:spacing w:before="0" w:line="240" w:lineRule="auto"/>
              <w:jc w:val="left"/>
              <w:rPr>
                <w:b/>
                <w:bCs/>
                <w:szCs w:val="24"/>
                <w:lang w:val="es-ES_tradnl"/>
              </w:rPr>
            </w:pPr>
            <w:r w:rsidRPr="00AA7806">
              <w:rPr>
                <w:b/>
                <w:bCs/>
                <w:szCs w:val="24"/>
                <w:lang w:val="es-ES_tradnl"/>
              </w:rPr>
              <w:t>CACE/622</w:t>
            </w:r>
          </w:p>
        </w:tc>
        <w:tc>
          <w:tcPr>
            <w:tcW w:w="2835" w:type="dxa"/>
            <w:shd w:val="clear" w:color="auto" w:fill="auto"/>
          </w:tcPr>
          <w:p w:rsidR="00E53DCE" w:rsidRPr="00AA7806" w:rsidRDefault="001D28AE" w:rsidP="0086264D">
            <w:pPr>
              <w:spacing w:before="0" w:line="240" w:lineRule="auto"/>
              <w:jc w:val="right"/>
              <w:rPr>
                <w:szCs w:val="24"/>
                <w:lang w:val="es-ES_tradnl"/>
              </w:rPr>
            </w:pPr>
            <w:r w:rsidRPr="00AA7806">
              <w:rPr>
                <w:bCs/>
                <w:szCs w:val="24"/>
                <w:lang w:val="es-ES_tradnl"/>
              </w:rPr>
              <w:t>30 de julio de 2013</w:t>
            </w:r>
          </w:p>
        </w:tc>
      </w:tr>
      <w:tr w:rsidR="00E53DCE" w:rsidRPr="00AA7806" w:rsidTr="006160CB">
        <w:tc>
          <w:tcPr>
            <w:tcW w:w="9889" w:type="dxa"/>
            <w:gridSpan w:val="3"/>
            <w:shd w:val="clear" w:color="auto" w:fill="auto"/>
          </w:tcPr>
          <w:p w:rsidR="00E53DCE" w:rsidRPr="00AA7806" w:rsidRDefault="00E53DCE" w:rsidP="0086264D">
            <w:pPr>
              <w:spacing w:before="0" w:line="240" w:lineRule="auto"/>
              <w:jc w:val="left"/>
              <w:rPr>
                <w:rFonts w:cs="Arial"/>
                <w:szCs w:val="24"/>
                <w:lang w:val="es-ES_tradnl"/>
              </w:rPr>
            </w:pPr>
          </w:p>
        </w:tc>
      </w:tr>
      <w:tr w:rsidR="00E53DCE" w:rsidRPr="00AA7806" w:rsidTr="006160CB">
        <w:tc>
          <w:tcPr>
            <w:tcW w:w="9889" w:type="dxa"/>
            <w:gridSpan w:val="3"/>
            <w:shd w:val="clear" w:color="auto" w:fill="auto"/>
          </w:tcPr>
          <w:p w:rsidR="00E53DCE" w:rsidRPr="00AA7806" w:rsidRDefault="00E53DCE" w:rsidP="0086264D">
            <w:pPr>
              <w:spacing w:before="0" w:line="240" w:lineRule="auto"/>
              <w:jc w:val="left"/>
              <w:rPr>
                <w:szCs w:val="24"/>
                <w:lang w:val="es-ES_tradnl"/>
              </w:rPr>
            </w:pPr>
          </w:p>
        </w:tc>
      </w:tr>
      <w:tr w:rsidR="00E53DCE" w:rsidRPr="00E33F15" w:rsidTr="006160CB">
        <w:tc>
          <w:tcPr>
            <w:tcW w:w="9889" w:type="dxa"/>
            <w:gridSpan w:val="3"/>
            <w:shd w:val="clear" w:color="auto" w:fill="auto"/>
          </w:tcPr>
          <w:p w:rsidR="00E53DCE" w:rsidRPr="00AA7806" w:rsidRDefault="0086264D" w:rsidP="00AA7806">
            <w:pPr>
              <w:spacing w:before="0" w:line="240" w:lineRule="auto"/>
              <w:jc w:val="left"/>
              <w:rPr>
                <w:b/>
                <w:bCs/>
                <w:szCs w:val="24"/>
                <w:lang w:val="es-ES_tradnl"/>
              </w:rPr>
            </w:pPr>
            <w:r w:rsidRPr="00AA7806">
              <w:rPr>
                <w:b/>
                <w:szCs w:val="24"/>
                <w:lang w:val="es-ES_tradnl"/>
              </w:rPr>
              <w:t>A las Administraciones de los Estados Miembros de la UIT, los Miembros del Sector de</w:t>
            </w:r>
            <w:r w:rsidR="00AA7806">
              <w:rPr>
                <w:b/>
                <w:szCs w:val="24"/>
                <w:lang w:val="es-ES_tradnl"/>
              </w:rPr>
              <w:t xml:space="preserve"> </w:t>
            </w:r>
            <w:r w:rsidRPr="00AA7806">
              <w:rPr>
                <w:b/>
                <w:szCs w:val="24"/>
                <w:lang w:val="es-ES_tradnl"/>
              </w:rPr>
              <w:t>Radiocomunicaciones y los Asociados del UIT-R</w:t>
            </w:r>
            <w:r w:rsidR="00AA7806">
              <w:rPr>
                <w:b/>
                <w:szCs w:val="24"/>
                <w:lang w:val="es-ES_tradnl"/>
              </w:rPr>
              <w:t xml:space="preserve"> que participan en los trabajos </w:t>
            </w:r>
            <w:r w:rsidRPr="00AA7806">
              <w:rPr>
                <w:b/>
                <w:szCs w:val="24"/>
                <w:lang w:val="es-ES_tradnl"/>
              </w:rPr>
              <w:t>de la Comisión de Estudio 3 de Radiocomunicaciones</w:t>
            </w:r>
          </w:p>
          <w:p w:rsidR="00E53DCE" w:rsidRPr="00AA7806" w:rsidRDefault="00E53DCE" w:rsidP="0086264D">
            <w:pPr>
              <w:spacing w:before="0" w:line="240" w:lineRule="auto"/>
              <w:jc w:val="left"/>
              <w:rPr>
                <w:b/>
                <w:bCs/>
                <w:szCs w:val="24"/>
                <w:lang w:val="es-ES_tradnl"/>
              </w:rPr>
            </w:pPr>
          </w:p>
        </w:tc>
      </w:tr>
      <w:tr w:rsidR="00E53DCE" w:rsidRPr="00E33F15" w:rsidTr="006160CB">
        <w:tc>
          <w:tcPr>
            <w:tcW w:w="9889" w:type="dxa"/>
            <w:gridSpan w:val="3"/>
            <w:shd w:val="clear" w:color="auto" w:fill="auto"/>
          </w:tcPr>
          <w:p w:rsidR="00E53DCE" w:rsidRPr="00AA7806" w:rsidRDefault="00E53DCE" w:rsidP="0086264D">
            <w:pPr>
              <w:spacing w:before="0" w:line="240" w:lineRule="auto"/>
              <w:jc w:val="left"/>
              <w:rPr>
                <w:szCs w:val="24"/>
                <w:lang w:val="es-ES_tradnl"/>
              </w:rPr>
            </w:pPr>
          </w:p>
        </w:tc>
      </w:tr>
      <w:tr w:rsidR="00E53DCE" w:rsidRPr="00E33F15" w:rsidTr="006160CB">
        <w:tc>
          <w:tcPr>
            <w:tcW w:w="9889" w:type="dxa"/>
            <w:gridSpan w:val="3"/>
            <w:shd w:val="clear" w:color="auto" w:fill="auto"/>
          </w:tcPr>
          <w:p w:rsidR="00E53DCE" w:rsidRPr="00AA7806" w:rsidRDefault="00E53DCE" w:rsidP="0086264D">
            <w:pPr>
              <w:spacing w:before="0" w:line="240" w:lineRule="auto"/>
              <w:jc w:val="left"/>
              <w:rPr>
                <w:szCs w:val="24"/>
                <w:lang w:val="es-ES_tradnl"/>
              </w:rPr>
            </w:pPr>
          </w:p>
        </w:tc>
      </w:tr>
      <w:tr w:rsidR="00E53DCE" w:rsidRPr="00E33F15" w:rsidTr="006160CB">
        <w:tc>
          <w:tcPr>
            <w:tcW w:w="1526" w:type="dxa"/>
            <w:shd w:val="clear" w:color="auto" w:fill="auto"/>
          </w:tcPr>
          <w:p w:rsidR="00E53DCE" w:rsidRPr="00AA7806" w:rsidRDefault="0086264D" w:rsidP="0086264D">
            <w:pPr>
              <w:tabs>
                <w:tab w:val="clear" w:pos="1588"/>
                <w:tab w:val="left" w:pos="1560"/>
              </w:tabs>
              <w:spacing w:before="0" w:line="240" w:lineRule="auto"/>
              <w:jc w:val="left"/>
              <w:rPr>
                <w:szCs w:val="24"/>
                <w:lang w:val="es-ES_tradnl"/>
              </w:rPr>
            </w:pPr>
            <w:r w:rsidRPr="00AA7806">
              <w:rPr>
                <w:szCs w:val="24"/>
                <w:lang w:val="es-ES_tradnl"/>
              </w:rPr>
              <w:t>Asunto</w:t>
            </w:r>
            <w:r w:rsidR="00A96D3A" w:rsidRPr="00AA7806">
              <w:rPr>
                <w:szCs w:val="24"/>
                <w:lang w:val="es-ES_tradnl"/>
              </w:rPr>
              <w:t>:</w:t>
            </w:r>
          </w:p>
        </w:tc>
        <w:tc>
          <w:tcPr>
            <w:tcW w:w="8363" w:type="dxa"/>
            <w:gridSpan w:val="2"/>
            <w:vMerge w:val="restart"/>
            <w:shd w:val="clear" w:color="auto" w:fill="auto"/>
          </w:tcPr>
          <w:p w:rsidR="0086264D" w:rsidRPr="00AA7806" w:rsidRDefault="0086264D" w:rsidP="00AA7806">
            <w:pPr>
              <w:tabs>
                <w:tab w:val="clear" w:pos="1588"/>
                <w:tab w:val="left" w:pos="1560"/>
              </w:tabs>
              <w:spacing w:before="0" w:after="120" w:line="240" w:lineRule="auto"/>
              <w:jc w:val="left"/>
              <w:rPr>
                <w:b/>
                <w:bCs/>
                <w:szCs w:val="24"/>
                <w:lang w:val="es-ES_tradnl"/>
              </w:rPr>
            </w:pPr>
            <w:r w:rsidRPr="00AA7806">
              <w:rPr>
                <w:b/>
                <w:bCs/>
                <w:szCs w:val="24"/>
                <w:lang w:val="es-ES_tradnl"/>
              </w:rPr>
              <w:t>Comisión de Estudio 3 de Radiocomunicaciones (Propagación de las ondas radioeléctricas)</w:t>
            </w:r>
          </w:p>
          <w:p w:rsidR="0086264D" w:rsidRPr="00AA7806" w:rsidRDefault="0086264D" w:rsidP="00AA7806">
            <w:pPr>
              <w:tabs>
                <w:tab w:val="clear" w:pos="1588"/>
                <w:tab w:val="left" w:pos="1560"/>
              </w:tabs>
              <w:spacing w:before="0" w:after="120" w:line="240" w:lineRule="auto"/>
              <w:ind w:left="794" w:hanging="794"/>
              <w:jc w:val="left"/>
              <w:rPr>
                <w:b/>
                <w:bCs/>
                <w:szCs w:val="24"/>
                <w:lang w:val="es-ES_tradnl"/>
              </w:rPr>
            </w:pPr>
            <w:r w:rsidRPr="00AA7806">
              <w:rPr>
                <w:b/>
                <w:bCs/>
                <w:szCs w:val="24"/>
                <w:lang w:val="es-ES_tradnl"/>
              </w:rPr>
              <w:t>–</w:t>
            </w:r>
            <w:r w:rsidRPr="00AA7806">
              <w:rPr>
                <w:b/>
                <w:bCs/>
                <w:szCs w:val="24"/>
                <w:lang w:val="es-ES_tradnl"/>
              </w:rPr>
              <w:tab/>
              <w:t>Propuesta de adopción de 2 proyectos de nuevas Recomendaciones UIT-R y de 24 proyectos de Recomendaciones UIT-R revisadas y su aprobación simultánea por correspondencia de conformidad con el § 10.3 de la Resolución UIT-R 1-6 (Procedimiento para la adopción y aprobación simultánea por correspondencia)</w:t>
            </w:r>
          </w:p>
          <w:p w:rsidR="00E53DCE" w:rsidRPr="00AA7806" w:rsidRDefault="0086264D" w:rsidP="00AA7806">
            <w:pPr>
              <w:tabs>
                <w:tab w:val="clear" w:pos="1588"/>
                <w:tab w:val="left" w:pos="1560"/>
              </w:tabs>
              <w:spacing w:before="0" w:line="240" w:lineRule="auto"/>
              <w:jc w:val="left"/>
              <w:rPr>
                <w:b/>
                <w:bCs/>
                <w:szCs w:val="24"/>
                <w:lang w:val="es-ES_tradnl"/>
              </w:rPr>
            </w:pPr>
            <w:r w:rsidRPr="00AA7806">
              <w:rPr>
                <w:b/>
                <w:bCs/>
                <w:szCs w:val="24"/>
                <w:lang w:val="es-ES_tradnl"/>
              </w:rPr>
              <w:t>–</w:t>
            </w:r>
            <w:r w:rsidRPr="00AA7806">
              <w:rPr>
                <w:b/>
                <w:bCs/>
                <w:szCs w:val="24"/>
                <w:lang w:val="es-ES_tradnl"/>
              </w:rPr>
              <w:tab/>
              <w:t>Propuesta de supresión de 1 Recomendación UIT-R</w:t>
            </w:r>
          </w:p>
        </w:tc>
      </w:tr>
      <w:tr w:rsidR="00E53DCE" w:rsidRPr="00E33F15" w:rsidTr="006160CB">
        <w:tc>
          <w:tcPr>
            <w:tcW w:w="1526" w:type="dxa"/>
            <w:shd w:val="clear" w:color="auto" w:fill="auto"/>
          </w:tcPr>
          <w:p w:rsidR="00E53DCE" w:rsidRPr="00AA7806" w:rsidRDefault="00E53DCE" w:rsidP="0086264D">
            <w:pPr>
              <w:tabs>
                <w:tab w:val="clear" w:pos="1588"/>
                <w:tab w:val="left" w:pos="1560"/>
              </w:tabs>
              <w:spacing w:before="0" w:line="240" w:lineRule="auto"/>
              <w:jc w:val="left"/>
              <w:rPr>
                <w:b/>
                <w:bCs/>
                <w:szCs w:val="24"/>
                <w:lang w:val="es-ES_tradnl"/>
              </w:rPr>
            </w:pPr>
          </w:p>
        </w:tc>
        <w:tc>
          <w:tcPr>
            <w:tcW w:w="8363" w:type="dxa"/>
            <w:gridSpan w:val="2"/>
            <w:vMerge/>
            <w:shd w:val="clear" w:color="auto" w:fill="auto"/>
          </w:tcPr>
          <w:p w:rsidR="00E53DCE" w:rsidRPr="00AA7806" w:rsidRDefault="00E53DCE" w:rsidP="0086264D">
            <w:pPr>
              <w:tabs>
                <w:tab w:val="clear" w:pos="1588"/>
                <w:tab w:val="left" w:pos="1560"/>
              </w:tabs>
              <w:spacing w:before="0" w:line="240" w:lineRule="auto"/>
              <w:rPr>
                <w:b/>
                <w:bCs/>
                <w:szCs w:val="24"/>
                <w:lang w:val="es-ES_tradnl"/>
              </w:rPr>
            </w:pPr>
          </w:p>
        </w:tc>
      </w:tr>
      <w:tr w:rsidR="00E53DCE" w:rsidRPr="00E33F15" w:rsidTr="006160CB">
        <w:tc>
          <w:tcPr>
            <w:tcW w:w="1526" w:type="dxa"/>
            <w:shd w:val="clear" w:color="auto" w:fill="auto"/>
          </w:tcPr>
          <w:p w:rsidR="00E53DCE" w:rsidRPr="00AA7806" w:rsidRDefault="00E53DCE" w:rsidP="0086264D">
            <w:pPr>
              <w:tabs>
                <w:tab w:val="clear" w:pos="1588"/>
                <w:tab w:val="left" w:pos="1560"/>
              </w:tabs>
              <w:spacing w:before="0" w:line="240" w:lineRule="auto"/>
              <w:jc w:val="left"/>
              <w:rPr>
                <w:b/>
                <w:bCs/>
                <w:szCs w:val="24"/>
                <w:lang w:val="es-ES_tradnl"/>
              </w:rPr>
            </w:pPr>
          </w:p>
        </w:tc>
        <w:tc>
          <w:tcPr>
            <w:tcW w:w="8363" w:type="dxa"/>
            <w:gridSpan w:val="2"/>
            <w:vMerge/>
            <w:shd w:val="clear" w:color="auto" w:fill="auto"/>
          </w:tcPr>
          <w:p w:rsidR="00E53DCE" w:rsidRPr="00AA7806" w:rsidRDefault="00E53DCE" w:rsidP="0086264D">
            <w:pPr>
              <w:tabs>
                <w:tab w:val="clear" w:pos="1588"/>
                <w:tab w:val="left" w:pos="1560"/>
              </w:tabs>
              <w:spacing w:before="0" w:line="240" w:lineRule="auto"/>
              <w:rPr>
                <w:b/>
                <w:bCs/>
                <w:szCs w:val="24"/>
                <w:lang w:val="es-ES_tradnl"/>
              </w:rPr>
            </w:pPr>
          </w:p>
        </w:tc>
      </w:tr>
      <w:tr w:rsidR="00E53DCE" w:rsidRPr="00E33F15" w:rsidTr="006160CB">
        <w:tc>
          <w:tcPr>
            <w:tcW w:w="9889" w:type="dxa"/>
            <w:gridSpan w:val="3"/>
            <w:shd w:val="clear" w:color="auto" w:fill="auto"/>
          </w:tcPr>
          <w:p w:rsidR="00E53DCE" w:rsidRPr="00AA7806" w:rsidRDefault="00E53DCE" w:rsidP="0086264D">
            <w:pPr>
              <w:tabs>
                <w:tab w:val="clear" w:pos="1588"/>
                <w:tab w:val="left" w:pos="1560"/>
              </w:tabs>
              <w:spacing w:before="0" w:line="240" w:lineRule="auto"/>
              <w:jc w:val="left"/>
              <w:rPr>
                <w:szCs w:val="24"/>
                <w:lang w:val="es-ES_tradnl"/>
              </w:rPr>
            </w:pPr>
          </w:p>
        </w:tc>
      </w:tr>
      <w:tr w:rsidR="00E53DCE" w:rsidRPr="00E33F15" w:rsidTr="006160CB">
        <w:tc>
          <w:tcPr>
            <w:tcW w:w="9889" w:type="dxa"/>
            <w:gridSpan w:val="3"/>
            <w:shd w:val="clear" w:color="auto" w:fill="auto"/>
          </w:tcPr>
          <w:p w:rsidR="00E53DCE" w:rsidRPr="00AA7806" w:rsidRDefault="00E53DCE" w:rsidP="0086264D">
            <w:pPr>
              <w:spacing w:before="0" w:line="240" w:lineRule="auto"/>
              <w:jc w:val="left"/>
              <w:rPr>
                <w:b/>
                <w:bCs/>
                <w:szCs w:val="24"/>
                <w:lang w:val="es-ES_tradnl"/>
              </w:rPr>
            </w:pPr>
          </w:p>
        </w:tc>
      </w:tr>
    </w:tbl>
    <w:p w:rsidR="00E33F15" w:rsidRDefault="00E33F15" w:rsidP="004C3A0E">
      <w:pPr>
        <w:spacing w:line="240" w:lineRule="auto"/>
        <w:jc w:val="left"/>
        <w:rPr>
          <w:lang w:val="es-ES_tradnl"/>
        </w:rPr>
      </w:pPr>
    </w:p>
    <w:p w:rsidR="0086264D" w:rsidRPr="00AA7806" w:rsidRDefault="0086264D" w:rsidP="00E33F15">
      <w:pPr>
        <w:spacing w:line="240" w:lineRule="auto"/>
        <w:rPr>
          <w:lang w:val="es-ES_tradnl"/>
        </w:rPr>
      </w:pPr>
      <w:r w:rsidRPr="00AA7806">
        <w:rPr>
          <w:lang w:val="es-ES_tradnl"/>
        </w:rPr>
        <w:t>En la reunión de la Comisión de Estudio 3 de Radiocomunicaciones, celebrada el 27 y 28 de junio de 2013, esta Comisión decidió solicitar la adopción de 2 proyectos de nuevas Recomendaciones UIT-R y de 24 proyectos de Recomendaciones UIT-R revisadas por correspondencia (§ 10.2.3 de la Resolución UIT-R 1-6) y además decidió aplicar el procedimiento de adopción y aprobación simultáneas por correspondencia (PAAS), (§ 10.3 de la Resolución UIT-R 1-6). Los títulos y resúmenes de los proyectos de Recomendaciones aparecen en el Anexo 1. Además, la Comisión de Estudio propuso la supresión de 1 Recomendación UIT-R, que se enumera en el Anexo 2.</w:t>
      </w:r>
    </w:p>
    <w:p w:rsidR="0086264D" w:rsidRPr="00AA7806" w:rsidRDefault="0086264D" w:rsidP="00E33F15">
      <w:pPr>
        <w:spacing w:line="240" w:lineRule="auto"/>
        <w:rPr>
          <w:lang w:val="es-ES_tradnl"/>
        </w:rPr>
      </w:pPr>
      <w:r w:rsidRPr="00AA7806">
        <w:rPr>
          <w:lang w:val="es-ES_tradnl"/>
        </w:rPr>
        <w:t xml:space="preserve">El periodo de consideración se extenderá durante 2 meses, y finalizará el </w:t>
      </w:r>
      <w:r w:rsidR="00E33F15">
        <w:rPr>
          <w:u w:val="single"/>
          <w:lang w:val="es-ES_tradnl"/>
        </w:rPr>
        <w:t>30 de septiembre de </w:t>
      </w:r>
      <w:r w:rsidRPr="00AA7806">
        <w:rPr>
          <w:u w:val="single"/>
          <w:lang w:val="es-ES_tradnl"/>
        </w:rPr>
        <w:t>2013</w:t>
      </w:r>
      <w:r w:rsidRPr="00AA7806">
        <w:rPr>
          <w:lang w:val="es-ES_tradnl"/>
        </w:rPr>
        <w:t>. Si durante este periodo no se reciben objecio</w:t>
      </w:r>
      <w:r w:rsidR="00E33F15">
        <w:rPr>
          <w:lang w:val="es-ES_tradnl"/>
        </w:rPr>
        <w:t>nes de los Estados Miembros, se </w:t>
      </w:r>
      <w:r w:rsidRPr="00AA7806">
        <w:rPr>
          <w:lang w:val="es-ES_tradnl"/>
        </w:rPr>
        <w:t>considerará que los proyectos de Recomendaciones serán adoptados por la Comisión de Estudio 3. Además, como se ha seguido el PAAS, los proyectos de Recomendaciones también se considerarán aprobados.</w:t>
      </w:r>
    </w:p>
    <w:p w:rsidR="0086264D" w:rsidRPr="00AA7806" w:rsidRDefault="0086264D" w:rsidP="00E33F15">
      <w:pPr>
        <w:spacing w:line="240" w:lineRule="auto"/>
        <w:rPr>
          <w:lang w:val="es-ES_tradnl"/>
        </w:rPr>
      </w:pPr>
      <w:r w:rsidRPr="00AA7806">
        <w:rPr>
          <w:lang w:val="es-ES_tradnl"/>
        </w:rPr>
        <w:t>Todo Estado Miembro que objete la adopción de un proyecto de Recomendación debe informar al Director y al Presidente de la Comisión de Estudio de los motivos de dicha objeción.</w:t>
      </w:r>
    </w:p>
    <w:p w:rsidR="00E53DCE" w:rsidRPr="00AA7806" w:rsidRDefault="0086264D" w:rsidP="00E33F15">
      <w:pPr>
        <w:spacing w:line="240" w:lineRule="auto"/>
        <w:rPr>
          <w:lang w:val="es-ES_tradnl"/>
        </w:rPr>
      </w:pPr>
      <w:r w:rsidRPr="00AA7806">
        <w:rPr>
          <w:lang w:val="es-ES_tradnl"/>
        </w:rPr>
        <w:t xml:space="preserve">Tras la fecha límite mencionada, los resultados del PAAS se comunicarán mediante Circular Administrativa y se publicarán las Recomendaciones aprobadas tan pronto como sea posible (véase </w:t>
      </w:r>
      <w:hyperlink r:id="rId9" w:history="1">
        <w:r w:rsidRPr="00E33F15">
          <w:rPr>
            <w:rStyle w:val="Hyperlink"/>
            <w:szCs w:val="24"/>
            <w:lang w:val="es-ES_tradnl"/>
          </w:rPr>
          <w:t>http://www.itu.</w:t>
        </w:r>
        <w:r w:rsidRPr="00E33F15">
          <w:rPr>
            <w:rStyle w:val="Hyperlink"/>
            <w:szCs w:val="24"/>
            <w:lang w:val="es-ES_tradnl"/>
          </w:rPr>
          <w:t>i</w:t>
        </w:r>
        <w:r w:rsidRPr="00E33F15">
          <w:rPr>
            <w:rStyle w:val="Hyperlink"/>
            <w:szCs w:val="24"/>
            <w:lang w:val="es-ES_tradnl"/>
          </w:rPr>
          <w:t>nt/rec/R-REC-P/e</w:t>
        </w:r>
        <w:r w:rsidR="00E33F15" w:rsidRPr="00E33F15">
          <w:rPr>
            <w:rStyle w:val="Hyperlink"/>
            <w:szCs w:val="24"/>
            <w:lang w:val="es-ES_tradnl"/>
          </w:rPr>
          <w:t>s</w:t>
        </w:r>
      </w:hyperlink>
      <w:r w:rsidRPr="00AA7806">
        <w:rPr>
          <w:lang w:val="es-ES_tradnl"/>
        </w:rPr>
        <w:t>).</w:t>
      </w:r>
    </w:p>
    <w:p w:rsidR="0086264D" w:rsidRPr="00AA7806" w:rsidRDefault="0086264D" w:rsidP="00E33F15">
      <w:pPr>
        <w:keepLines/>
        <w:spacing w:line="240" w:lineRule="auto"/>
        <w:rPr>
          <w:lang w:val="es-ES_tradnl"/>
        </w:rPr>
      </w:pPr>
      <w:r w:rsidRPr="00AA7806">
        <w:rPr>
          <w:lang w:val="es-ES_tradnl"/>
        </w:rPr>
        <w:lastRenderedPageBreak/>
        <w:t>Se solicita a toda organización miembro de la UIT que tenga conocimiento de una patente, de su propiedad o de propiedad ajena, que cubra total o parcialmente elementos de los proyectos de Recomendaciones mencionados en esta carta, que comunique dicha información a la Secretaría tan pronto como sea posible. La Política común en materia de patentes para UIT-T/UIT-R/ISO/CEI puede consultarse en</w:t>
      </w:r>
      <w:r w:rsidRPr="00AA7806">
        <w:rPr>
          <w:rFonts w:ascii="Segoe UI" w:hAnsi="Segoe UI" w:cs="Segoe UI"/>
          <w:color w:val="000000"/>
          <w:sz w:val="20"/>
          <w:szCs w:val="20"/>
          <w:lang w:val="es-ES_tradnl"/>
        </w:rPr>
        <w:t xml:space="preserve"> </w:t>
      </w:r>
      <w:hyperlink r:id="rId10" w:history="1">
        <w:r w:rsidRPr="00AA7806">
          <w:rPr>
            <w:rStyle w:val="Hyperlink"/>
            <w:szCs w:val="24"/>
            <w:lang w:val="es-ES_tradnl"/>
          </w:rPr>
          <w:t>http://www.itu.int/en/ITU-T/ipr/Pages/policy.aspx</w:t>
        </w:r>
      </w:hyperlink>
      <w:r w:rsidRPr="00AA7806">
        <w:rPr>
          <w:lang w:val="es-ES_tradnl"/>
        </w:rPr>
        <w:t>.</w:t>
      </w:r>
    </w:p>
    <w:p w:rsidR="00031E64" w:rsidRPr="00AA7806" w:rsidRDefault="00E53DCE" w:rsidP="0086264D">
      <w:pPr>
        <w:spacing w:before="1200" w:line="240" w:lineRule="auto"/>
        <w:jc w:val="left"/>
        <w:rPr>
          <w:rFonts w:asciiTheme="minorHAnsi" w:hAnsiTheme="minorHAnsi" w:cstheme="minorHAnsi"/>
          <w:szCs w:val="24"/>
          <w:lang w:val="es-ES_tradnl"/>
        </w:rPr>
      </w:pPr>
      <w:r w:rsidRPr="00AA7806">
        <w:rPr>
          <w:rFonts w:asciiTheme="minorHAnsi" w:hAnsiTheme="minorHAnsi" w:cstheme="minorHAnsi"/>
          <w:szCs w:val="24"/>
          <w:lang w:val="es-ES_tradnl"/>
        </w:rPr>
        <w:t>François Rancy</w:t>
      </w:r>
      <w:r w:rsidRPr="00AA7806">
        <w:rPr>
          <w:rFonts w:asciiTheme="minorHAnsi" w:hAnsiTheme="minorHAnsi" w:cstheme="minorHAnsi"/>
          <w:szCs w:val="24"/>
          <w:lang w:val="es-ES_tradnl"/>
        </w:rPr>
        <w:br/>
      </w:r>
      <w:r w:rsidR="00AA7806">
        <w:rPr>
          <w:rFonts w:asciiTheme="minorHAnsi" w:hAnsiTheme="minorHAnsi" w:cstheme="minorHAnsi"/>
          <w:szCs w:val="24"/>
          <w:lang w:val="es-ES_tradnl"/>
        </w:rPr>
        <w:t>Director</w:t>
      </w:r>
    </w:p>
    <w:p w:rsidR="0086264D" w:rsidRPr="00AA7806" w:rsidRDefault="0086264D" w:rsidP="0086264D">
      <w:pPr>
        <w:spacing w:before="0" w:line="240" w:lineRule="auto"/>
        <w:jc w:val="left"/>
        <w:rPr>
          <w:rFonts w:asciiTheme="minorHAnsi" w:hAnsiTheme="minorHAnsi" w:cstheme="minorHAnsi"/>
          <w:szCs w:val="24"/>
          <w:lang w:val="es-ES_tradnl"/>
        </w:rPr>
      </w:pPr>
    </w:p>
    <w:p w:rsidR="0086264D" w:rsidRPr="00AA7806" w:rsidRDefault="0086264D" w:rsidP="0086264D">
      <w:pPr>
        <w:spacing w:before="720" w:line="240" w:lineRule="auto"/>
        <w:ind w:left="1191" w:hanging="1191"/>
        <w:rPr>
          <w:rFonts w:asciiTheme="minorHAnsi" w:hAnsiTheme="minorHAnsi" w:cstheme="minorHAnsi"/>
          <w:szCs w:val="24"/>
          <w:lang w:val="es-ES_tradnl"/>
        </w:rPr>
      </w:pPr>
      <w:r w:rsidRPr="00AA7806">
        <w:rPr>
          <w:rFonts w:asciiTheme="minorHAnsi" w:hAnsiTheme="minorHAnsi" w:cstheme="minorHAnsi"/>
          <w:b/>
          <w:bCs/>
          <w:szCs w:val="24"/>
          <w:lang w:val="es-ES_tradnl"/>
        </w:rPr>
        <w:t>Anexo 1:</w:t>
      </w:r>
      <w:r w:rsidRPr="00AA7806">
        <w:rPr>
          <w:rFonts w:asciiTheme="minorHAnsi" w:hAnsiTheme="minorHAnsi" w:cstheme="minorHAnsi"/>
          <w:szCs w:val="24"/>
          <w:lang w:val="es-ES_tradnl"/>
        </w:rPr>
        <w:t xml:space="preserve"> </w:t>
      </w:r>
      <w:r w:rsidRPr="00AA7806">
        <w:rPr>
          <w:rFonts w:asciiTheme="minorHAnsi" w:hAnsiTheme="minorHAnsi" w:cstheme="minorHAnsi"/>
          <w:szCs w:val="24"/>
          <w:lang w:val="es-ES_tradnl"/>
        </w:rPr>
        <w:tab/>
      </w:r>
      <w:r w:rsidRPr="00AA7806">
        <w:rPr>
          <w:rFonts w:asciiTheme="minorHAnsi" w:hAnsiTheme="minorHAnsi" w:cstheme="minorHAnsi"/>
          <w:color w:val="000000"/>
          <w:szCs w:val="24"/>
          <w:lang w:val="es-ES_tradnl"/>
        </w:rPr>
        <w:t>Títulos y resúmenes de los proyectos de Recomendaciones</w:t>
      </w:r>
    </w:p>
    <w:p w:rsidR="0086264D" w:rsidRPr="00AA7806" w:rsidRDefault="0086264D" w:rsidP="0086264D">
      <w:pPr>
        <w:spacing w:line="240" w:lineRule="auto"/>
        <w:ind w:left="1191" w:hanging="1191"/>
        <w:rPr>
          <w:rFonts w:asciiTheme="minorHAnsi" w:hAnsiTheme="minorHAnsi" w:cstheme="minorHAnsi"/>
          <w:szCs w:val="24"/>
          <w:lang w:val="es-ES_tradnl"/>
        </w:rPr>
      </w:pPr>
      <w:r w:rsidRPr="00AA7806">
        <w:rPr>
          <w:rFonts w:asciiTheme="minorHAnsi" w:hAnsiTheme="minorHAnsi" w:cstheme="minorHAnsi"/>
          <w:b/>
          <w:bCs/>
          <w:szCs w:val="24"/>
          <w:lang w:val="es-ES_tradnl"/>
        </w:rPr>
        <w:t>Anexo 2:</w:t>
      </w:r>
      <w:r w:rsidRPr="00AA7806">
        <w:rPr>
          <w:rFonts w:asciiTheme="minorHAnsi" w:hAnsiTheme="minorHAnsi" w:cstheme="minorHAnsi"/>
          <w:szCs w:val="24"/>
          <w:lang w:val="es-ES_tradnl"/>
        </w:rPr>
        <w:tab/>
      </w:r>
      <w:r w:rsidRPr="00AA7806">
        <w:rPr>
          <w:rFonts w:asciiTheme="minorHAnsi" w:hAnsiTheme="minorHAnsi" w:cstheme="minorHAnsi"/>
          <w:color w:val="000000"/>
          <w:szCs w:val="24"/>
          <w:lang w:val="es-ES_tradnl"/>
        </w:rPr>
        <w:t>Recomendación cuya supresión se propone</w:t>
      </w:r>
    </w:p>
    <w:p w:rsidR="0086264D" w:rsidRPr="00AA7806" w:rsidRDefault="0086264D" w:rsidP="0086264D">
      <w:pPr>
        <w:spacing w:line="240" w:lineRule="auto"/>
        <w:ind w:left="1191" w:hanging="1191"/>
        <w:rPr>
          <w:rFonts w:asciiTheme="minorHAnsi" w:hAnsiTheme="minorHAnsi" w:cstheme="minorHAnsi"/>
          <w:b/>
          <w:bCs/>
          <w:szCs w:val="24"/>
          <w:lang w:val="es-ES_tradnl"/>
        </w:rPr>
      </w:pPr>
    </w:p>
    <w:p w:rsidR="0086264D" w:rsidRPr="00AA7806" w:rsidRDefault="0086264D" w:rsidP="0086264D">
      <w:pPr>
        <w:tabs>
          <w:tab w:val="clear" w:pos="1588"/>
          <w:tab w:val="left" w:pos="2552"/>
        </w:tabs>
        <w:spacing w:line="240" w:lineRule="auto"/>
        <w:ind w:left="1985" w:hanging="1985"/>
        <w:jc w:val="left"/>
        <w:rPr>
          <w:rFonts w:asciiTheme="minorHAnsi" w:hAnsiTheme="minorHAnsi" w:cstheme="minorHAnsi"/>
          <w:szCs w:val="24"/>
          <w:lang w:val="es-ES_tradnl"/>
        </w:rPr>
      </w:pPr>
      <w:r w:rsidRPr="00AA7806">
        <w:rPr>
          <w:rFonts w:asciiTheme="minorHAnsi" w:hAnsiTheme="minorHAnsi" w:cstheme="minorHAnsi"/>
          <w:b/>
          <w:bCs/>
          <w:szCs w:val="24"/>
          <w:lang w:val="es-ES_tradnl"/>
        </w:rPr>
        <w:t>Documentos:</w:t>
      </w:r>
      <w:r w:rsidRPr="00AA7806">
        <w:rPr>
          <w:rFonts w:asciiTheme="minorHAnsi" w:hAnsiTheme="minorHAnsi" w:cstheme="minorHAnsi"/>
          <w:szCs w:val="24"/>
          <w:lang w:val="es-ES_tradnl"/>
        </w:rPr>
        <w:tab/>
        <w:t>Documentos 3/11(Rev.1), 3/12(Rev.1), 3/13(Rev.1),</w:t>
      </w:r>
      <w:r w:rsidR="005C7C41" w:rsidRPr="00AA7806">
        <w:rPr>
          <w:rFonts w:asciiTheme="minorHAnsi" w:hAnsiTheme="minorHAnsi" w:cstheme="minorHAnsi"/>
          <w:szCs w:val="24"/>
          <w:lang w:val="es-ES_tradnl"/>
        </w:rPr>
        <w:t xml:space="preserve"> </w:t>
      </w:r>
      <w:r w:rsidRPr="00AA7806">
        <w:rPr>
          <w:rFonts w:asciiTheme="minorHAnsi" w:hAnsiTheme="minorHAnsi" w:cstheme="minorHAnsi"/>
          <w:szCs w:val="24"/>
          <w:lang w:val="es-ES_tradnl"/>
        </w:rPr>
        <w:t>3/14(Rev.1), 3/16(Rev.1), 3/18(Rev.1), 3/19(Rev.1), 3/20(Rev.1), 3/21(Rev.1), 3/23(Rev.1), 3/24(Rev.1), 3/25(Rev.1), 3/26(Rev.1), 3/28(Rev.1), 3/33(Rev.1), 3/34(Rev.1), 3/35(Rev.1), 3/37(Rev.1), 3/39(Rev.1), 3/40(Rev.1), 3/41(Rev.1), 3/43(Rev.1), 3/45(Rev.1), 3/46(Rev.1), 3/48(Rev.1), 3/51(Rev.1)</w:t>
      </w:r>
    </w:p>
    <w:p w:rsidR="0086264D" w:rsidRPr="00AA7806" w:rsidRDefault="0086264D" w:rsidP="005C7C41">
      <w:pPr>
        <w:tabs>
          <w:tab w:val="clear" w:pos="1588"/>
          <w:tab w:val="left" w:pos="2552"/>
        </w:tabs>
        <w:spacing w:before="480" w:line="240" w:lineRule="auto"/>
        <w:jc w:val="left"/>
        <w:rPr>
          <w:rFonts w:asciiTheme="minorHAnsi" w:hAnsiTheme="minorHAnsi" w:cstheme="minorHAnsi"/>
          <w:szCs w:val="24"/>
          <w:lang w:val="es-ES_tradnl"/>
        </w:rPr>
      </w:pPr>
      <w:r w:rsidRPr="00AA7806">
        <w:rPr>
          <w:rFonts w:asciiTheme="minorHAnsi" w:hAnsiTheme="minorHAnsi" w:cstheme="minorHAnsi"/>
          <w:color w:val="000000"/>
          <w:szCs w:val="24"/>
          <w:lang w:val="es-ES_tradnl"/>
        </w:rPr>
        <w:t>Estos documentos están disponibles en formato electrónico en</w:t>
      </w:r>
      <w:r w:rsidRPr="00AA7806">
        <w:rPr>
          <w:rFonts w:asciiTheme="minorHAnsi" w:hAnsiTheme="minorHAnsi" w:cstheme="minorHAnsi"/>
          <w:szCs w:val="24"/>
          <w:lang w:val="es-ES_tradnl"/>
        </w:rPr>
        <w:t>:</w:t>
      </w:r>
      <w:r w:rsidRPr="00AA7806">
        <w:rPr>
          <w:rFonts w:asciiTheme="minorHAnsi" w:hAnsiTheme="minorHAnsi" w:cstheme="minorHAnsi"/>
          <w:szCs w:val="24"/>
          <w:lang w:val="es-ES_tradnl"/>
        </w:rPr>
        <w:br/>
      </w:r>
      <w:hyperlink r:id="rId11" w:history="1">
        <w:r w:rsidRPr="00AA7806">
          <w:rPr>
            <w:rStyle w:val="Hyperlink"/>
            <w:rFonts w:asciiTheme="minorHAnsi" w:hAnsiTheme="minorHAnsi" w:cstheme="minorHAnsi"/>
            <w:szCs w:val="24"/>
            <w:lang w:val="es-ES_tradnl"/>
          </w:rPr>
          <w:t>http://www.itu.int/md/R12-sg03-c</w:t>
        </w:r>
      </w:hyperlink>
    </w:p>
    <w:p w:rsidR="0086264D" w:rsidRPr="00AA7806" w:rsidRDefault="0086264D" w:rsidP="0086264D">
      <w:pPr>
        <w:tabs>
          <w:tab w:val="left" w:pos="284"/>
          <w:tab w:val="left" w:pos="568"/>
        </w:tabs>
        <w:spacing w:before="2760" w:after="60" w:line="240" w:lineRule="auto"/>
        <w:rPr>
          <w:rFonts w:asciiTheme="minorHAnsi" w:hAnsiTheme="minorHAnsi" w:cstheme="minorHAnsi"/>
          <w:b/>
          <w:bCs/>
          <w:sz w:val="18"/>
          <w:szCs w:val="18"/>
          <w:lang w:val="es-ES_tradnl"/>
        </w:rPr>
      </w:pPr>
      <w:r w:rsidRPr="00AA7806">
        <w:rPr>
          <w:rFonts w:asciiTheme="minorHAnsi" w:hAnsiTheme="minorHAnsi" w:cstheme="minorHAnsi"/>
          <w:b/>
          <w:bCs/>
          <w:color w:val="000000"/>
          <w:sz w:val="18"/>
          <w:szCs w:val="18"/>
          <w:lang w:val="es-ES_tradnl"/>
        </w:rPr>
        <w:t>Distribución</w:t>
      </w:r>
      <w:r w:rsidRPr="00AA7806">
        <w:rPr>
          <w:rFonts w:asciiTheme="minorHAnsi" w:hAnsiTheme="minorHAnsi" w:cstheme="minorHAnsi"/>
          <w:b/>
          <w:bCs/>
          <w:sz w:val="18"/>
          <w:szCs w:val="18"/>
          <w:lang w:val="es-ES_tradnl"/>
        </w:rPr>
        <w:t>:</w:t>
      </w:r>
    </w:p>
    <w:p w:rsidR="0086264D" w:rsidRPr="00AA7806" w:rsidRDefault="0086264D" w:rsidP="0086264D">
      <w:pPr>
        <w:tabs>
          <w:tab w:val="left" w:pos="567"/>
          <w:tab w:val="left" w:pos="6237"/>
        </w:tabs>
        <w:spacing w:before="0" w:line="240" w:lineRule="auto"/>
        <w:ind w:left="567" w:hanging="567"/>
        <w:rPr>
          <w:rFonts w:asciiTheme="minorHAnsi" w:hAnsiTheme="minorHAnsi" w:cstheme="minorHAnsi"/>
          <w:sz w:val="18"/>
          <w:szCs w:val="18"/>
          <w:lang w:val="es-ES_tradnl"/>
        </w:rPr>
      </w:pPr>
      <w:r w:rsidRPr="00AA7806">
        <w:rPr>
          <w:rFonts w:asciiTheme="minorHAnsi" w:hAnsiTheme="minorHAnsi" w:cstheme="minorHAnsi"/>
          <w:sz w:val="18"/>
          <w:szCs w:val="18"/>
          <w:lang w:val="es-ES_tradnl"/>
        </w:rPr>
        <w:t>–</w:t>
      </w:r>
      <w:r w:rsidRPr="00AA7806">
        <w:rPr>
          <w:rFonts w:asciiTheme="minorHAnsi" w:hAnsiTheme="minorHAnsi" w:cstheme="minorHAnsi"/>
          <w:sz w:val="18"/>
          <w:szCs w:val="18"/>
          <w:lang w:val="es-ES_tradnl"/>
        </w:rPr>
        <w:tab/>
      </w:r>
      <w:r w:rsidRPr="00AA7806">
        <w:rPr>
          <w:rFonts w:asciiTheme="minorHAnsi" w:hAnsiTheme="minorHAnsi" w:cstheme="minorHAnsi"/>
          <w:color w:val="000000"/>
          <w:sz w:val="18"/>
          <w:szCs w:val="18"/>
          <w:lang w:val="es-ES_tradnl"/>
        </w:rPr>
        <w:t>Administraciones de los Estados Miembros de la UIT y de los Miembros del Sector de Radiocomunicaciones que participan en los trabajos</w:t>
      </w:r>
      <w:r w:rsidRPr="00AA7806">
        <w:rPr>
          <w:rFonts w:asciiTheme="minorHAnsi" w:hAnsiTheme="minorHAnsi" w:cstheme="minorHAnsi"/>
          <w:sz w:val="18"/>
          <w:szCs w:val="18"/>
          <w:lang w:val="es-ES_tradnl"/>
        </w:rPr>
        <w:t xml:space="preserve"> </w:t>
      </w:r>
      <w:r w:rsidRPr="00AA7806">
        <w:rPr>
          <w:rFonts w:asciiTheme="minorHAnsi" w:hAnsiTheme="minorHAnsi" w:cstheme="minorHAnsi"/>
          <w:color w:val="000000"/>
          <w:sz w:val="18"/>
          <w:szCs w:val="18"/>
          <w:lang w:val="es-ES_tradnl"/>
        </w:rPr>
        <w:t>de la Comisión de Estudio 3 de Radiocomunicaciones</w:t>
      </w:r>
    </w:p>
    <w:p w:rsidR="0086264D" w:rsidRPr="00AA7806" w:rsidRDefault="0086264D" w:rsidP="0086264D">
      <w:pPr>
        <w:tabs>
          <w:tab w:val="left" w:pos="567"/>
          <w:tab w:val="left" w:pos="6237"/>
        </w:tabs>
        <w:spacing w:before="0" w:line="240" w:lineRule="auto"/>
        <w:rPr>
          <w:rFonts w:asciiTheme="minorHAnsi" w:hAnsiTheme="minorHAnsi" w:cstheme="minorHAnsi"/>
          <w:sz w:val="18"/>
          <w:szCs w:val="18"/>
          <w:lang w:val="es-ES_tradnl"/>
        </w:rPr>
      </w:pPr>
      <w:r w:rsidRPr="00AA7806">
        <w:rPr>
          <w:rFonts w:asciiTheme="minorHAnsi" w:hAnsiTheme="minorHAnsi" w:cstheme="minorHAnsi"/>
          <w:sz w:val="18"/>
          <w:szCs w:val="18"/>
          <w:lang w:val="es-ES_tradnl"/>
        </w:rPr>
        <w:t>–</w:t>
      </w:r>
      <w:r w:rsidRPr="00AA7806">
        <w:rPr>
          <w:rFonts w:asciiTheme="minorHAnsi" w:hAnsiTheme="minorHAnsi" w:cstheme="minorHAnsi"/>
          <w:sz w:val="18"/>
          <w:szCs w:val="18"/>
          <w:lang w:val="es-ES_tradnl"/>
        </w:rPr>
        <w:tab/>
      </w:r>
      <w:r w:rsidRPr="00AA7806">
        <w:rPr>
          <w:rFonts w:asciiTheme="minorHAnsi" w:hAnsiTheme="minorHAnsi" w:cstheme="minorHAnsi"/>
          <w:color w:val="000000"/>
          <w:sz w:val="18"/>
          <w:szCs w:val="18"/>
          <w:lang w:val="es-ES_tradnl"/>
        </w:rPr>
        <w:t>Asociados del UIT-R que participan en los trabajos de la Comisión de Estudio 3 de Radiocomunicaciones</w:t>
      </w:r>
    </w:p>
    <w:p w:rsidR="0086264D" w:rsidRPr="00AA7806" w:rsidRDefault="0086264D" w:rsidP="0086264D">
      <w:pPr>
        <w:tabs>
          <w:tab w:val="left" w:pos="567"/>
          <w:tab w:val="left" w:pos="6237"/>
        </w:tabs>
        <w:spacing w:before="0" w:line="240" w:lineRule="auto"/>
        <w:ind w:left="567" w:hanging="567"/>
        <w:rPr>
          <w:rFonts w:asciiTheme="minorHAnsi" w:hAnsiTheme="minorHAnsi" w:cstheme="minorHAnsi"/>
          <w:sz w:val="18"/>
          <w:szCs w:val="18"/>
          <w:lang w:val="es-ES_tradnl"/>
        </w:rPr>
      </w:pPr>
      <w:r w:rsidRPr="00AA7806">
        <w:rPr>
          <w:rFonts w:asciiTheme="minorHAnsi" w:hAnsiTheme="minorHAnsi" w:cstheme="minorHAnsi"/>
          <w:sz w:val="18"/>
          <w:szCs w:val="18"/>
          <w:lang w:val="es-ES_tradnl"/>
        </w:rPr>
        <w:t>–</w:t>
      </w:r>
      <w:r w:rsidRPr="00AA7806">
        <w:rPr>
          <w:rFonts w:asciiTheme="minorHAnsi" w:hAnsiTheme="minorHAnsi" w:cstheme="minorHAnsi"/>
          <w:sz w:val="18"/>
          <w:szCs w:val="18"/>
          <w:lang w:val="es-ES_tradnl"/>
        </w:rPr>
        <w:tab/>
      </w:r>
      <w:r w:rsidRPr="00AA7806">
        <w:rPr>
          <w:rFonts w:asciiTheme="minorHAnsi" w:hAnsiTheme="minorHAnsi" w:cstheme="minorHAnsi"/>
          <w:color w:val="000000"/>
          <w:sz w:val="18"/>
          <w:szCs w:val="18"/>
          <w:lang w:val="es-ES_tradnl"/>
        </w:rPr>
        <w:t>Presidentes y Vicepresidentes de las Comisiones de Estudio de Radiocomunicaciones y de la Comisión Especial para Asuntos Reglamentarios y de Procedimiento</w:t>
      </w:r>
    </w:p>
    <w:p w:rsidR="0086264D" w:rsidRPr="00AA7806" w:rsidRDefault="0086264D" w:rsidP="0086264D">
      <w:pPr>
        <w:tabs>
          <w:tab w:val="left" w:pos="567"/>
          <w:tab w:val="left" w:pos="6237"/>
        </w:tabs>
        <w:spacing w:before="0" w:line="240" w:lineRule="auto"/>
        <w:rPr>
          <w:rFonts w:asciiTheme="minorHAnsi" w:hAnsiTheme="minorHAnsi" w:cstheme="minorHAnsi"/>
          <w:sz w:val="18"/>
          <w:szCs w:val="18"/>
          <w:lang w:val="es-ES_tradnl"/>
        </w:rPr>
      </w:pPr>
      <w:r w:rsidRPr="00AA7806">
        <w:rPr>
          <w:rFonts w:asciiTheme="minorHAnsi" w:hAnsiTheme="minorHAnsi" w:cstheme="minorHAnsi"/>
          <w:sz w:val="18"/>
          <w:szCs w:val="18"/>
          <w:lang w:val="es-ES_tradnl"/>
        </w:rPr>
        <w:t>–</w:t>
      </w:r>
      <w:r w:rsidRPr="00AA7806">
        <w:rPr>
          <w:rFonts w:asciiTheme="minorHAnsi" w:hAnsiTheme="minorHAnsi" w:cstheme="minorHAnsi"/>
          <w:sz w:val="18"/>
          <w:szCs w:val="18"/>
          <w:lang w:val="es-ES_tradnl"/>
        </w:rPr>
        <w:tab/>
      </w:r>
      <w:r w:rsidRPr="00AA7806">
        <w:rPr>
          <w:rFonts w:asciiTheme="minorHAnsi" w:hAnsiTheme="minorHAnsi" w:cstheme="minorHAnsi"/>
          <w:color w:val="000000"/>
          <w:sz w:val="18"/>
          <w:szCs w:val="18"/>
          <w:lang w:val="es-ES_tradnl"/>
        </w:rPr>
        <w:t>Presidente y Vicepresidentes de la Reunión Preparatoria de la Conferencia</w:t>
      </w:r>
    </w:p>
    <w:p w:rsidR="0086264D" w:rsidRPr="00AA7806" w:rsidRDefault="0086264D" w:rsidP="0086264D">
      <w:pPr>
        <w:tabs>
          <w:tab w:val="left" w:pos="567"/>
          <w:tab w:val="left" w:pos="6237"/>
        </w:tabs>
        <w:spacing w:before="0" w:line="240" w:lineRule="auto"/>
        <w:rPr>
          <w:rFonts w:asciiTheme="minorHAnsi" w:hAnsiTheme="minorHAnsi" w:cstheme="minorHAnsi"/>
          <w:sz w:val="18"/>
          <w:szCs w:val="18"/>
          <w:lang w:val="es-ES_tradnl"/>
        </w:rPr>
      </w:pPr>
      <w:r w:rsidRPr="00AA7806">
        <w:rPr>
          <w:rFonts w:asciiTheme="minorHAnsi" w:hAnsiTheme="minorHAnsi" w:cstheme="minorHAnsi"/>
          <w:sz w:val="18"/>
          <w:szCs w:val="18"/>
          <w:lang w:val="es-ES_tradnl"/>
        </w:rPr>
        <w:t>–</w:t>
      </w:r>
      <w:r w:rsidRPr="00AA7806">
        <w:rPr>
          <w:rFonts w:asciiTheme="minorHAnsi" w:hAnsiTheme="minorHAnsi" w:cstheme="minorHAnsi"/>
          <w:sz w:val="18"/>
          <w:szCs w:val="18"/>
          <w:lang w:val="es-ES_tradnl"/>
        </w:rPr>
        <w:tab/>
      </w:r>
      <w:r w:rsidRPr="00AA7806">
        <w:rPr>
          <w:rFonts w:asciiTheme="minorHAnsi" w:hAnsiTheme="minorHAnsi" w:cstheme="minorHAnsi"/>
          <w:color w:val="000000"/>
          <w:sz w:val="18"/>
          <w:szCs w:val="18"/>
          <w:lang w:val="es-ES_tradnl"/>
        </w:rPr>
        <w:t>Miembros de la Junta del Reglamento de Radiocomunicaciones</w:t>
      </w:r>
    </w:p>
    <w:p w:rsidR="0086264D" w:rsidRPr="00AA7806" w:rsidRDefault="0086264D" w:rsidP="0086264D">
      <w:pPr>
        <w:pStyle w:val="BodyTextIndent"/>
        <w:jc w:val="both"/>
        <w:rPr>
          <w:rFonts w:asciiTheme="minorHAnsi" w:hAnsiTheme="minorHAnsi" w:cstheme="minorHAnsi"/>
          <w:sz w:val="18"/>
          <w:szCs w:val="18"/>
          <w:lang w:val="es-ES_tradnl"/>
        </w:rPr>
      </w:pPr>
      <w:r w:rsidRPr="00AA7806">
        <w:rPr>
          <w:rFonts w:asciiTheme="minorHAnsi" w:hAnsiTheme="minorHAnsi" w:cstheme="minorHAnsi"/>
          <w:sz w:val="18"/>
          <w:szCs w:val="18"/>
          <w:lang w:val="es-ES_tradnl"/>
        </w:rPr>
        <w:t>–</w:t>
      </w:r>
      <w:r w:rsidRPr="00AA7806">
        <w:rPr>
          <w:rFonts w:asciiTheme="minorHAnsi" w:hAnsiTheme="minorHAnsi" w:cstheme="minorHAnsi"/>
          <w:sz w:val="18"/>
          <w:szCs w:val="18"/>
          <w:lang w:val="es-ES_tradnl"/>
        </w:rPr>
        <w:tab/>
      </w:r>
      <w:r w:rsidRPr="00AA7806">
        <w:rPr>
          <w:rFonts w:asciiTheme="minorHAnsi" w:hAnsiTheme="minorHAnsi" w:cstheme="minorHAnsi"/>
          <w:color w:val="000000"/>
          <w:sz w:val="18"/>
          <w:szCs w:val="18"/>
          <w:lang w:val="es-ES_tradnl"/>
        </w:rPr>
        <w:t>Secretario General de la UIT, Director de la Oficina de Normalización de las Telecomunicaciones</w:t>
      </w:r>
      <w:r w:rsidRPr="00AA7806">
        <w:rPr>
          <w:rFonts w:asciiTheme="minorHAnsi" w:hAnsiTheme="minorHAnsi" w:cstheme="minorHAnsi"/>
          <w:sz w:val="18"/>
          <w:szCs w:val="18"/>
          <w:lang w:val="es-ES_tradnl"/>
        </w:rPr>
        <w:t xml:space="preserve">, </w:t>
      </w:r>
      <w:r w:rsidRPr="00AA7806">
        <w:rPr>
          <w:rFonts w:asciiTheme="minorHAnsi" w:hAnsiTheme="minorHAnsi" w:cstheme="minorHAnsi"/>
          <w:color w:val="000000"/>
          <w:sz w:val="18"/>
          <w:szCs w:val="18"/>
          <w:lang w:val="es-ES_tradnl"/>
        </w:rPr>
        <w:t>Director de la Oficina de Desarrollo de Telecomunicaciones</w:t>
      </w:r>
    </w:p>
    <w:p w:rsidR="0086264D" w:rsidRPr="00AA7806" w:rsidRDefault="0086264D" w:rsidP="0086264D">
      <w:pPr>
        <w:pStyle w:val="AnnexNotitle0"/>
        <w:rPr>
          <w:rFonts w:asciiTheme="minorHAnsi" w:hAnsiTheme="minorHAnsi" w:cstheme="minorHAnsi"/>
          <w:szCs w:val="28"/>
          <w:lang w:val="es-ES_tradnl"/>
        </w:rPr>
      </w:pPr>
      <w:r w:rsidRPr="00AA7806">
        <w:rPr>
          <w:lang w:val="es-ES_tradnl"/>
        </w:rPr>
        <w:br w:type="page"/>
      </w:r>
      <w:r w:rsidRPr="00AA7806">
        <w:rPr>
          <w:rFonts w:asciiTheme="minorHAnsi" w:hAnsiTheme="minorHAnsi" w:cstheme="minorHAnsi"/>
          <w:szCs w:val="28"/>
          <w:lang w:val="es-ES_tradnl"/>
        </w:rPr>
        <w:lastRenderedPageBreak/>
        <w:t>Anexo 1</w:t>
      </w:r>
      <w:r w:rsidRPr="00AA7806">
        <w:rPr>
          <w:rFonts w:asciiTheme="minorHAnsi" w:hAnsiTheme="minorHAnsi" w:cstheme="minorHAnsi"/>
          <w:szCs w:val="28"/>
          <w:lang w:val="es-ES_tradnl"/>
        </w:rPr>
        <w:br/>
      </w:r>
      <w:r w:rsidRPr="00AA7806">
        <w:rPr>
          <w:rFonts w:asciiTheme="minorHAnsi" w:hAnsiTheme="minorHAnsi" w:cstheme="minorHAnsi"/>
          <w:szCs w:val="28"/>
          <w:lang w:val="es-ES_tradnl"/>
        </w:rPr>
        <w:br/>
      </w:r>
      <w:r w:rsidRPr="00AA7806">
        <w:rPr>
          <w:rFonts w:asciiTheme="minorHAnsi" w:hAnsiTheme="minorHAnsi" w:cstheme="minorHAnsi"/>
          <w:color w:val="000000"/>
          <w:szCs w:val="28"/>
          <w:lang w:val="es-ES_tradnl"/>
        </w:rPr>
        <w:t>Títulos y resúmenes de los proyectos de Recomendaciones</w:t>
      </w:r>
    </w:p>
    <w:p w:rsidR="0086264D" w:rsidRPr="00AA7806" w:rsidRDefault="0086264D" w:rsidP="0086264D">
      <w:pPr>
        <w:tabs>
          <w:tab w:val="right" w:pos="9639"/>
        </w:tabs>
        <w:spacing w:before="840" w:line="240" w:lineRule="auto"/>
        <w:jc w:val="left"/>
        <w:rPr>
          <w:rFonts w:asciiTheme="minorHAnsi" w:hAnsiTheme="minorHAnsi" w:cstheme="minorHAnsi"/>
          <w:szCs w:val="24"/>
          <w:lang w:val="es-ES_tradnl"/>
        </w:rPr>
      </w:pPr>
      <w:r w:rsidRPr="00AA7806">
        <w:rPr>
          <w:rFonts w:asciiTheme="minorHAnsi" w:hAnsiTheme="minorHAnsi" w:cstheme="minorHAnsi"/>
          <w:color w:val="000000"/>
          <w:szCs w:val="24"/>
          <w:u w:val="single"/>
          <w:lang w:val="es-ES_tradnl"/>
        </w:rPr>
        <w:t>Proyecto de nueva Recomendación UIT-R</w:t>
      </w:r>
      <w:r w:rsidRPr="00AA7806">
        <w:rPr>
          <w:rFonts w:asciiTheme="minorHAnsi" w:hAnsiTheme="minorHAnsi" w:cstheme="minorHAnsi"/>
          <w:szCs w:val="24"/>
          <w:u w:val="single"/>
          <w:lang w:val="es-ES_tradnl"/>
        </w:rPr>
        <w:t xml:space="preserve"> P.</w:t>
      </w:r>
      <w:r w:rsidRPr="00AA7806">
        <w:rPr>
          <w:rFonts w:asciiTheme="minorHAnsi" w:hAnsiTheme="minorHAnsi" w:cstheme="minorHAnsi"/>
          <w:szCs w:val="24"/>
          <w:u w:val="single"/>
          <w:lang w:val="es-ES_tradnl" w:eastAsia="ja-JP"/>
        </w:rPr>
        <w:t>[MATERIAL_EFFECT]</w:t>
      </w:r>
      <w:r w:rsidRPr="00AA7806">
        <w:rPr>
          <w:rFonts w:asciiTheme="minorHAnsi" w:hAnsiTheme="minorHAnsi" w:cstheme="minorHAnsi"/>
          <w:szCs w:val="24"/>
          <w:lang w:val="es-ES_tradnl"/>
        </w:rPr>
        <w:tab/>
        <w:t>Doc. 3/21(Rev.1)</w:t>
      </w:r>
    </w:p>
    <w:p w:rsidR="0086264D" w:rsidRPr="00AA7806" w:rsidRDefault="0086264D" w:rsidP="0086264D">
      <w:pPr>
        <w:tabs>
          <w:tab w:val="right" w:pos="9639"/>
        </w:tabs>
        <w:spacing w:before="360" w:line="240" w:lineRule="auto"/>
        <w:jc w:val="center"/>
        <w:rPr>
          <w:rFonts w:asciiTheme="minorHAnsi" w:hAnsiTheme="minorHAnsi" w:cstheme="minorHAnsi"/>
          <w:b/>
          <w:bCs/>
          <w:sz w:val="28"/>
          <w:szCs w:val="28"/>
          <w:lang w:val="es-ES_tradnl" w:eastAsia="ja-JP"/>
        </w:rPr>
      </w:pPr>
      <w:r w:rsidRPr="00AA7806">
        <w:rPr>
          <w:rFonts w:asciiTheme="minorHAnsi" w:hAnsiTheme="minorHAnsi" w:cstheme="minorHAnsi"/>
          <w:b/>
          <w:bCs/>
          <w:color w:val="000000"/>
          <w:sz w:val="28"/>
          <w:szCs w:val="28"/>
          <w:lang w:val="es-ES_tradnl"/>
        </w:rPr>
        <w:t>Efectos de los materiales y estructuras de construcción en la propagación de las ondas radioeléctricas por encima de unos 100 MHz</w:t>
      </w:r>
    </w:p>
    <w:p w:rsidR="0086264D" w:rsidRPr="00AA7806" w:rsidRDefault="0086264D" w:rsidP="00E33F15">
      <w:pPr>
        <w:rPr>
          <w:lang w:val="es-ES_tradnl" w:eastAsia="ja-JP"/>
        </w:rPr>
      </w:pPr>
      <w:r w:rsidRPr="00AA7806">
        <w:rPr>
          <w:lang w:val="es-ES_tradnl" w:eastAsia="ja-JP"/>
        </w:rPr>
        <w:t>En la presente Recomendación se proporcionan orientaciones sobre los efectos de las propiedades de los materiales de construcción y las estructuras en la propagación de las ondas radioeléctricas. También se discuten los principios básicos y las mediciones de pérdidas en edificios ocasionadas por los materiales y las estructuras de construcción.</w:t>
      </w:r>
    </w:p>
    <w:p w:rsidR="0086264D" w:rsidRPr="00AA7806" w:rsidRDefault="0086264D" w:rsidP="00E33F15">
      <w:pPr>
        <w:tabs>
          <w:tab w:val="right" w:pos="9639"/>
        </w:tabs>
        <w:spacing w:before="480" w:line="240" w:lineRule="auto"/>
        <w:jc w:val="left"/>
        <w:rPr>
          <w:rFonts w:asciiTheme="minorHAnsi" w:hAnsiTheme="minorHAnsi" w:cstheme="minorHAnsi"/>
          <w:szCs w:val="24"/>
          <w:lang w:val="es-ES_tradnl"/>
        </w:rPr>
      </w:pPr>
      <w:r w:rsidRPr="00AA7806">
        <w:rPr>
          <w:rFonts w:asciiTheme="minorHAnsi" w:hAnsiTheme="minorHAnsi" w:cstheme="minorHAnsi"/>
          <w:color w:val="000000"/>
          <w:szCs w:val="24"/>
          <w:u w:val="single"/>
          <w:lang w:val="es-ES_tradnl"/>
        </w:rPr>
        <w:t>Proyecto de nueva Recomendación UIT-R</w:t>
      </w:r>
      <w:r w:rsidRPr="00AA7806">
        <w:rPr>
          <w:rFonts w:asciiTheme="minorHAnsi" w:hAnsiTheme="minorHAnsi" w:cstheme="minorHAnsi"/>
          <w:szCs w:val="24"/>
          <w:u w:val="single"/>
          <w:lang w:val="es-ES_tradnl"/>
        </w:rPr>
        <w:t xml:space="preserve"> P.[AIRBORNE]</w:t>
      </w:r>
      <w:r w:rsidRPr="00AA7806">
        <w:rPr>
          <w:rFonts w:asciiTheme="minorHAnsi" w:hAnsiTheme="minorHAnsi" w:cstheme="minorHAnsi"/>
          <w:szCs w:val="24"/>
          <w:lang w:val="es-ES_tradnl"/>
        </w:rPr>
        <w:tab/>
        <w:t>Doc. 3/48(Rev.1)</w:t>
      </w:r>
    </w:p>
    <w:p w:rsidR="0086264D" w:rsidRPr="00AA7806" w:rsidRDefault="0086264D" w:rsidP="0086264D">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color w:val="000000"/>
          <w:sz w:val="28"/>
          <w:szCs w:val="28"/>
          <w:lang w:val="es-ES_tradnl"/>
        </w:rPr>
        <w:t xml:space="preserve">Predicción de la atenuación del trayecto por enlaces entre una plataforma aerotransportada y el espacio y entre </w:t>
      </w:r>
      <w:r w:rsidR="00E33F15">
        <w:rPr>
          <w:rFonts w:asciiTheme="minorHAnsi" w:hAnsiTheme="minorHAnsi" w:cstheme="minorHAnsi"/>
          <w:b/>
          <w:bCs/>
          <w:color w:val="000000"/>
          <w:sz w:val="28"/>
          <w:szCs w:val="28"/>
          <w:lang w:val="es-ES_tradnl"/>
        </w:rPr>
        <w:t>una plataforma aerotransportada</w:t>
      </w:r>
      <w:r w:rsidR="00E33F15">
        <w:rPr>
          <w:rFonts w:asciiTheme="minorHAnsi" w:hAnsiTheme="minorHAnsi" w:cstheme="minorHAnsi"/>
          <w:b/>
          <w:bCs/>
          <w:color w:val="000000"/>
          <w:sz w:val="28"/>
          <w:szCs w:val="28"/>
          <w:lang w:val="es-ES_tradnl"/>
        </w:rPr>
        <w:br/>
      </w:r>
      <w:r w:rsidRPr="00AA7806">
        <w:rPr>
          <w:rFonts w:asciiTheme="minorHAnsi" w:hAnsiTheme="minorHAnsi" w:cstheme="minorHAnsi"/>
          <w:b/>
          <w:bCs/>
          <w:color w:val="000000"/>
          <w:sz w:val="28"/>
          <w:szCs w:val="28"/>
          <w:lang w:val="es-ES_tradnl"/>
        </w:rPr>
        <w:t>y la superficie de la Tierra</w:t>
      </w:r>
    </w:p>
    <w:p w:rsidR="0086264D" w:rsidRPr="00AA7806" w:rsidRDefault="0086264D" w:rsidP="00E33F15">
      <w:pPr>
        <w:rPr>
          <w:lang w:val="es-ES_tradnl"/>
        </w:rPr>
      </w:pPr>
      <w:r w:rsidRPr="00AA7806">
        <w:rPr>
          <w:lang w:val="es-ES_tradnl"/>
        </w:rPr>
        <w:t>En la presente Recomendación se prevén los diversos efectos de la propagación necesarios en la planificación de sistemas Tierra-espacio que funcionan en el sentido Tierra-espacio o espacio</w:t>
      </w:r>
      <w:r w:rsidR="005C1447" w:rsidRPr="00AA7806">
        <w:rPr>
          <w:lang w:val="es-ES_tradnl"/>
        </w:rPr>
        <w:noBreakHyphen/>
      </w:r>
      <w:r w:rsidRPr="00AA7806">
        <w:rPr>
          <w:lang w:val="es-ES_tradnl"/>
        </w:rPr>
        <w:t>Tierra.</w:t>
      </w:r>
    </w:p>
    <w:p w:rsidR="0086264D" w:rsidRPr="00AA7806" w:rsidRDefault="0086264D" w:rsidP="00E33F15">
      <w:pPr>
        <w:tabs>
          <w:tab w:val="right" w:pos="9639"/>
        </w:tabs>
        <w:spacing w:before="48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P.676-9</w:t>
      </w:r>
      <w:r w:rsidRPr="00AA7806">
        <w:rPr>
          <w:rFonts w:asciiTheme="minorHAnsi" w:hAnsiTheme="minorHAnsi" w:cstheme="minorHAnsi"/>
          <w:szCs w:val="24"/>
          <w:lang w:val="es-ES_tradnl"/>
        </w:rPr>
        <w:tab/>
        <w:t>Doc. 3/11(Rev.1)</w:t>
      </w:r>
    </w:p>
    <w:p w:rsidR="0086264D" w:rsidRPr="00AA7806" w:rsidRDefault="0086264D" w:rsidP="005C1447">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color w:val="000000"/>
          <w:sz w:val="28"/>
          <w:szCs w:val="28"/>
          <w:lang w:val="es-ES_tradnl"/>
        </w:rPr>
        <w:t>Atenuación debida a los gases atmosféricos</w:t>
      </w:r>
    </w:p>
    <w:p w:rsidR="0086264D" w:rsidRPr="00AA7806" w:rsidRDefault="0086264D" w:rsidP="00E33F15">
      <w:pPr>
        <w:rPr>
          <w:lang w:val="es-ES_tradnl"/>
        </w:rPr>
      </w:pPr>
      <w:r w:rsidRPr="00AA7806">
        <w:rPr>
          <w:lang w:val="es-ES_tradnl"/>
        </w:rPr>
        <w:t>En la presente revisión:</w:t>
      </w:r>
    </w:p>
    <w:p w:rsidR="0086264D" w:rsidRPr="00AA7806" w:rsidRDefault="0086264D" w:rsidP="00E33F15">
      <w:pPr>
        <w:pStyle w:val="enumlev1"/>
        <w:rPr>
          <w:lang w:val="es-ES_tradnl"/>
        </w:rPr>
      </w:pPr>
      <w:r w:rsidRPr="00AA7806">
        <w:rPr>
          <w:lang w:val="es-ES_tradnl"/>
        </w:rPr>
        <w:t>–</w:t>
      </w:r>
      <w:r w:rsidRPr="00AA7806">
        <w:rPr>
          <w:lang w:val="es-ES_tradnl"/>
        </w:rPr>
        <w:tab/>
        <w:t xml:space="preserve">se </w:t>
      </w:r>
      <w:r w:rsidRPr="00AA7806">
        <w:rPr>
          <w:lang w:val="es-ES_tradnl" w:eastAsia="zh-CN"/>
        </w:rPr>
        <w:t xml:space="preserve">sustituyen los coeficientes de la raya de oxígeno por los coeficientes de la raya actualizados (p. ej., intensidad de la raya, anchura de la raya y coeficientes de mezcla) publicados por </w:t>
      </w:r>
      <w:r w:rsidRPr="00AA7806">
        <w:rPr>
          <w:lang w:val="es-ES_tradnl"/>
        </w:rPr>
        <w:t>M. Yu. Tretyakov en 2005;</w:t>
      </w:r>
    </w:p>
    <w:p w:rsidR="0086264D" w:rsidRPr="00AA7806" w:rsidRDefault="0086264D" w:rsidP="00E33F15">
      <w:pPr>
        <w:pStyle w:val="enumlev1"/>
        <w:rPr>
          <w:lang w:val="es-ES_tradnl" w:eastAsia="zh-CN"/>
        </w:rPr>
      </w:pPr>
      <w:r w:rsidRPr="00AA7806">
        <w:rPr>
          <w:lang w:val="es-ES_tradnl"/>
        </w:rPr>
        <w:t>–</w:t>
      </w:r>
      <w:r w:rsidRPr="00AA7806">
        <w:rPr>
          <w:lang w:val="es-ES_tradnl"/>
        </w:rPr>
        <w:tab/>
        <w:t>se sustituyen las Figuras 1, 2, y 3.</w:t>
      </w:r>
    </w:p>
    <w:p w:rsidR="0043260E" w:rsidRDefault="0043260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Pr>
          <w:rFonts w:asciiTheme="minorHAnsi" w:hAnsiTheme="minorHAnsi" w:cstheme="minorHAnsi"/>
          <w:szCs w:val="24"/>
          <w:u w:val="single"/>
          <w:lang w:val="es-ES_tradnl"/>
        </w:rPr>
        <w:br w:type="page"/>
      </w:r>
    </w:p>
    <w:p w:rsidR="0086264D" w:rsidRPr="00AA7806" w:rsidRDefault="0086264D" w:rsidP="0086264D">
      <w:pPr>
        <w:tabs>
          <w:tab w:val="right" w:pos="9639"/>
        </w:tabs>
        <w:spacing w:before="36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P.1407-4</w:t>
      </w:r>
      <w:r w:rsidRPr="00AA7806">
        <w:rPr>
          <w:rFonts w:asciiTheme="minorHAnsi" w:hAnsiTheme="minorHAnsi" w:cstheme="minorHAnsi"/>
          <w:szCs w:val="24"/>
          <w:lang w:val="es-ES_tradnl"/>
        </w:rPr>
        <w:tab/>
        <w:t>Doc. 3/12(Rev.1)</w:t>
      </w:r>
    </w:p>
    <w:p w:rsidR="0086264D" w:rsidRPr="00AA7806" w:rsidRDefault="0086264D" w:rsidP="005C1447">
      <w:pPr>
        <w:tabs>
          <w:tab w:val="right" w:pos="9639"/>
        </w:tabs>
        <w:spacing w:before="360" w:line="240" w:lineRule="auto"/>
        <w:jc w:val="center"/>
        <w:rPr>
          <w:rFonts w:asciiTheme="minorHAnsi" w:hAnsiTheme="minorHAnsi" w:cstheme="minorHAnsi"/>
          <w:b/>
          <w:bCs/>
          <w:sz w:val="28"/>
          <w:szCs w:val="28"/>
          <w:lang w:val="es-ES_tradnl" w:eastAsia="zh-CN"/>
        </w:rPr>
      </w:pPr>
      <w:r w:rsidRPr="00AA7806">
        <w:rPr>
          <w:rFonts w:asciiTheme="minorHAnsi" w:hAnsiTheme="minorHAnsi" w:cstheme="minorHAnsi"/>
          <w:b/>
          <w:bCs/>
          <w:color w:val="000000"/>
          <w:sz w:val="28"/>
          <w:szCs w:val="28"/>
          <w:lang w:val="es-ES_tradnl"/>
        </w:rPr>
        <w:t>Propagación por trayectos múltiples y parametrización de sus características</w:t>
      </w:r>
    </w:p>
    <w:p w:rsidR="0086264D" w:rsidRPr="00AA7806" w:rsidRDefault="0086264D" w:rsidP="00E33F15">
      <w:pPr>
        <w:rPr>
          <w:lang w:val="es-ES_tradnl"/>
        </w:rPr>
      </w:pPr>
      <w:r w:rsidRPr="00AA7806">
        <w:rPr>
          <w:lang w:val="es-ES_tradnl"/>
        </w:rPr>
        <w:t>En la presente revisión:</w:t>
      </w:r>
    </w:p>
    <w:p w:rsidR="0086264D" w:rsidRPr="00AA7806" w:rsidRDefault="0086264D" w:rsidP="00E33F15">
      <w:pPr>
        <w:pStyle w:val="enumlev1"/>
        <w:rPr>
          <w:lang w:val="es-ES_tradnl"/>
        </w:rPr>
      </w:pPr>
      <w:r w:rsidRPr="00AA7806">
        <w:rPr>
          <w:lang w:val="es-ES_tradnl"/>
        </w:rPr>
        <w:t>–</w:t>
      </w:r>
      <w:r w:rsidRPr="00AA7806">
        <w:rPr>
          <w:lang w:val="es-ES_tradnl"/>
        </w:rPr>
        <w:tab/>
        <w:t xml:space="preserve">se han modificado los últimos tres párrafos del Anexo 1, sección 1 </w:t>
      </w:r>
      <w:r w:rsidR="005C7C41" w:rsidRPr="00AA7806">
        <w:rPr>
          <w:lang w:val="es-ES_tradnl"/>
        </w:rPr>
        <w:t>«</w:t>
      </w:r>
      <w:r w:rsidRPr="00AA7806">
        <w:rPr>
          <w:lang w:val="es-ES_tradnl"/>
        </w:rPr>
        <w:t>Introducción</w:t>
      </w:r>
      <w:r w:rsidR="005C7C41" w:rsidRPr="00AA7806">
        <w:rPr>
          <w:lang w:val="es-ES_tradnl"/>
        </w:rPr>
        <w:t>»</w:t>
      </w:r>
      <w:r w:rsidRPr="00AA7806">
        <w:rPr>
          <w:lang w:val="es-ES_tradnl"/>
        </w:rPr>
        <w:t xml:space="preserve">, y se ha incorporado texto nuevo en la sección 2.1 </w:t>
      </w:r>
      <w:r w:rsidR="005C7C41" w:rsidRPr="00AA7806">
        <w:rPr>
          <w:lang w:val="es-ES_tradnl"/>
        </w:rPr>
        <w:t>«</w:t>
      </w:r>
      <w:r w:rsidRPr="00AA7806">
        <w:rPr>
          <w:color w:val="000000"/>
          <w:lang w:val="es-ES_tradnl"/>
        </w:rPr>
        <w:t>Definiciones de los perfiles del retardo de potencia</w:t>
      </w:r>
      <w:r w:rsidR="005C7C41" w:rsidRPr="00AA7806">
        <w:rPr>
          <w:lang w:val="es-ES_tradnl"/>
        </w:rPr>
        <w:t>»</w:t>
      </w:r>
      <w:r w:rsidRPr="00AA7806">
        <w:rPr>
          <w:lang w:val="es-ES_tradnl"/>
        </w:rPr>
        <w:t>.</w:t>
      </w:r>
      <w:r w:rsidR="004E3437" w:rsidRPr="00AA7806">
        <w:rPr>
          <w:lang w:val="es-ES_tradnl"/>
        </w:rPr>
        <w:t xml:space="preserve"> </w:t>
      </w:r>
      <w:r w:rsidRPr="00AA7806">
        <w:rPr>
          <w:lang w:val="es-ES_tradnl"/>
        </w:rPr>
        <w:t xml:space="preserve">Asimismo, se ha añadido la expresión (pequeña escala) después de corto plazo para subrayar la equivalencia. En la sección 2.2 se ha suprimido texto y se ha trasladado a la sección 2.2.7. En la sección 2.2.6, se ha sustituido </w:t>
      </w:r>
      <w:r w:rsidR="005C7C41" w:rsidRPr="00AA7806">
        <w:rPr>
          <w:lang w:val="es-ES_tradnl"/>
        </w:rPr>
        <w:t>«</w:t>
      </w:r>
      <w:r w:rsidRPr="00AA7806">
        <w:rPr>
          <w:lang w:val="es-ES_tradnl"/>
        </w:rPr>
        <w:t>Anchura de banda de la correlación de frecuencias</w:t>
      </w:r>
      <w:r w:rsidR="005C7C41" w:rsidRPr="00AA7806">
        <w:rPr>
          <w:lang w:val="es-ES_tradnl"/>
        </w:rPr>
        <w:t>»</w:t>
      </w:r>
      <w:r w:rsidRPr="00AA7806">
        <w:rPr>
          <w:lang w:val="es-ES_tradnl"/>
        </w:rPr>
        <w:t xml:space="preserve"> por </w:t>
      </w:r>
      <w:r w:rsidR="005C7C41" w:rsidRPr="00AA7806">
        <w:rPr>
          <w:lang w:val="es-ES_tradnl"/>
        </w:rPr>
        <w:t>«</w:t>
      </w:r>
      <w:r w:rsidRPr="00AA7806">
        <w:rPr>
          <w:lang w:val="es-ES_tradnl"/>
        </w:rPr>
        <w:t>número de componentes de trayectos múltiples</w:t>
      </w:r>
      <w:r w:rsidR="005C7C41" w:rsidRPr="00AA7806">
        <w:rPr>
          <w:lang w:val="es-ES_tradnl"/>
        </w:rPr>
        <w:t>»</w:t>
      </w:r>
      <w:r w:rsidRPr="00AA7806">
        <w:rPr>
          <w:lang w:val="es-ES_tradnl"/>
        </w:rPr>
        <w:t xml:space="preserve">. Se ha añadido una nueva sección: sección 4 </w:t>
      </w:r>
      <w:r w:rsidR="005C7C41" w:rsidRPr="00AA7806">
        <w:rPr>
          <w:lang w:val="es-ES_tradnl"/>
        </w:rPr>
        <w:t>«</w:t>
      </w:r>
      <w:r w:rsidRPr="00AA7806">
        <w:rPr>
          <w:lang w:val="es-ES_tradnl"/>
        </w:rPr>
        <w:t>Parámetros de las variaciones de la señal recibida</w:t>
      </w:r>
      <w:r w:rsidR="005C7C41" w:rsidRPr="00AA7806">
        <w:rPr>
          <w:lang w:val="es-ES_tradnl"/>
        </w:rPr>
        <w:t>»</w:t>
      </w:r>
      <w:r w:rsidRPr="00AA7806">
        <w:rPr>
          <w:lang w:val="es-ES_tradnl"/>
        </w:rPr>
        <w:t>;</w:t>
      </w:r>
    </w:p>
    <w:p w:rsidR="0086264D" w:rsidRPr="00AA7806" w:rsidRDefault="0086264D" w:rsidP="00E33F15">
      <w:pPr>
        <w:pStyle w:val="enumlev1"/>
        <w:rPr>
          <w:lang w:val="es-ES_tradnl"/>
        </w:rPr>
      </w:pPr>
      <w:r w:rsidRPr="00AA7806">
        <w:rPr>
          <w:lang w:val="es-ES_tradnl"/>
        </w:rPr>
        <w:t>–</w:t>
      </w:r>
      <w:r w:rsidRPr="00AA7806">
        <w:rPr>
          <w:lang w:val="es-ES_tradnl"/>
        </w:rPr>
        <w:tab/>
        <w:t>en el Anexo 2, sección 3, se han corregido los parámetros relativos a la ecuación (23);</w:t>
      </w:r>
    </w:p>
    <w:p w:rsidR="0086264D" w:rsidRPr="00AA7806" w:rsidRDefault="0086264D" w:rsidP="00E33F15">
      <w:pPr>
        <w:pStyle w:val="enumlev1"/>
        <w:rPr>
          <w:lang w:val="es-ES_tradnl"/>
        </w:rPr>
      </w:pPr>
      <w:r w:rsidRPr="00AA7806">
        <w:rPr>
          <w:lang w:val="es-ES_tradnl"/>
        </w:rPr>
        <w:t>–</w:t>
      </w:r>
      <w:r w:rsidRPr="00AA7806">
        <w:rPr>
          <w:lang w:val="es-ES_tradnl"/>
        </w:rPr>
        <w:tab/>
        <w:t xml:space="preserve">se ha añadido un Anexo 3, </w:t>
      </w:r>
      <w:r w:rsidR="005C7C41" w:rsidRPr="00AA7806">
        <w:rPr>
          <w:lang w:val="es-ES_tradnl"/>
        </w:rPr>
        <w:t>«</w:t>
      </w:r>
      <w:r w:rsidRPr="00AA7806">
        <w:rPr>
          <w:lang w:val="es-ES_tradnl"/>
        </w:rPr>
        <w:t>Generación de canal de banda ancha</w:t>
      </w:r>
      <w:r w:rsidR="005C7C41" w:rsidRPr="00AA7806">
        <w:rPr>
          <w:lang w:val="es-ES_tradnl"/>
        </w:rPr>
        <w:t>»</w:t>
      </w:r>
      <w:r w:rsidRPr="00AA7806">
        <w:rPr>
          <w:lang w:val="es-ES_tradnl"/>
        </w:rPr>
        <w:t>.</w:t>
      </w:r>
    </w:p>
    <w:p w:rsidR="0086264D" w:rsidRPr="00AA7806" w:rsidRDefault="0086264D" w:rsidP="00E33F15">
      <w:pPr>
        <w:tabs>
          <w:tab w:val="right" w:pos="9639"/>
        </w:tabs>
        <w:spacing w:before="48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w:t>
      </w:r>
      <w:r w:rsidRPr="00AA7806">
        <w:rPr>
          <w:rStyle w:val="href"/>
          <w:rFonts w:asciiTheme="minorHAnsi" w:hAnsiTheme="minorHAnsi" w:cstheme="minorHAnsi"/>
          <w:szCs w:val="24"/>
          <w:u w:val="single"/>
          <w:lang w:val="es-ES_tradnl"/>
        </w:rPr>
        <w:t>1057-2</w:t>
      </w:r>
      <w:r w:rsidRPr="00AA7806">
        <w:rPr>
          <w:rFonts w:asciiTheme="minorHAnsi" w:hAnsiTheme="minorHAnsi" w:cstheme="minorHAnsi"/>
          <w:szCs w:val="24"/>
          <w:lang w:val="es-ES_tradnl"/>
        </w:rPr>
        <w:tab/>
        <w:t>Doc. 3/13(Rev.1)</w:t>
      </w:r>
    </w:p>
    <w:p w:rsidR="0086264D" w:rsidRPr="00AA7806" w:rsidRDefault="0086264D" w:rsidP="005C1447">
      <w:pPr>
        <w:tabs>
          <w:tab w:val="right" w:pos="9639"/>
        </w:tabs>
        <w:spacing w:before="360" w:line="240" w:lineRule="auto"/>
        <w:jc w:val="center"/>
        <w:rPr>
          <w:rFonts w:asciiTheme="minorHAnsi" w:hAnsiTheme="minorHAnsi" w:cstheme="minorHAnsi"/>
          <w:b/>
          <w:bCs/>
          <w:sz w:val="28"/>
          <w:szCs w:val="28"/>
          <w:lang w:val="es-ES_tradnl"/>
        </w:rPr>
      </w:pPr>
      <w:bookmarkStart w:id="1" w:name="Pre_title"/>
      <w:r w:rsidRPr="00AA7806">
        <w:rPr>
          <w:rFonts w:asciiTheme="minorHAnsi" w:hAnsiTheme="minorHAnsi" w:cstheme="minorHAnsi"/>
          <w:b/>
          <w:bCs/>
          <w:sz w:val="28"/>
          <w:szCs w:val="28"/>
          <w:lang w:val="es-ES_tradnl"/>
        </w:rPr>
        <w:t>Distribuciones de probabilidad para establecer modelos de</w:t>
      </w:r>
      <w:r w:rsidRPr="00AA7806">
        <w:rPr>
          <w:rFonts w:asciiTheme="minorHAnsi" w:hAnsiTheme="minorHAnsi" w:cstheme="minorHAnsi"/>
          <w:b/>
          <w:bCs/>
          <w:sz w:val="28"/>
          <w:szCs w:val="28"/>
          <w:lang w:val="es-ES_tradnl"/>
        </w:rPr>
        <w:br/>
        <w:t>propagación de las ondas radioeléctricas</w:t>
      </w:r>
      <w:bookmarkEnd w:id="1"/>
    </w:p>
    <w:p w:rsidR="0086264D" w:rsidRPr="00AA7806" w:rsidRDefault="0086264D" w:rsidP="00E33F15">
      <w:pPr>
        <w:rPr>
          <w:lang w:val="es-ES_tradnl"/>
        </w:rPr>
      </w:pPr>
      <w:r w:rsidRPr="00AA7806">
        <w:rPr>
          <w:lang w:val="es-ES_tradnl"/>
        </w:rPr>
        <w:t>En la presente revisión:</w:t>
      </w:r>
    </w:p>
    <w:p w:rsidR="0086264D" w:rsidRPr="00AA7806" w:rsidRDefault="0086264D" w:rsidP="00E33F15">
      <w:pPr>
        <w:pStyle w:val="enumlev1"/>
        <w:rPr>
          <w:lang w:val="es-ES_tradnl"/>
        </w:rPr>
      </w:pPr>
      <w:r w:rsidRPr="00AA7806">
        <w:rPr>
          <w:lang w:val="es-ES_tradnl"/>
        </w:rPr>
        <w:t>–</w:t>
      </w:r>
      <w:r w:rsidRPr="00AA7806">
        <w:rPr>
          <w:lang w:val="es-ES_tradnl"/>
        </w:rPr>
        <w:tab/>
        <w:t xml:space="preserve">se ha sustituido el texto de la sección </w:t>
      </w:r>
      <w:r w:rsidR="00A570B6" w:rsidRPr="00AA7806">
        <w:rPr>
          <w:lang w:val="es-ES_tradnl"/>
        </w:rPr>
        <w:t>«</w:t>
      </w:r>
      <w:r w:rsidRPr="00AA7806">
        <w:rPr>
          <w:lang w:val="es-ES_tradnl"/>
        </w:rPr>
        <w:t>Cometido</w:t>
      </w:r>
      <w:r w:rsidR="00A570B6" w:rsidRPr="00AA7806">
        <w:rPr>
          <w:lang w:val="es-ES_tradnl"/>
        </w:rPr>
        <w:t>»</w:t>
      </w:r>
      <w:r w:rsidRPr="00AA7806">
        <w:rPr>
          <w:lang w:val="es-ES_tradnl"/>
        </w:rPr>
        <w:t xml:space="preserve"> por texto nuevo;</w:t>
      </w:r>
    </w:p>
    <w:p w:rsidR="0086264D" w:rsidRPr="00AA7806" w:rsidRDefault="0086264D" w:rsidP="00E33F15">
      <w:pPr>
        <w:pStyle w:val="enumlev1"/>
        <w:rPr>
          <w:lang w:val="es-ES_tradnl"/>
        </w:rPr>
      </w:pPr>
      <w:r w:rsidRPr="00AA7806">
        <w:rPr>
          <w:lang w:val="es-ES_tradnl"/>
        </w:rPr>
        <w:t>–</w:t>
      </w:r>
      <w:r w:rsidRPr="00AA7806">
        <w:rPr>
          <w:lang w:val="es-ES_tradnl"/>
        </w:rPr>
        <w:tab/>
        <w:t>se aclaran los parámetros de la distribución de Rayleigh en § 5;</w:t>
      </w:r>
    </w:p>
    <w:p w:rsidR="0086264D" w:rsidRPr="00AA7806" w:rsidRDefault="0086264D" w:rsidP="00E33F15">
      <w:pPr>
        <w:pStyle w:val="enumlev1"/>
        <w:rPr>
          <w:lang w:val="es-ES_tradnl"/>
        </w:rPr>
      </w:pPr>
      <w:r w:rsidRPr="00AA7806">
        <w:rPr>
          <w:lang w:val="es-ES_tradnl"/>
        </w:rPr>
        <w:t>–</w:t>
      </w:r>
      <w:r w:rsidRPr="00AA7806">
        <w:rPr>
          <w:lang w:val="es-ES_tradnl"/>
        </w:rPr>
        <w:tab/>
        <w:t>se aclaran los parámetros de la distribución combinada log-normal y de Rayleigh en § 6;</w:t>
      </w:r>
    </w:p>
    <w:p w:rsidR="0086264D" w:rsidRPr="00AA7806" w:rsidRDefault="0086264D" w:rsidP="00E33F15">
      <w:pPr>
        <w:pStyle w:val="enumlev1"/>
        <w:rPr>
          <w:lang w:val="es-ES_tradnl"/>
        </w:rPr>
      </w:pPr>
      <w:r w:rsidRPr="00AA7806">
        <w:rPr>
          <w:lang w:val="es-ES_tradnl"/>
        </w:rPr>
        <w:t>–</w:t>
      </w:r>
      <w:r w:rsidRPr="00AA7806">
        <w:rPr>
          <w:lang w:val="es-ES_tradnl"/>
        </w:rPr>
        <w:tab/>
        <w:t>se añade una expresión para la función de densidad de la probabilidad de la fase de la distribución de Nakagami-Rice.</w:t>
      </w:r>
    </w:p>
    <w:p w:rsidR="0086264D" w:rsidRPr="00AA7806" w:rsidRDefault="0086264D" w:rsidP="00E33F15">
      <w:pPr>
        <w:tabs>
          <w:tab w:val="right" w:pos="9639"/>
        </w:tabs>
        <w:spacing w:before="48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P.833-7</w:t>
      </w:r>
      <w:r w:rsidRPr="00AA7806">
        <w:rPr>
          <w:rFonts w:asciiTheme="minorHAnsi" w:hAnsiTheme="minorHAnsi" w:cstheme="minorHAnsi"/>
          <w:szCs w:val="24"/>
          <w:lang w:val="es-ES_tradnl"/>
        </w:rPr>
        <w:tab/>
        <w:t>Doc. 3/14(Rev.1)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Atenuación debida a la vegetación</w:t>
      </w:r>
    </w:p>
    <w:p w:rsidR="0086264D" w:rsidRPr="00AA7806" w:rsidRDefault="0086264D" w:rsidP="00E33F15">
      <w:pPr>
        <w:rPr>
          <w:lang w:val="es-ES_tradnl"/>
        </w:rPr>
      </w:pPr>
      <w:r w:rsidRPr="00AA7806">
        <w:rPr>
          <w:lang w:val="es-ES_tradnl"/>
        </w:rPr>
        <w:t>La finalidad de la presente revisión es proponer la adición de un método para predecir el efecto de un único árbol en el trayecto oblicuo (ángulo de elevación &gt; 5°) para frecuencias comprendidas entre 1 y 100 GHz.</w:t>
      </w:r>
    </w:p>
    <w:p w:rsidR="0043260E" w:rsidRDefault="0043260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Pr>
          <w:rFonts w:asciiTheme="minorHAnsi" w:hAnsiTheme="minorHAnsi" w:cstheme="minorHAnsi"/>
          <w:szCs w:val="24"/>
          <w:u w:val="single"/>
          <w:lang w:val="es-ES_tradnl"/>
        </w:rPr>
        <w:br w:type="page"/>
      </w:r>
    </w:p>
    <w:p w:rsidR="0086264D" w:rsidRPr="00AA7806" w:rsidRDefault="0086264D" w:rsidP="0086264D">
      <w:pPr>
        <w:tabs>
          <w:tab w:val="right" w:pos="9639"/>
        </w:tabs>
        <w:spacing w:before="36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P.678-1</w:t>
      </w:r>
      <w:r w:rsidRPr="00AA7806">
        <w:rPr>
          <w:rFonts w:asciiTheme="minorHAnsi" w:hAnsiTheme="minorHAnsi" w:cstheme="minorHAnsi"/>
          <w:szCs w:val="24"/>
          <w:lang w:val="es-ES_tradnl"/>
        </w:rPr>
        <w:tab/>
        <w:t>Doc. 3/16(Rev.1)</w:t>
      </w:r>
    </w:p>
    <w:p w:rsidR="0086264D" w:rsidRPr="00AA7806" w:rsidRDefault="0086264D" w:rsidP="00714B16">
      <w:pPr>
        <w:tabs>
          <w:tab w:val="right" w:pos="9639"/>
        </w:tabs>
        <w:spacing w:before="360" w:line="240" w:lineRule="auto"/>
        <w:jc w:val="center"/>
        <w:rPr>
          <w:rStyle w:val="Strong"/>
          <w:rFonts w:asciiTheme="minorHAnsi" w:hAnsiTheme="minorHAnsi" w:cstheme="minorHAnsi"/>
          <w:b w:val="0"/>
          <w:bCs w:val="0"/>
          <w:sz w:val="28"/>
          <w:szCs w:val="28"/>
          <w:lang w:val="es-ES_tradnl"/>
        </w:rPr>
      </w:pPr>
      <w:r w:rsidRPr="00AA7806">
        <w:rPr>
          <w:rFonts w:asciiTheme="minorHAnsi" w:eastAsia="MS Mincho" w:hAnsiTheme="minorHAnsi" w:cstheme="minorHAnsi"/>
          <w:b/>
          <w:bCs/>
          <w:sz w:val="28"/>
          <w:szCs w:val="28"/>
          <w:lang w:val="es-ES_tradnl" w:eastAsia="ja-JP"/>
        </w:rPr>
        <w:t>Caracterización de la variabilidad natural de los fenómenos de propagación</w:t>
      </w:r>
    </w:p>
    <w:p w:rsidR="0086264D" w:rsidRPr="00AA7806" w:rsidRDefault="0086264D" w:rsidP="00E33F15">
      <w:pPr>
        <w:rPr>
          <w:lang w:val="es-ES_tradnl" w:eastAsia="zh-CN"/>
        </w:rPr>
      </w:pPr>
      <w:r w:rsidRPr="00AA7806">
        <w:rPr>
          <w:lang w:val="es-ES_tradnl" w:eastAsia="zh-CN"/>
        </w:rPr>
        <w:t>En la presente revisión se propone modificar el título de la Recomendación y añadir 3 nuevos Anexos.</w:t>
      </w:r>
    </w:p>
    <w:p w:rsidR="0086264D" w:rsidRPr="00AA7806" w:rsidRDefault="0086264D" w:rsidP="00E33F15">
      <w:pPr>
        <w:tabs>
          <w:tab w:val="right" w:pos="9639"/>
        </w:tabs>
        <w:spacing w:before="48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P.840-5</w:t>
      </w:r>
      <w:r w:rsidRPr="00AA7806">
        <w:rPr>
          <w:rFonts w:asciiTheme="minorHAnsi" w:hAnsiTheme="minorHAnsi" w:cstheme="minorHAnsi"/>
          <w:szCs w:val="24"/>
          <w:lang w:val="es-ES_tradnl"/>
        </w:rPr>
        <w:tab/>
        <w:t>Doc. 3/18(Rev.1)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Atenuación debida a las nubes y a la niebla</w:t>
      </w:r>
    </w:p>
    <w:p w:rsidR="0086264D" w:rsidRPr="00AA7806" w:rsidRDefault="00AA7806" w:rsidP="00E33F15">
      <w:pPr>
        <w:spacing w:before="240"/>
        <w:rPr>
          <w:lang w:val="es-ES_tradnl"/>
        </w:rPr>
      </w:pPr>
      <w:r>
        <w:rPr>
          <w:lang w:val="es-ES_tradnl"/>
        </w:rPr>
        <w:t>En la presente revisión:</w:t>
      </w:r>
    </w:p>
    <w:p w:rsidR="0086264D" w:rsidRPr="00AA7806" w:rsidRDefault="0086264D" w:rsidP="0095369D">
      <w:pPr>
        <w:pStyle w:val="enumlev1"/>
        <w:jc w:val="left"/>
        <w:rPr>
          <w:lang w:val="es-ES_tradnl"/>
        </w:rPr>
      </w:pPr>
      <w:r w:rsidRPr="00AA7806">
        <w:rPr>
          <w:lang w:val="es-ES_tradnl"/>
        </w:rPr>
        <w:t>–</w:t>
      </w:r>
      <w:r w:rsidRPr="00AA7806">
        <w:rPr>
          <w:lang w:val="es-ES_tradnl"/>
        </w:rPr>
        <w:tab/>
        <w:t>se añaden los valores mensuales del contenido total de la columna de agua líquida de nube reducido a una temperatura de 0</w:t>
      </w:r>
      <w:r w:rsidR="00714B16" w:rsidRPr="00AA7806">
        <w:rPr>
          <w:lang w:val="es-ES_tradnl"/>
        </w:rPr>
        <w:t>º</w:t>
      </w:r>
      <w:r w:rsidRPr="00AA7806">
        <w:rPr>
          <w:lang w:val="es-ES_tradnl"/>
        </w:rPr>
        <w:t xml:space="preserve"> C;</w:t>
      </w:r>
    </w:p>
    <w:p w:rsidR="0086264D" w:rsidRPr="00AA7806" w:rsidRDefault="0086264D" w:rsidP="0095369D">
      <w:pPr>
        <w:pStyle w:val="enumlev1"/>
        <w:jc w:val="left"/>
        <w:rPr>
          <w:lang w:val="es-ES_tradnl"/>
        </w:rPr>
      </w:pPr>
      <w:r w:rsidRPr="00AA7806">
        <w:rPr>
          <w:lang w:val="es-ES_tradnl"/>
        </w:rPr>
        <w:t>–</w:t>
      </w:r>
      <w:r w:rsidRPr="00AA7806">
        <w:rPr>
          <w:lang w:val="es-ES_tradnl"/>
        </w:rPr>
        <w:tab/>
        <w:t xml:space="preserve">se actualiza el modelo Debye doble para la permitividad dieléctrica </w:t>
      </w:r>
      <w:r w:rsidR="00714B16" w:rsidRPr="00AA7806">
        <w:rPr>
          <w:rFonts w:ascii="Symbol" w:hAnsi="Symbol"/>
          <w:szCs w:val="24"/>
          <w:lang w:val="es-ES_tradnl"/>
        </w:rPr>
        <w:t></w:t>
      </w:r>
      <w:r w:rsidRPr="00AA7806">
        <w:rPr>
          <w:lang w:val="es-ES_tradnl"/>
        </w:rPr>
        <w:t> ( </w:t>
      </w:r>
      <w:r w:rsidR="00714B16" w:rsidRPr="00AA7806">
        <w:rPr>
          <w:i/>
          <w:szCs w:val="24"/>
          <w:lang w:val="es-ES_tradnl"/>
        </w:rPr>
        <w:t>f</w:t>
      </w:r>
      <w:r w:rsidRPr="00AA7806">
        <w:rPr>
          <w:lang w:val="es-ES_tradnl"/>
        </w:rPr>
        <w:t> ) del agua;</w:t>
      </w:r>
    </w:p>
    <w:p w:rsidR="0086264D" w:rsidRPr="00AA7806" w:rsidRDefault="0086264D" w:rsidP="0095369D">
      <w:pPr>
        <w:pStyle w:val="enumlev1"/>
        <w:jc w:val="left"/>
        <w:rPr>
          <w:lang w:val="es-ES_tradnl"/>
        </w:rPr>
      </w:pPr>
      <w:r w:rsidRPr="00AA7806">
        <w:rPr>
          <w:lang w:val="es-ES_tradnl"/>
        </w:rPr>
        <w:t>–</w:t>
      </w:r>
      <w:r w:rsidRPr="00AA7806">
        <w:rPr>
          <w:lang w:val="es-ES_tradnl"/>
        </w:rPr>
        <w:tab/>
        <w:t>se aclara que las secciones 3 a 4 actuales se refieren a la configuración del enlace del trayecto oblicuo.</w:t>
      </w:r>
    </w:p>
    <w:p w:rsidR="0086264D" w:rsidRPr="00AA7806" w:rsidRDefault="0086264D" w:rsidP="00E33F15">
      <w:pPr>
        <w:keepNext/>
        <w:tabs>
          <w:tab w:val="right" w:pos="9639"/>
        </w:tabs>
        <w:spacing w:before="48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P.836-4</w:t>
      </w:r>
      <w:r w:rsidRPr="00AA7806">
        <w:rPr>
          <w:rFonts w:asciiTheme="minorHAnsi" w:hAnsiTheme="minorHAnsi" w:cstheme="minorHAnsi"/>
          <w:szCs w:val="24"/>
          <w:lang w:val="es-ES_tradnl"/>
        </w:rPr>
        <w:tab/>
        <w:t>Doc. 3/19(Rev.1)</w:t>
      </w:r>
    </w:p>
    <w:p w:rsidR="0086264D" w:rsidRPr="00AA7806" w:rsidRDefault="0086264D" w:rsidP="00A570B6">
      <w:pPr>
        <w:keepNext/>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 xml:space="preserve">Vapor de agua: densidad en la </w:t>
      </w:r>
      <w:r w:rsidR="004E3437" w:rsidRPr="00AA7806">
        <w:rPr>
          <w:rFonts w:asciiTheme="minorHAnsi" w:hAnsiTheme="minorHAnsi" w:cstheme="minorHAnsi"/>
          <w:b/>
          <w:bCs/>
          <w:sz w:val="28"/>
          <w:szCs w:val="28"/>
          <w:lang w:val="es-ES_tradnl"/>
        </w:rPr>
        <w:t>superficie y</w:t>
      </w:r>
      <w:r w:rsidRPr="00AA7806">
        <w:rPr>
          <w:rFonts w:asciiTheme="minorHAnsi" w:hAnsiTheme="minorHAnsi" w:cstheme="minorHAnsi"/>
          <w:b/>
          <w:bCs/>
          <w:sz w:val="28"/>
          <w:szCs w:val="28"/>
          <w:lang w:val="es-ES_tradnl"/>
        </w:rPr>
        <w:t xml:space="preserve"> contenido de una columna de aire</w:t>
      </w:r>
    </w:p>
    <w:p w:rsidR="0086264D" w:rsidRPr="00AA7806" w:rsidRDefault="0086264D" w:rsidP="00E33F15">
      <w:pPr>
        <w:spacing w:before="240"/>
        <w:rPr>
          <w:lang w:val="es-ES_tradnl" w:eastAsia="zh-CN"/>
        </w:rPr>
      </w:pPr>
      <w:r w:rsidRPr="00AA7806">
        <w:rPr>
          <w:lang w:val="es-ES_tradnl"/>
        </w:rPr>
        <w:t>En la presente revisión se añaden los valores mensuales del contenido integrado de vapor de agua y de la densidad del vapor de agua en la superficie. Se proponen las siguientes modificaciones</w:t>
      </w:r>
      <w:r w:rsidRPr="00AA7806">
        <w:rPr>
          <w:lang w:val="es-ES_tradnl" w:eastAsia="zh-CN"/>
        </w:rPr>
        <w:t>:</w:t>
      </w:r>
    </w:p>
    <w:p w:rsidR="0086264D" w:rsidRPr="00AA7806" w:rsidRDefault="0086264D" w:rsidP="00E33F15">
      <w:pPr>
        <w:pStyle w:val="enumlev1"/>
        <w:rPr>
          <w:lang w:val="es-ES_tradnl"/>
        </w:rPr>
      </w:pPr>
      <w:r w:rsidRPr="00AA7806">
        <w:rPr>
          <w:lang w:val="es-ES_tradnl"/>
        </w:rPr>
        <w:t>–</w:t>
      </w:r>
      <w:r w:rsidRPr="00AA7806">
        <w:rPr>
          <w:lang w:val="es-ES_tradnl"/>
        </w:rPr>
        <w:tab/>
        <w:t>Modificación de la sección 1 del Anexo 1 para:</w:t>
      </w:r>
    </w:p>
    <w:p w:rsidR="0086264D" w:rsidRPr="00AA7806" w:rsidRDefault="0086264D" w:rsidP="00E33F15">
      <w:pPr>
        <w:pStyle w:val="enumlev2"/>
        <w:rPr>
          <w:lang w:val="es-ES_tradnl"/>
        </w:rPr>
      </w:pPr>
      <w:r w:rsidRPr="00AA7806">
        <w:rPr>
          <w:lang w:val="es-ES_tradnl"/>
        </w:rPr>
        <w:t>i)</w:t>
      </w:r>
      <w:r w:rsidRPr="00AA7806">
        <w:rPr>
          <w:lang w:val="es-ES_tradnl"/>
        </w:rPr>
        <w:tab/>
        <w:t>incluir nuevos mapas mensuales de la densidad del vapor de agua en la superficie como parte integrante de la Recomendación;</w:t>
      </w:r>
    </w:p>
    <w:p w:rsidR="0086264D" w:rsidRPr="00AA7806" w:rsidRDefault="0086264D" w:rsidP="00E33F15">
      <w:pPr>
        <w:pStyle w:val="enumlev2"/>
        <w:rPr>
          <w:lang w:val="es-ES_tradnl"/>
        </w:rPr>
      </w:pPr>
      <w:r w:rsidRPr="00AA7806">
        <w:rPr>
          <w:lang w:val="es-ES_tradnl"/>
        </w:rPr>
        <w:t>ii)</w:t>
      </w:r>
      <w:r w:rsidRPr="00AA7806">
        <w:rPr>
          <w:lang w:val="es-ES_tradnl"/>
        </w:rPr>
        <w:tab/>
        <w:t>suprimir las Figuras 2 a 13 del texto de la Recomendación e incluirlas en el producto digital integral asociado a la Recomendación.</w:t>
      </w:r>
    </w:p>
    <w:p w:rsidR="0086264D" w:rsidRPr="00AA7806" w:rsidRDefault="0086264D" w:rsidP="00E33F15">
      <w:pPr>
        <w:pStyle w:val="enumlev1"/>
        <w:rPr>
          <w:lang w:val="es-ES_tradnl"/>
        </w:rPr>
      </w:pPr>
      <w:r w:rsidRPr="00AA7806">
        <w:rPr>
          <w:lang w:val="es-ES_tradnl"/>
        </w:rPr>
        <w:t>–</w:t>
      </w:r>
      <w:r w:rsidRPr="00AA7806">
        <w:rPr>
          <w:lang w:val="es-ES_tradnl"/>
        </w:rPr>
        <w:tab/>
        <w:t>Modificación de la sección 1 del Anexo 2 para:</w:t>
      </w:r>
    </w:p>
    <w:p w:rsidR="0086264D" w:rsidRPr="00AA7806" w:rsidRDefault="0086264D" w:rsidP="00E33F15">
      <w:pPr>
        <w:pStyle w:val="enumlev2"/>
        <w:rPr>
          <w:lang w:val="es-ES_tradnl"/>
        </w:rPr>
      </w:pPr>
      <w:r w:rsidRPr="00AA7806">
        <w:rPr>
          <w:lang w:val="es-ES_tradnl"/>
        </w:rPr>
        <w:t>i)</w:t>
      </w:r>
      <w:r w:rsidRPr="00AA7806">
        <w:rPr>
          <w:lang w:val="es-ES_tradnl"/>
        </w:rPr>
        <w:tab/>
        <w:t>incluir nuevos mapas mensuales del contenido total de agua como parte integrante de la Recomendación;</w:t>
      </w:r>
    </w:p>
    <w:p w:rsidR="0086264D" w:rsidRPr="00AA7806" w:rsidRDefault="0086264D" w:rsidP="00E33F15">
      <w:pPr>
        <w:pStyle w:val="enumlev2"/>
        <w:rPr>
          <w:lang w:val="es-ES_tradnl"/>
        </w:rPr>
      </w:pPr>
      <w:r w:rsidRPr="00AA7806">
        <w:rPr>
          <w:lang w:val="es-ES_tradnl"/>
        </w:rPr>
        <w:t>ii)</w:t>
      </w:r>
      <w:r w:rsidRPr="00AA7806">
        <w:rPr>
          <w:lang w:val="es-ES_tradnl"/>
        </w:rPr>
        <w:tab/>
        <w:t>suprimir las Figuras 15 a 21 del texto de la Recomendación e incluirlas en el producto digital integral asociado a la Recomendación;</w:t>
      </w:r>
    </w:p>
    <w:p w:rsidR="0086264D" w:rsidRPr="00AA7806" w:rsidRDefault="0086264D" w:rsidP="00E33F15">
      <w:pPr>
        <w:pStyle w:val="enumlev2"/>
        <w:rPr>
          <w:lang w:val="es-ES_tradnl"/>
        </w:rPr>
      </w:pPr>
      <w:r w:rsidRPr="00AA7806">
        <w:rPr>
          <w:lang w:val="es-ES_tradnl"/>
        </w:rPr>
        <w:t>iii)</w:t>
      </w:r>
      <w:r w:rsidRPr="00AA7806">
        <w:rPr>
          <w:lang w:val="es-ES_tradnl"/>
        </w:rPr>
        <w:tab/>
        <w:t>renumerar la Figura 14 como Figura 2.</w:t>
      </w:r>
    </w:p>
    <w:p w:rsidR="0043260E" w:rsidRDefault="0043260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Pr>
          <w:rFonts w:asciiTheme="minorHAnsi" w:hAnsiTheme="minorHAnsi" w:cstheme="minorHAnsi"/>
          <w:szCs w:val="24"/>
          <w:u w:val="single"/>
          <w:lang w:val="es-ES_tradnl"/>
        </w:rPr>
        <w:br w:type="page"/>
      </w:r>
    </w:p>
    <w:p w:rsidR="0086264D" w:rsidRPr="00AA7806" w:rsidRDefault="0086264D" w:rsidP="0086264D">
      <w:pPr>
        <w:tabs>
          <w:tab w:val="right" w:pos="9639"/>
        </w:tabs>
        <w:spacing w:before="36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P.839-3</w:t>
      </w:r>
      <w:r w:rsidRPr="00AA7806">
        <w:rPr>
          <w:rFonts w:asciiTheme="minorHAnsi" w:hAnsiTheme="minorHAnsi" w:cstheme="minorHAnsi"/>
          <w:szCs w:val="24"/>
          <w:lang w:val="es-ES_tradnl"/>
        </w:rPr>
        <w:tab/>
        <w:t>Doc. 3/20(Rev.1)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Modelo de estimación de la altura de la lluvia para utilizar</w:t>
      </w:r>
      <w:r w:rsidR="00714B16" w:rsidRPr="00AA7806">
        <w:rPr>
          <w:rFonts w:asciiTheme="minorHAnsi" w:hAnsiTheme="minorHAnsi" w:cstheme="minorHAnsi"/>
          <w:b/>
          <w:bCs/>
          <w:sz w:val="28"/>
          <w:szCs w:val="28"/>
          <w:lang w:val="es-ES_tradnl"/>
        </w:rPr>
        <w:br/>
      </w:r>
      <w:r w:rsidRPr="00AA7806">
        <w:rPr>
          <w:rFonts w:asciiTheme="minorHAnsi" w:hAnsiTheme="minorHAnsi" w:cstheme="minorHAnsi"/>
          <w:b/>
          <w:bCs/>
          <w:sz w:val="28"/>
          <w:szCs w:val="28"/>
          <w:lang w:val="es-ES_tradnl"/>
        </w:rPr>
        <w:t>en los métodos de predicción</w:t>
      </w:r>
    </w:p>
    <w:p w:rsidR="0086264D" w:rsidRPr="00AA7806" w:rsidRDefault="0086264D" w:rsidP="00E33F15">
      <w:pPr>
        <w:spacing w:before="240"/>
        <w:rPr>
          <w:lang w:val="es-ES_tradnl"/>
        </w:rPr>
      </w:pPr>
      <w:r w:rsidRPr="00AA7806">
        <w:rPr>
          <w:lang w:val="es-ES_tradnl"/>
        </w:rPr>
        <w:t>La presente revisión modifica el mapa de altura de la isoterma de 0°C por encima del nivel medio del mar corrigiendo los píxeles anómalos y traslada la figura al archivo asociado a la presente Recomendación.</w:t>
      </w:r>
    </w:p>
    <w:p w:rsidR="0086264D" w:rsidRPr="00AA7806" w:rsidRDefault="0086264D" w:rsidP="00E33F15">
      <w:pPr>
        <w:tabs>
          <w:tab w:val="right" w:pos="9639"/>
        </w:tabs>
        <w:spacing w:before="48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P.1321-3</w:t>
      </w:r>
      <w:r w:rsidRPr="00AA7806">
        <w:rPr>
          <w:rFonts w:asciiTheme="minorHAnsi" w:hAnsiTheme="minorHAnsi" w:cstheme="minorHAnsi"/>
          <w:szCs w:val="24"/>
          <w:lang w:val="es-ES_tradnl"/>
        </w:rPr>
        <w:tab/>
        <w:t>Doc. 3/23(Rev.1)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Factores de propagación que afectan a los sistemas con técnicas</w:t>
      </w:r>
      <w:r w:rsidRPr="00AA7806">
        <w:rPr>
          <w:rFonts w:asciiTheme="minorHAnsi" w:hAnsiTheme="minorHAnsi" w:cstheme="minorHAnsi"/>
          <w:b/>
          <w:bCs/>
          <w:sz w:val="28"/>
          <w:szCs w:val="28"/>
          <w:lang w:val="es-ES_tradnl"/>
        </w:rPr>
        <w:br/>
        <w:t>de modulación digital en ondas kilométricas y hectométricas</w:t>
      </w:r>
    </w:p>
    <w:p w:rsidR="0086264D" w:rsidRPr="00AA7806" w:rsidRDefault="0086264D" w:rsidP="00E33F15">
      <w:pPr>
        <w:spacing w:before="240"/>
        <w:rPr>
          <w:rFonts w:asciiTheme="minorHAnsi" w:hAnsiTheme="minorHAnsi" w:cstheme="minorHAnsi"/>
          <w:b/>
          <w:szCs w:val="24"/>
          <w:lang w:val="es-ES_tradnl"/>
        </w:rPr>
      </w:pPr>
      <w:r w:rsidRPr="00AA7806">
        <w:rPr>
          <w:lang w:val="es-ES_tradnl"/>
        </w:rPr>
        <w:t>La presente revisión añade información sobre las variaciones temporales de la propagación por</w:t>
      </w:r>
      <w:r w:rsidRPr="00AA7806">
        <w:rPr>
          <w:rFonts w:asciiTheme="minorHAnsi" w:hAnsiTheme="minorHAnsi" w:cstheme="minorHAnsi"/>
          <w:szCs w:val="24"/>
          <w:lang w:val="es-ES_tradnl"/>
        </w:rPr>
        <w:t xml:space="preserve"> onda de superficie durante períodos diurnos.</w:t>
      </w:r>
    </w:p>
    <w:p w:rsidR="0086264D" w:rsidRPr="00AA7806" w:rsidRDefault="0086264D" w:rsidP="00E33F15">
      <w:pPr>
        <w:tabs>
          <w:tab w:val="right" w:pos="9639"/>
        </w:tabs>
        <w:spacing w:before="48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P.373-9</w:t>
      </w:r>
      <w:r w:rsidRPr="00AA7806">
        <w:rPr>
          <w:rFonts w:asciiTheme="minorHAnsi" w:hAnsiTheme="minorHAnsi" w:cstheme="minorHAnsi"/>
          <w:szCs w:val="24"/>
          <w:lang w:val="es-ES_tradnl"/>
        </w:rPr>
        <w:tab/>
        <w:t>Doc. 3/24(Rev.1)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Definición de las frecuencias máximas y mínimas de transmisión</w:t>
      </w:r>
    </w:p>
    <w:p w:rsidR="0086264D" w:rsidRPr="00AA7806" w:rsidRDefault="0086264D" w:rsidP="00E33F15">
      <w:pPr>
        <w:spacing w:before="240"/>
        <w:rPr>
          <w:lang w:val="es-ES_tradnl"/>
        </w:rPr>
      </w:pPr>
      <w:r w:rsidRPr="00AA7806">
        <w:rPr>
          <w:lang w:val="es-ES_tradnl"/>
        </w:rPr>
        <w:t xml:space="preserve">La presente revisión se propone recuperar la definición de FOT en cuanto que expresión alternativa a </w:t>
      </w:r>
      <w:r w:rsidR="00A570B6" w:rsidRPr="00AA7806">
        <w:rPr>
          <w:lang w:val="es-ES_tradnl"/>
        </w:rPr>
        <w:t>«</w:t>
      </w:r>
      <w:r w:rsidRPr="00AA7806">
        <w:rPr>
          <w:lang w:val="es-ES_tradnl"/>
        </w:rPr>
        <w:t>frecuencia óptima de trabajo</w:t>
      </w:r>
      <w:r w:rsidR="00A570B6" w:rsidRPr="00AA7806">
        <w:rPr>
          <w:lang w:val="es-ES_tradnl"/>
        </w:rPr>
        <w:t>»</w:t>
      </w:r>
      <w:r w:rsidRPr="00AA7806">
        <w:rPr>
          <w:lang w:val="es-ES_tradnl"/>
        </w:rPr>
        <w:t>, y se define como el decilo más bajo de los valores diarios de la MUF operacional en un momento dado, durante un periodo esp</w:t>
      </w:r>
      <w:r w:rsidR="00AA7806">
        <w:rPr>
          <w:lang w:val="es-ES_tradnl"/>
        </w:rPr>
        <w:t>ecífico, normalmente de un mes.</w:t>
      </w:r>
    </w:p>
    <w:p w:rsidR="0086264D" w:rsidRPr="00AA7806" w:rsidRDefault="0086264D" w:rsidP="00E33F15">
      <w:pPr>
        <w:keepNext/>
        <w:tabs>
          <w:tab w:val="right" w:pos="9639"/>
        </w:tabs>
        <w:spacing w:before="48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P.842-4</w:t>
      </w:r>
      <w:r w:rsidRPr="00AA7806">
        <w:rPr>
          <w:rFonts w:asciiTheme="minorHAnsi" w:hAnsiTheme="minorHAnsi" w:cstheme="minorHAnsi"/>
          <w:szCs w:val="24"/>
          <w:lang w:val="es-ES_tradnl"/>
        </w:rPr>
        <w:tab/>
        <w:t>Doc. 3/25(Rev.1)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Cálculo de la fiabilidad y la compatibilidad de los sistemas</w:t>
      </w:r>
      <w:r w:rsidRPr="00AA7806">
        <w:rPr>
          <w:rFonts w:asciiTheme="minorHAnsi" w:hAnsiTheme="minorHAnsi" w:cstheme="minorHAnsi"/>
          <w:b/>
          <w:bCs/>
          <w:sz w:val="28"/>
          <w:szCs w:val="28"/>
          <w:lang w:val="es-ES_tradnl"/>
        </w:rPr>
        <w:br/>
        <w:t>radioeléctricos en ondas decamétricas</w:t>
      </w:r>
    </w:p>
    <w:p w:rsidR="0086264D" w:rsidRPr="00AA7806" w:rsidRDefault="0086264D" w:rsidP="00E33F15">
      <w:pPr>
        <w:spacing w:before="240"/>
        <w:rPr>
          <w:lang w:val="es-ES_tradnl"/>
        </w:rPr>
      </w:pPr>
      <w:r w:rsidRPr="00AA7806">
        <w:rPr>
          <w:lang w:val="es-ES_tradnl"/>
        </w:rPr>
        <w:t>La presente revisión afecta a los métodos para determinar la fiabilidad básica del circuito, BCR, para los sistemas de modulación digital que se proporcion</w:t>
      </w:r>
      <w:r w:rsidR="00E33F15">
        <w:rPr>
          <w:lang w:val="es-ES_tradnl"/>
        </w:rPr>
        <w:t>an en las Recomendaciones UIT</w:t>
      </w:r>
      <w:r w:rsidR="00E33F15">
        <w:rPr>
          <w:lang w:val="es-ES_tradnl"/>
        </w:rPr>
        <w:noBreakHyphen/>
        <w:t>R </w:t>
      </w:r>
      <w:r w:rsidRPr="00AA7806">
        <w:rPr>
          <w:lang w:val="es-ES_tradnl"/>
        </w:rPr>
        <w:t>P.533</w:t>
      </w:r>
      <w:r w:rsidR="0095369D" w:rsidRPr="00AA7806">
        <w:rPr>
          <w:lang w:val="es-ES_tradnl"/>
        </w:rPr>
        <w:noBreakHyphen/>
      </w:r>
      <w:r w:rsidRPr="00AA7806">
        <w:rPr>
          <w:lang w:val="es-ES_tradnl"/>
        </w:rPr>
        <w:t>11 y UIT-R P.842-4. El método que figura en la Recomendación UIT</w:t>
      </w:r>
      <w:r w:rsidRPr="00AA7806">
        <w:rPr>
          <w:lang w:val="es-ES_tradnl"/>
        </w:rPr>
        <w:noBreakHyphen/>
        <w:t>R P.842-4 se presenta como simplificado, mientras que el de la Recomendación UIT</w:t>
      </w:r>
      <w:r w:rsidRPr="00AA7806">
        <w:rPr>
          <w:lang w:val="es-ES_tradnl"/>
        </w:rPr>
        <w:noBreakHyphen/>
        <w:t>R P.533-11 es de una complicación más trivial. Habría que suprimir la sección 9 de la Recomendación UIT-R P.842-4 en favor del procedimiento para calcular la BCR de la Recomendación UIT-R P.533-11. Además, en el Apéndic</w:t>
      </w:r>
      <w:r w:rsidR="00A570B6" w:rsidRPr="00AA7806">
        <w:rPr>
          <w:lang w:val="es-ES_tradnl"/>
        </w:rPr>
        <w:t>e </w:t>
      </w:r>
      <w:r w:rsidRPr="00AA7806">
        <w:rPr>
          <w:lang w:val="es-ES_tradnl"/>
        </w:rPr>
        <w:t>1, se añade una nueva Nota 7 para explicar el uso de la fiabilidad del servicio para algunas aplicaciones de radiodifusión.</w:t>
      </w:r>
    </w:p>
    <w:p w:rsidR="0043260E" w:rsidRDefault="0043260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Pr>
          <w:rFonts w:asciiTheme="minorHAnsi" w:hAnsiTheme="minorHAnsi" w:cstheme="minorHAnsi"/>
          <w:szCs w:val="24"/>
          <w:u w:val="single"/>
          <w:lang w:val="es-ES_tradnl"/>
        </w:rPr>
        <w:br w:type="page"/>
      </w:r>
    </w:p>
    <w:p w:rsidR="0086264D" w:rsidRPr="00AA7806" w:rsidRDefault="0086264D" w:rsidP="0086264D">
      <w:pPr>
        <w:tabs>
          <w:tab w:val="right" w:pos="9639"/>
        </w:tabs>
        <w:spacing w:before="36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P.533-11</w:t>
      </w:r>
      <w:r w:rsidRPr="00AA7806">
        <w:rPr>
          <w:rFonts w:asciiTheme="minorHAnsi" w:hAnsiTheme="minorHAnsi" w:cstheme="minorHAnsi"/>
          <w:szCs w:val="24"/>
          <w:lang w:val="es-ES_tradnl"/>
        </w:rPr>
        <w:tab/>
        <w:t>Doc. 3/26(Rev.1)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Método de predicción de la calidad de funcionamiento de circuitos</w:t>
      </w:r>
      <w:r w:rsidRPr="00AA7806">
        <w:rPr>
          <w:rFonts w:asciiTheme="minorHAnsi" w:hAnsiTheme="minorHAnsi" w:cstheme="minorHAnsi"/>
          <w:b/>
          <w:bCs/>
          <w:sz w:val="28"/>
          <w:szCs w:val="28"/>
          <w:lang w:val="es-ES_tradnl"/>
        </w:rPr>
        <w:br/>
        <w:t>que funcionan en ondas decamétricas</w:t>
      </w:r>
    </w:p>
    <w:p w:rsidR="0086264D" w:rsidRPr="00AA7806" w:rsidRDefault="0086264D" w:rsidP="00E33F15">
      <w:pPr>
        <w:spacing w:before="240"/>
        <w:rPr>
          <w:lang w:val="es-ES_tradnl"/>
        </w:rPr>
      </w:pPr>
      <w:r w:rsidRPr="00AA7806">
        <w:rPr>
          <w:lang w:val="es-ES_tradnl"/>
        </w:rPr>
        <w:t>En esta Recomendación se presentan métodos de predicción de frecuencias disponibles, de niveles de la señal y de la fiabilidad prevista para los sistemas con modulación analógica y digital en ondas decamétricas, teniendo en cuenta no sólo la relación señal/ruido sino también la dispersión del retardo temporal y de las frecuencias del canal.</w:t>
      </w:r>
    </w:p>
    <w:p w:rsidR="0086264D" w:rsidRPr="00AA7806" w:rsidRDefault="0086264D" w:rsidP="00E33F15">
      <w:pPr>
        <w:tabs>
          <w:tab w:val="clear" w:pos="794"/>
          <w:tab w:val="clear" w:pos="1191"/>
          <w:tab w:val="clear" w:pos="1588"/>
          <w:tab w:val="clear" w:pos="1985"/>
          <w:tab w:val="left" w:pos="7993"/>
        </w:tabs>
        <w:overflowPunct/>
        <w:autoSpaceDE/>
        <w:autoSpaceDN/>
        <w:adjustRightInd/>
        <w:spacing w:before="480" w:line="240" w:lineRule="auto"/>
        <w:jc w:val="left"/>
        <w:textAlignment w:val="auto"/>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P.372-10</w:t>
      </w:r>
      <w:r w:rsidR="0095369D" w:rsidRPr="00AA7806">
        <w:rPr>
          <w:rFonts w:asciiTheme="minorHAnsi" w:hAnsiTheme="minorHAnsi" w:cstheme="minorHAnsi"/>
          <w:szCs w:val="24"/>
          <w:lang w:val="es-ES_tradnl"/>
        </w:rPr>
        <w:tab/>
      </w:r>
      <w:r w:rsidRPr="00AA7806">
        <w:rPr>
          <w:rFonts w:asciiTheme="minorHAnsi" w:hAnsiTheme="minorHAnsi" w:cstheme="minorHAnsi"/>
          <w:szCs w:val="24"/>
          <w:lang w:val="es-ES_tradnl"/>
        </w:rPr>
        <w:t>Doc. 3/28(Rev.1)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Ruido radioeléctrico</w:t>
      </w:r>
    </w:p>
    <w:p w:rsidR="0086264D" w:rsidRPr="00AA7806" w:rsidRDefault="0086264D" w:rsidP="00E33F15">
      <w:pPr>
        <w:spacing w:before="240"/>
        <w:rPr>
          <w:lang w:val="es-ES_tradnl"/>
        </w:rPr>
      </w:pPr>
      <w:r w:rsidRPr="00AA7806">
        <w:rPr>
          <w:lang w:val="es-ES_tradnl"/>
        </w:rPr>
        <w:t>La presente revisión prevé:</w:t>
      </w:r>
    </w:p>
    <w:p w:rsidR="0086264D" w:rsidRPr="00AA7806" w:rsidRDefault="0086264D" w:rsidP="00E33F15">
      <w:pPr>
        <w:pStyle w:val="enumlev1"/>
        <w:rPr>
          <w:lang w:val="es-ES_tradnl"/>
        </w:rPr>
      </w:pPr>
      <w:r w:rsidRPr="00AA7806">
        <w:rPr>
          <w:lang w:val="es-ES_tradnl"/>
        </w:rPr>
        <w:t>–</w:t>
      </w:r>
      <w:r w:rsidRPr="00AA7806">
        <w:rPr>
          <w:lang w:val="es-ES_tradnl"/>
        </w:rPr>
        <w:tab/>
        <w:t>la incorporación de los datos sobre la medición del ruido artificial del Japón;</w:t>
      </w:r>
    </w:p>
    <w:p w:rsidR="0086264D" w:rsidRPr="00AA7806" w:rsidRDefault="0086264D" w:rsidP="00E33F15">
      <w:pPr>
        <w:pStyle w:val="enumlev1"/>
        <w:rPr>
          <w:lang w:val="es-ES_tradnl" w:eastAsia="ja-JP"/>
        </w:rPr>
      </w:pPr>
      <w:r w:rsidRPr="00AA7806">
        <w:rPr>
          <w:lang w:val="es-ES_tradnl"/>
        </w:rPr>
        <w:t>–</w:t>
      </w:r>
      <w:r w:rsidRPr="00AA7806">
        <w:rPr>
          <w:lang w:val="es-ES_tradnl" w:eastAsia="ja-JP"/>
        </w:rPr>
        <w:tab/>
        <w:t>la inclusión de un nuevo Cuadro 4;</w:t>
      </w:r>
    </w:p>
    <w:p w:rsidR="0086264D" w:rsidRPr="00AA7806" w:rsidRDefault="0086264D" w:rsidP="00E33F15">
      <w:pPr>
        <w:pStyle w:val="enumlev1"/>
        <w:rPr>
          <w:lang w:val="es-ES_tradnl" w:eastAsia="ja-JP"/>
        </w:rPr>
      </w:pPr>
      <w:r w:rsidRPr="00AA7806">
        <w:rPr>
          <w:lang w:val="es-ES_tradnl"/>
        </w:rPr>
        <w:t>–</w:t>
      </w:r>
      <w:r w:rsidRPr="00AA7806">
        <w:rPr>
          <w:lang w:val="es-ES_tradnl" w:eastAsia="ja-JP"/>
        </w:rPr>
        <w:tab/>
        <w:t>la revisión de las secciones 6, 7 y 8.</w:t>
      </w:r>
    </w:p>
    <w:p w:rsidR="0086264D" w:rsidRPr="00AA7806" w:rsidRDefault="0086264D" w:rsidP="00E33F15">
      <w:pPr>
        <w:tabs>
          <w:tab w:val="right" w:pos="9639"/>
        </w:tabs>
        <w:spacing w:before="48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P.1411-6</w:t>
      </w:r>
      <w:r w:rsidRPr="00AA7806">
        <w:rPr>
          <w:rFonts w:asciiTheme="minorHAnsi" w:hAnsiTheme="minorHAnsi" w:cstheme="minorHAnsi"/>
          <w:szCs w:val="24"/>
          <w:lang w:val="es-ES_tradnl"/>
        </w:rPr>
        <w:tab/>
        <w:t>Doc. 3/33(Rev.1)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Datos de propagación y métodos de predicción para la planificación</w:t>
      </w:r>
      <w:r w:rsidRPr="00AA7806">
        <w:rPr>
          <w:rFonts w:asciiTheme="minorHAnsi" w:hAnsiTheme="minorHAnsi" w:cstheme="minorHAnsi"/>
          <w:b/>
          <w:bCs/>
          <w:sz w:val="28"/>
          <w:szCs w:val="28"/>
          <w:lang w:val="es-ES_tradnl"/>
        </w:rPr>
        <w:br/>
        <w:t>de los sistemas de radiocomunicaciones de exteriores de corto</w:t>
      </w:r>
      <w:r w:rsidRPr="00AA7806">
        <w:rPr>
          <w:rFonts w:asciiTheme="minorHAnsi" w:hAnsiTheme="minorHAnsi" w:cstheme="minorHAnsi"/>
          <w:b/>
          <w:bCs/>
          <w:sz w:val="28"/>
          <w:szCs w:val="28"/>
          <w:lang w:val="es-ES_tradnl"/>
        </w:rPr>
        <w:br/>
        <w:t>alcance y redes de radiocomunicaciones de área local</w:t>
      </w:r>
      <w:r w:rsidRPr="00AA7806">
        <w:rPr>
          <w:rFonts w:asciiTheme="minorHAnsi" w:hAnsiTheme="minorHAnsi" w:cstheme="minorHAnsi"/>
          <w:b/>
          <w:bCs/>
          <w:sz w:val="28"/>
          <w:szCs w:val="28"/>
          <w:lang w:val="es-ES_tradnl"/>
        </w:rPr>
        <w:br/>
        <w:t>en la gama de frecuencias de 300 MHz a 100 GHz</w:t>
      </w:r>
    </w:p>
    <w:p w:rsidR="0086264D" w:rsidRPr="00AA7806" w:rsidRDefault="0086264D" w:rsidP="00E33F15">
      <w:pPr>
        <w:spacing w:before="240"/>
        <w:rPr>
          <w:lang w:val="es-ES_tradnl" w:eastAsia="ja-JP"/>
        </w:rPr>
      </w:pPr>
      <w:r w:rsidRPr="00AA7806">
        <w:rPr>
          <w:lang w:val="es-ES_tradnl"/>
        </w:rPr>
        <w:t>En la presente revisión se proponen cinco modificaciones</w:t>
      </w:r>
      <w:r w:rsidRPr="00AA7806">
        <w:rPr>
          <w:lang w:val="es-ES_tradnl" w:eastAsia="ja-JP"/>
        </w:rPr>
        <w:t>:</w:t>
      </w:r>
    </w:p>
    <w:p w:rsidR="0086264D" w:rsidRPr="00AA7806" w:rsidRDefault="0086264D" w:rsidP="00E33F15">
      <w:pPr>
        <w:pStyle w:val="enumlev1"/>
        <w:rPr>
          <w:lang w:val="es-ES_tradnl"/>
        </w:rPr>
      </w:pPr>
      <w:r w:rsidRPr="00AA7806">
        <w:rPr>
          <w:lang w:val="es-ES_tradnl"/>
        </w:rPr>
        <w:t>–</w:t>
      </w:r>
      <w:r w:rsidRPr="00AA7806">
        <w:rPr>
          <w:lang w:val="es-ES_tradnl"/>
        </w:rPr>
        <w:tab/>
        <w:t xml:space="preserve">reorganizar la estructura de la Recomendación para reunir los temas relacionados en una misma sección. La sección 5 se incorpora a la sección 4. La sección 7, la sección 9 y la sección 10 se incorporan a la sección 5, </w:t>
      </w:r>
      <w:r w:rsidR="00A570B6" w:rsidRPr="00AA7806">
        <w:rPr>
          <w:lang w:val="es-ES_tradnl"/>
        </w:rPr>
        <w:t>«</w:t>
      </w:r>
      <w:r w:rsidRPr="00AA7806">
        <w:rPr>
          <w:lang w:val="es-ES_tradnl"/>
        </w:rPr>
        <w:t>Modelos multitrayecto</w:t>
      </w:r>
      <w:r w:rsidR="00A570B6" w:rsidRPr="00AA7806">
        <w:rPr>
          <w:lang w:val="es-ES_tradnl"/>
        </w:rPr>
        <w:t>»</w:t>
      </w:r>
      <w:r w:rsidRPr="00AA7806">
        <w:rPr>
          <w:lang w:val="es-ES_tradnl"/>
        </w:rPr>
        <w:t>;</w:t>
      </w:r>
    </w:p>
    <w:p w:rsidR="0086264D" w:rsidRPr="00AA7806" w:rsidRDefault="0086264D" w:rsidP="00E33F15">
      <w:pPr>
        <w:pStyle w:val="enumlev1"/>
        <w:rPr>
          <w:lang w:val="es-ES_tradnl"/>
        </w:rPr>
      </w:pPr>
      <w:r w:rsidRPr="00AA7806">
        <w:rPr>
          <w:lang w:val="es-ES_tradnl"/>
        </w:rPr>
        <w:t>–</w:t>
      </w:r>
      <w:r w:rsidRPr="00AA7806">
        <w:rPr>
          <w:lang w:val="es-ES_tradnl"/>
        </w:rPr>
        <w:tab/>
        <w:t xml:space="preserve">utilizar los términos genéricos </w:t>
      </w:r>
      <w:r w:rsidR="00A570B6" w:rsidRPr="00AA7806">
        <w:rPr>
          <w:lang w:val="es-ES_tradnl"/>
        </w:rPr>
        <w:t>«</w:t>
      </w:r>
      <w:r w:rsidRPr="00AA7806">
        <w:rPr>
          <w:lang w:val="es-ES_tradnl"/>
        </w:rPr>
        <w:t>Estación 1</w:t>
      </w:r>
      <w:r w:rsidR="00A570B6" w:rsidRPr="00AA7806">
        <w:rPr>
          <w:lang w:val="es-ES_tradnl"/>
        </w:rPr>
        <w:t>»</w:t>
      </w:r>
      <w:r w:rsidRPr="00AA7806">
        <w:rPr>
          <w:lang w:val="es-ES_tradnl"/>
        </w:rPr>
        <w:t xml:space="preserve"> y </w:t>
      </w:r>
      <w:r w:rsidR="00A570B6" w:rsidRPr="00AA7806">
        <w:rPr>
          <w:lang w:val="es-ES_tradnl"/>
        </w:rPr>
        <w:t>«</w:t>
      </w:r>
      <w:r w:rsidRPr="00AA7806">
        <w:rPr>
          <w:lang w:val="es-ES_tradnl"/>
        </w:rPr>
        <w:t>Estación 2</w:t>
      </w:r>
      <w:r w:rsidR="00A570B6" w:rsidRPr="00AA7806">
        <w:rPr>
          <w:lang w:val="es-ES_tradnl"/>
        </w:rPr>
        <w:t>»</w:t>
      </w:r>
      <w:r w:rsidRPr="00AA7806">
        <w:rPr>
          <w:lang w:val="es-ES_tradnl"/>
        </w:rPr>
        <w:t xml:space="preserve"> en toda la Recomendación en lugar de </w:t>
      </w:r>
      <w:r w:rsidR="00A570B6" w:rsidRPr="00AA7806">
        <w:rPr>
          <w:lang w:val="es-ES_tradnl"/>
        </w:rPr>
        <w:t>«</w:t>
      </w:r>
      <w:r w:rsidRPr="00AA7806">
        <w:rPr>
          <w:lang w:val="es-ES_tradnl"/>
        </w:rPr>
        <w:t>EB</w:t>
      </w:r>
      <w:r w:rsidR="00A570B6" w:rsidRPr="00AA7806">
        <w:rPr>
          <w:lang w:val="es-ES_tradnl"/>
        </w:rPr>
        <w:t>»</w:t>
      </w:r>
      <w:r w:rsidRPr="00AA7806">
        <w:rPr>
          <w:lang w:val="es-ES_tradnl"/>
        </w:rPr>
        <w:t xml:space="preserve"> y </w:t>
      </w:r>
      <w:r w:rsidR="00A570B6" w:rsidRPr="00AA7806">
        <w:rPr>
          <w:lang w:val="es-ES_tradnl"/>
        </w:rPr>
        <w:t>«</w:t>
      </w:r>
      <w:r w:rsidRPr="00AA7806">
        <w:rPr>
          <w:lang w:val="es-ES_tradnl"/>
        </w:rPr>
        <w:t>EM</w:t>
      </w:r>
      <w:r w:rsidR="00A570B6" w:rsidRPr="00AA7806">
        <w:rPr>
          <w:lang w:val="es-ES_tradnl"/>
        </w:rPr>
        <w:t>»</w:t>
      </w:r>
      <w:r w:rsidRPr="00AA7806">
        <w:rPr>
          <w:lang w:val="es-ES_tradnl"/>
        </w:rPr>
        <w:t xml:space="preserve"> para referirse a los modelos de propagación para servicios móvil a móvil y simplificar la Recomendación. Todo modelo de pérdida de trayecto está asociado a una representación gráfica de la geometría del trayecto en una figura (Fig. 1);</w:t>
      </w:r>
    </w:p>
    <w:p w:rsidR="0086264D" w:rsidRPr="00AA7806" w:rsidRDefault="0086264D" w:rsidP="00E33F15">
      <w:pPr>
        <w:pStyle w:val="enumlev1"/>
        <w:rPr>
          <w:lang w:val="es-ES_tradnl"/>
        </w:rPr>
      </w:pPr>
      <w:r w:rsidRPr="00AA7806">
        <w:rPr>
          <w:lang w:val="es-ES_tradnl"/>
        </w:rPr>
        <w:t>–</w:t>
      </w:r>
      <w:r w:rsidRPr="00AA7806">
        <w:rPr>
          <w:lang w:val="es-ES_tradnl"/>
        </w:rPr>
        <w:tab/>
        <w:t>revisar la sección 6.2 (nueva sección 5.1.1) para añadir nuevos datos sobre el valor eficaz de la dispersión del retardo para distintos entornos, alturas de antena y/o frecuencias;</w:t>
      </w:r>
    </w:p>
    <w:p w:rsidR="0086264D" w:rsidRPr="00AA7806" w:rsidRDefault="0086264D" w:rsidP="00E33F15">
      <w:pPr>
        <w:pStyle w:val="enumlev1"/>
        <w:rPr>
          <w:lang w:val="es-ES_tradnl"/>
        </w:rPr>
      </w:pPr>
      <w:r w:rsidRPr="00AA7806">
        <w:rPr>
          <w:lang w:val="es-ES_tradnl"/>
        </w:rPr>
        <w:t>–</w:t>
      </w:r>
      <w:r w:rsidRPr="00AA7806">
        <w:rPr>
          <w:lang w:val="es-ES_tradnl"/>
        </w:rPr>
        <w:tab/>
        <w:t>añadir una nueva sección 8 para incluir modelos para canales multienlace;</w:t>
      </w:r>
    </w:p>
    <w:p w:rsidR="0086264D" w:rsidRPr="00AA7806" w:rsidRDefault="0086264D" w:rsidP="00E33F15">
      <w:pPr>
        <w:pStyle w:val="enumlev1"/>
        <w:rPr>
          <w:lang w:val="es-ES_tradnl"/>
        </w:rPr>
      </w:pPr>
      <w:r w:rsidRPr="00AA7806">
        <w:rPr>
          <w:lang w:val="es-ES_tradnl"/>
        </w:rPr>
        <w:t>–</w:t>
      </w:r>
      <w:r w:rsidRPr="00AA7806">
        <w:rPr>
          <w:lang w:val="es-ES_tradnl"/>
        </w:rPr>
        <w:tab/>
        <w:t>una serie de correcciones de redacción.</w:t>
      </w:r>
    </w:p>
    <w:p w:rsidR="0043260E" w:rsidRDefault="0043260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Pr>
          <w:rFonts w:asciiTheme="minorHAnsi" w:hAnsiTheme="minorHAnsi" w:cstheme="minorHAnsi"/>
          <w:szCs w:val="24"/>
          <w:u w:val="single"/>
          <w:lang w:val="es-ES_tradnl"/>
        </w:rPr>
        <w:br w:type="page"/>
      </w:r>
    </w:p>
    <w:p w:rsidR="0086264D" w:rsidRPr="00AA7806" w:rsidRDefault="0086264D" w:rsidP="0095369D">
      <w:pPr>
        <w:keepNext/>
        <w:tabs>
          <w:tab w:val="right" w:pos="9639"/>
        </w:tabs>
        <w:spacing w:before="36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P.1816-1</w:t>
      </w:r>
      <w:r w:rsidRPr="00AA7806">
        <w:rPr>
          <w:rFonts w:asciiTheme="minorHAnsi" w:hAnsiTheme="minorHAnsi" w:cstheme="minorHAnsi"/>
          <w:szCs w:val="24"/>
          <w:lang w:val="es-ES_tradnl"/>
        </w:rPr>
        <w:tab/>
        <w:t>Doc. 3/34(Rev.1)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 xml:space="preserve">Predicción de los perfiles de tiempo y de espacio para los servicios </w:t>
      </w:r>
      <w:r w:rsidRPr="00AA7806">
        <w:rPr>
          <w:rFonts w:asciiTheme="minorHAnsi" w:hAnsiTheme="minorHAnsi" w:cstheme="minorHAnsi"/>
          <w:b/>
          <w:bCs/>
          <w:sz w:val="28"/>
          <w:szCs w:val="28"/>
          <w:lang w:val="es-ES_tradnl"/>
        </w:rPr>
        <w:br/>
        <w:t xml:space="preserve">móviles terrestres de banda ancha que utilizan las bandas </w:t>
      </w:r>
      <w:r w:rsidRPr="00AA7806">
        <w:rPr>
          <w:rFonts w:asciiTheme="minorHAnsi" w:hAnsiTheme="minorHAnsi" w:cstheme="minorHAnsi"/>
          <w:b/>
          <w:bCs/>
          <w:sz w:val="28"/>
          <w:szCs w:val="28"/>
          <w:lang w:val="es-ES_tradnl"/>
        </w:rPr>
        <w:br/>
        <w:t>de ondas decimétricas y centimétricas</w:t>
      </w:r>
    </w:p>
    <w:p w:rsidR="0086264D" w:rsidRPr="00AA7806" w:rsidRDefault="0086264D" w:rsidP="00E33F15">
      <w:pPr>
        <w:spacing w:before="240" w:line="240" w:lineRule="auto"/>
        <w:rPr>
          <w:rFonts w:asciiTheme="minorHAnsi" w:hAnsiTheme="minorHAnsi" w:cstheme="minorHAnsi"/>
          <w:szCs w:val="24"/>
          <w:lang w:val="es-ES_tradnl" w:eastAsia="ja-JP"/>
        </w:rPr>
      </w:pPr>
      <w:r w:rsidRPr="00AA7806">
        <w:rPr>
          <w:rFonts w:asciiTheme="minorHAnsi" w:hAnsiTheme="minorHAnsi" w:cstheme="minorHAnsi"/>
          <w:szCs w:val="24"/>
          <w:lang w:val="es-ES_tradnl"/>
        </w:rPr>
        <w:t>E</w:t>
      </w:r>
      <w:r w:rsidRPr="00AA7806">
        <w:rPr>
          <w:lang w:val="es-ES_tradnl"/>
        </w:rPr>
        <w:t>n</w:t>
      </w:r>
      <w:r w:rsidRPr="00AA7806">
        <w:rPr>
          <w:rFonts w:asciiTheme="minorHAnsi" w:hAnsiTheme="minorHAnsi" w:cstheme="minorHAnsi"/>
          <w:szCs w:val="24"/>
          <w:lang w:val="es-ES_tradnl"/>
        </w:rPr>
        <w:t xml:space="preserve"> la presente revisión se propone modificar el Anexo 1 así co</w:t>
      </w:r>
      <w:r w:rsidR="00E33F15">
        <w:rPr>
          <w:rFonts w:asciiTheme="minorHAnsi" w:hAnsiTheme="minorHAnsi" w:cstheme="minorHAnsi"/>
          <w:szCs w:val="24"/>
          <w:lang w:val="es-ES_tradnl"/>
        </w:rPr>
        <w:t>mo los parámetros del Anexo 2 e </w:t>
      </w:r>
      <w:r w:rsidRPr="00AA7806">
        <w:rPr>
          <w:rFonts w:asciiTheme="minorHAnsi" w:hAnsiTheme="minorHAnsi" w:cstheme="minorHAnsi"/>
          <w:szCs w:val="24"/>
          <w:lang w:val="es-ES_tradnl"/>
        </w:rPr>
        <w:t>incluir una nueva sección en el Anexo 3</w:t>
      </w:r>
      <w:r w:rsidRPr="00AA7806">
        <w:rPr>
          <w:rFonts w:asciiTheme="minorHAnsi" w:hAnsiTheme="minorHAnsi" w:cstheme="minorHAnsi"/>
          <w:szCs w:val="24"/>
          <w:lang w:val="es-ES_tradnl" w:eastAsia="ja-JP"/>
        </w:rPr>
        <w:t>.</w:t>
      </w:r>
    </w:p>
    <w:p w:rsidR="0086264D" w:rsidRPr="00AA7806" w:rsidRDefault="0086264D" w:rsidP="00E33F15">
      <w:pPr>
        <w:tabs>
          <w:tab w:val="right" w:pos="9639"/>
        </w:tabs>
        <w:spacing w:before="48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P.1812-2</w:t>
      </w:r>
      <w:r w:rsidRPr="00AA7806">
        <w:rPr>
          <w:rFonts w:asciiTheme="minorHAnsi" w:hAnsiTheme="minorHAnsi" w:cstheme="minorHAnsi"/>
          <w:szCs w:val="24"/>
          <w:lang w:val="es-ES_tradnl"/>
        </w:rPr>
        <w:tab/>
        <w:t>Doc. 3/35(Rev.1)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Método de predicción de la propagación específico del trayecto</w:t>
      </w:r>
      <w:r w:rsidRPr="00AA7806">
        <w:rPr>
          <w:rFonts w:asciiTheme="minorHAnsi" w:hAnsiTheme="minorHAnsi" w:cstheme="minorHAnsi"/>
          <w:b/>
          <w:bCs/>
          <w:sz w:val="28"/>
          <w:szCs w:val="28"/>
          <w:lang w:val="es-ES_tradnl"/>
        </w:rPr>
        <w:br/>
        <w:t>para servicios terrenales punto a zona en las bandas</w:t>
      </w:r>
      <w:r w:rsidRPr="00AA7806">
        <w:rPr>
          <w:rFonts w:asciiTheme="minorHAnsi" w:hAnsiTheme="minorHAnsi" w:cstheme="minorHAnsi"/>
          <w:b/>
          <w:bCs/>
          <w:sz w:val="28"/>
          <w:szCs w:val="28"/>
          <w:lang w:val="es-ES_tradnl"/>
        </w:rPr>
        <w:br/>
        <w:t>de ondas métricas y decimétricas</w:t>
      </w:r>
    </w:p>
    <w:p w:rsidR="0086264D" w:rsidRPr="00AA7806" w:rsidRDefault="0086264D" w:rsidP="00E33F15">
      <w:pPr>
        <w:spacing w:before="240"/>
        <w:rPr>
          <w:rFonts w:eastAsia="Calibri"/>
          <w:lang w:val="es-ES_tradnl"/>
        </w:rPr>
      </w:pPr>
      <w:r w:rsidRPr="00AA7806">
        <w:rPr>
          <w:lang w:val="es-ES_tradnl"/>
        </w:rPr>
        <w:t>En la presente revisión</w:t>
      </w:r>
      <w:r w:rsidRPr="00AA7806">
        <w:rPr>
          <w:rFonts w:eastAsia="Calibri"/>
          <w:lang w:val="es-ES_tradnl"/>
        </w:rPr>
        <w:t>:</w:t>
      </w:r>
    </w:p>
    <w:p w:rsidR="0086264D" w:rsidRPr="00AA7806" w:rsidRDefault="0086264D" w:rsidP="00E33F15">
      <w:pPr>
        <w:pStyle w:val="enumlev1"/>
        <w:rPr>
          <w:rFonts w:eastAsia="Calibri"/>
          <w:lang w:val="es-ES_tradnl"/>
        </w:rPr>
      </w:pPr>
      <w:r w:rsidRPr="00AA7806">
        <w:rPr>
          <w:lang w:val="es-ES_tradnl"/>
        </w:rPr>
        <w:t>–</w:t>
      </w:r>
      <w:r w:rsidRPr="00AA7806">
        <w:rPr>
          <w:rFonts w:eastAsia="Calibri"/>
          <w:lang w:val="es-ES_tradnl"/>
        </w:rPr>
        <w:tab/>
        <w:t>se han incluido en el Cuadro parámetros de entrada adicionales;</w:t>
      </w:r>
    </w:p>
    <w:p w:rsidR="0086264D" w:rsidRPr="00AA7806" w:rsidRDefault="0086264D" w:rsidP="00E33F15">
      <w:pPr>
        <w:pStyle w:val="enumlev1"/>
        <w:rPr>
          <w:rFonts w:eastAsia="Calibri"/>
          <w:lang w:val="es-ES_tradnl"/>
        </w:rPr>
      </w:pPr>
      <w:r w:rsidRPr="00AA7806">
        <w:rPr>
          <w:lang w:val="es-ES_tradnl"/>
        </w:rPr>
        <w:t>–</w:t>
      </w:r>
      <w:r w:rsidRPr="00AA7806">
        <w:rPr>
          <w:rFonts w:eastAsia="Calibri"/>
          <w:lang w:val="es-ES_tradnl"/>
        </w:rPr>
        <w:tab/>
        <w:t>se han añadido aclaraciones y unidades ausentes para facilitar la aplicación;</w:t>
      </w:r>
    </w:p>
    <w:p w:rsidR="0086264D" w:rsidRPr="00AA7806" w:rsidRDefault="0086264D" w:rsidP="00E33F15">
      <w:pPr>
        <w:pStyle w:val="enumlev1"/>
        <w:rPr>
          <w:rFonts w:eastAsia="Calibri"/>
          <w:lang w:val="es-ES_tradnl"/>
        </w:rPr>
      </w:pPr>
      <w:r w:rsidRPr="00AA7806">
        <w:rPr>
          <w:lang w:val="es-ES_tradnl"/>
        </w:rPr>
        <w:t>–</w:t>
      </w:r>
      <w:r w:rsidRPr="00AA7806">
        <w:rPr>
          <w:rFonts w:eastAsia="Calibri"/>
          <w:lang w:val="es-ES_tradnl"/>
        </w:rPr>
        <w:tab/>
      </w:r>
      <w:r w:rsidR="00A570B6" w:rsidRPr="00AA7806">
        <w:rPr>
          <w:rFonts w:asciiTheme="minorHAnsi" w:eastAsia="Calibri" w:hAnsiTheme="minorHAnsi" w:cstheme="minorHAnsi"/>
          <w:szCs w:val="24"/>
          <w:lang w:val="es-ES_tradnl"/>
        </w:rPr>
        <w:t>«</w:t>
      </w:r>
      <w:r w:rsidR="00A570B6" w:rsidRPr="00AA7806">
        <w:rPr>
          <w:rFonts w:asciiTheme="minorHAnsi" w:eastAsia="Calibri" w:hAnsiTheme="minorHAnsi" w:cstheme="minorHAnsi"/>
          <w:i/>
          <w:szCs w:val="24"/>
          <w:lang w:val="es-ES_tradnl"/>
        </w:rPr>
        <w:t>K</w:t>
      </w:r>
      <w:r w:rsidR="00A570B6" w:rsidRPr="00AA7806">
        <w:rPr>
          <w:rFonts w:asciiTheme="minorHAnsi" w:eastAsia="Calibri" w:hAnsiTheme="minorHAnsi" w:cstheme="minorHAnsi"/>
          <w:szCs w:val="24"/>
          <w:lang w:val="es-ES_tradnl"/>
        </w:rPr>
        <w:t>»</w:t>
      </w:r>
      <w:r w:rsidRPr="00AA7806">
        <w:rPr>
          <w:rFonts w:eastAsia="Calibri"/>
          <w:lang w:val="es-ES_tradnl"/>
        </w:rPr>
        <w:t xml:space="preserve"> de la ecuación (66) de la sección 4.8 duplica la admitancia de superficie general de la ecuación (30). En la sección 4.8 se ha modificado por </w:t>
      </w:r>
      <w:r w:rsidR="00A570B6" w:rsidRPr="00AA7806">
        <w:rPr>
          <w:rFonts w:asciiTheme="minorHAnsi" w:eastAsia="Calibri" w:hAnsiTheme="minorHAnsi" w:cstheme="minorHAnsi"/>
          <w:szCs w:val="24"/>
          <w:lang w:val="es-ES_tradnl"/>
        </w:rPr>
        <w:t>«</w:t>
      </w:r>
      <w:r w:rsidR="00A570B6" w:rsidRPr="00AA7806">
        <w:rPr>
          <w:rFonts w:asciiTheme="minorHAnsi" w:eastAsia="Calibri" w:hAnsiTheme="minorHAnsi" w:cstheme="minorHAnsi"/>
          <w:i/>
          <w:szCs w:val="24"/>
          <w:lang w:val="es-ES_tradnl"/>
        </w:rPr>
        <w:t>K</w:t>
      </w:r>
      <w:r w:rsidR="00A570B6" w:rsidRPr="00AA7806">
        <w:rPr>
          <w:rFonts w:asciiTheme="minorHAnsi" w:eastAsia="Calibri" w:hAnsiTheme="minorHAnsi" w:cstheme="minorHAnsi"/>
          <w:i/>
          <w:szCs w:val="24"/>
          <w:vertAlign w:val="subscript"/>
          <w:lang w:val="es-ES_tradnl"/>
        </w:rPr>
        <w:t>L</w:t>
      </w:r>
      <w:r w:rsidR="00A570B6" w:rsidRPr="00AA7806">
        <w:rPr>
          <w:rFonts w:asciiTheme="minorHAnsi" w:eastAsia="Calibri" w:hAnsiTheme="minorHAnsi" w:cstheme="minorHAnsi"/>
          <w:szCs w:val="24"/>
          <w:lang w:val="es-ES_tradnl"/>
        </w:rPr>
        <w:t>»</w:t>
      </w:r>
      <w:r w:rsidRPr="00AA7806">
        <w:rPr>
          <w:rFonts w:eastAsia="Calibri"/>
          <w:lang w:val="es-ES_tradnl"/>
        </w:rPr>
        <w:t>;</w:t>
      </w:r>
    </w:p>
    <w:p w:rsidR="0086264D" w:rsidRPr="00AA7806" w:rsidRDefault="0086264D" w:rsidP="00E33F15">
      <w:pPr>
        <w:pStyle w:val="enumlev1"/>
        <w:rPr>
          <w:rFonts w:eastAsia="Calibri"/>
          <w:lang w:val="es-ES_tradnl"/>
        </w:rPr>
      </w:pPr>
      <w:r w:rsidRPr="00AA7806">
        <w:rPr>
          <w:lang w:val="es-ES_tradnl"/>
        </w:rPr>
        <w:t>–</w:t>
      </w:r>
      <w:r w:rsidRPr="00AA7806">
        <w:rPr>
          <w:rFonts w:eastAsia="Calibri"/>
          <w:lang w:val="es-ES_tradnl"/>
        </w:rPr>
        <w:tab/>
        <w:t xml:space="preserve">se han introducido cambios en el método descrito en § 5.1.6.2 para calcular la pendiente </w:t>
      </w:r>
      <w:r w:rsidRPr="00AA7806">
        <w:rPr>
          <w:lang w:val="es-ES_tradnl"/>
        </w:rPr>
        <w:t>de la superficie ajustada por mínimos cuadrados con respecto al nivel del mar</w:t>
      </w:r>
      <w:r w:rsidRPr="00AA7806">
        <w:rPr>
          <w:rFonts w:eastAsia="Calibri"/>
          <w:lang w:val="es-ES_tradnl"/>
        </w:rPr>
        <w:t>; esta versión simplificada es aplicable tanto a los perfiles equiespaciados como a los no equiespaciados;</w:t>
      </w:r>
    </w:p>
    <w:p w:rsidR="0086264D" w:rsidRPr="00AA7806" w:rsidRDefault="0086264D" w:rsidP="00E33F15">
      <w:pPr>
        <w:pStyle w:val="enumlev1"/>
        <w:rPr>
          <w:rFonts w:eastAsia="Calibri"/>
          <w:lang w:val="es-ES_tradnl"/>
        </w:rPr>
      </w:pPr>
      <w:r w:rsidRPr="00AA7806">
        <w:rPr>
          <w:lang w:val="es-ES_tradnl"/>
        </w:rPr>
        <w:t>–</w:t>
      </w:r>
      <w:r w:rsidRPr="00AA7806">
        <w:rPr>
          <w:rFonts w:eastAsia="Calibri"/>
          <w:lang w:val="es-ES_tradnl"/>
        </w:rPr>
        <w:tab/>
        <w:t xml:space="preserve">se ha corregido la ecuación (64e) para sustituir </w:t>
      </w:r>
      <w:r w:rsidR="00A570B6" w:rsidRPr="00AA7806">
        <w:rPr>
          <w:rFonts w:eastAsia="Calibri"/>
          <w:lang w:val="es-ES_tradnl"/>
        </w:rPr>
        <w:t>«</w:t>
      </w:r>
      <w:r w:rsidRPr="00AA7806">
        <w:rPr>
          <w:rFonts w:eastAsia="Calibri"/>
          <w:lang w:val="es-ES_tradnl"/>
        </w:rPr>
        <w:t>27</w:t>
      </w:r>
      <w:r w:rsidR="00A570B6" w:rsidRPr="00AA7806">
        <w:rPr>
          <w:rFonts w:eastAsia="Calibri"/>
          <w:lang w:val="es-ES_tradnl"/>
        </w:rPr>
        <w:t>»</w:t>
      </w:r>
      <w:r w:rsidRPr="00AA7806">
        <w:rPr>
          <w:rFonts w:eastAsia="Calibri"/>
          <w:lang w:val="es-ES_tradnl"/>
        </w:rPr>
        <w:t xml:space="preserve"> por la variable </w:t>
      </w:r>
      <w:r w:rsidR="00A570B6" w:rsidRPr="00AA7806">
        <w:rPr>
          <w:rFonts w:asciiTheme="minorHAnsi" w:eastAsia="Calibri" w:hAnsiTheme="minorHAnsi" w:cstheme="minorHAnsi"/>
          <w:i/>
          <w:szCs w:val="24"/>
          <w:lang w:val="es-ES_tradnl"/>
        </w:rPr>
        <w:t>w</w:t>
      </w:r>
      <w:r w:rsidR="00A570B6" w:rsidRPr="00AA7806">
        <w:rPr>
          <w:rFonts w:asciiTheme="minorHAnsi" w:eastAsia="Calibri" w:hAnsiTheme="minorHAnsi" w:cstheme="minorHAnsi"/>
          <w:i/>
          <w:szCs w:val="24"/>
          <w:vertAlign w:val="subscript"/>
          <w:lang w:val="es-ES_tradnl"/>
        </w:rPr>
        <w:t>s</w:t>
      </w:r>
      <w:r w:rsidRPr="00AA7806">
        <w:rPr>
          <w:rFonts w:eastAsia="Calibri"/>
          <w:lang w:val="es-ES_tradnl"/>
        </w:rPr>
        <w:t xml:space="preserve"> que se define así </w:t>
      </w:r>
      <w:r w:rsidR="00A570B6" w:rsidRPr="00AA7806">
        <w:rPr>
          <w:rFonts w:eastAsia="Calibri"/>
          <w:lang w:val="es-ES_tradnl"/>
        </w:rPr>
        <w:t>«</w:t>
      </w:r>
      <w:r w:rsidR="00A570B6" w:rsidRPr="00AA7806">
        <w:rPr>
          <w:rFonts w:asciiTheme="minorHAnsi" w:eastAsia="Calibri" w:hAnsiTheme="minorHAnsi" w:cstheme="minorHAnsi"/>
          <w:i/>
          <w:szCs w:val="24"/>
          <w:lang w:val="es-ES_tradnl"/>
        </w:rPr>
        <w:t>w</w:t>
      </w:r>
      <w:r w:rsidR="00A570B6" w:rsidRPr="00AA7806">
        <w:rPr>
          <w:rFonts w:asciiTheme="minorHAnsi" w:eastAsia="Calibri" w:hAnsiTheme="minorHAnsi" w:cstheme="minorHAnsi"/>
          <w:i/>
          <w:szCs w:val="24"/>
          <w:vertAlign w:val="subscript"/>
          <w:lang w:val="es-ES_tradnl"/>
        </w:rPr>
        <w:t>s</w:t>
      </w:r>
      <w:r w:rsidRPr="00AA7806">
        <w:rPr>
          <w:rFonts w:eastAsia="Calibri"/>
          <w:lang w:val="es-ES_tradnl"/>
        </w:rPr>
        <w:t xml:space="preserve"> está relacionada con la anchura de la calle. Su valor debería fijarse en 27 a menos que se disponga de información local concreta</w:t>
      </w:r>
      <w:r w:rsidR="00A570B6" w:rsidRPr="00AA7806">
        <w:rPr>
          <w:rFonts w:eastAsia="Calibri"/>
          <w:lang w:val="es-ES_tradnl"/>
        </w:rPr>
        <w:t>»</w:t>
      </w:r>
      <w:r w:rsidRPr="00AA7806">
        <w:rPr>
          <w:rFonts w:eastAsia="Calibri"/>
          <w:lang w:val="es-ES_tradnl"/>
        </w:rPr>
        <w:t>;</w:t>
      </w:r>
    </w:p>
    <w:p w:rsidR="0086264D" w:rsidRPr="00AA7806" w:rsidRDefault="0086264D" w:rsidP="00E33F15">
      <w:pPr>
        <w:pStyle w:val="enumlev1"/>
        <w:rPr>
          <w:rFonts w:eastAsia="Calibri"/>
          <w:lang w:val="es-ES_tradnl"/>
        </w:rPr>
      </w:pPr>
      <w:r w:rsidRPr="00AA7806">
        <w:rPr>
          <w:lang w:val="es-ES_tradnl"/>
        </w:rPr>
        <w:t>–</w:t>
      </w:r>
      <w:r w:rsidRPr="00AA7806">
        <w:rPr>
          <w:rFonts w:eastAsia="Calibri"/>
          <w:lang w:val="es-ES_tradnl"/>
        </w:rPr>
        <w:tab/>
        <w:t>en las ecuaciones (77), (78), (81) y (82a), se ha modificado el ángulo pequeño por arctg;</w:t>
      </w:r>
    </w:p>
    <w:p w:rsidR="0086264D" w:rsidRPr="00AA7806" w:rsidRDefault="0086264D" w:rsidP="00E33F15">
      <w:pPr>
        <w:pStyle w:val="enumlev1"/>
        <w:rPr>
          <w:rFonts w:eastAsia="Calibri"/>
          <w:lang w:val="es-ES_tradnl"/>
        </w:rPr>
      </w:pPr>
      <w:r w:rsidRPr="00AA7806">
        <w:rPr>
          <w:lang w:val="es-ES_tradnl"/>
        </w:rPr>
        <w:t>–</w:t>
      </w:r>
      <w:r w:rsidRPr="00AA7806">
        <w:rPr>
          <w:rFonts w:eastAsia="Calibri"/>
          <w:lang w:val="es-ES_tradnl"/>
        </w:rPr>
        <w:tab/>
        <w:t xml:space="preserve">se ha añadido un nuevo </w:t>
      </w:r>
      <w:r w:rsidRPr="00AA7806">
        <w:rPr>
          <w:rFonts w:eastAsia="Calibri"/>
          <w:i/>
          <w:iCs/>
          <w:lang w:val="es-ES_tradnl"/>
        </w:rPr>
        <w:t>observando g)</w:t>
      </w:r>
      <w:r w:rsidRPr="00AA7806">
        <w:rPr>
          <w:rFonts w:eastAsia="Calibri"/>
          <w:lang w:val="es-ES_tradnl"/>
        </w:rPr>
        <w:t xml:space="preserve"> que hace referencia a la Recomendación UIT</w:t>
      </w:r>
      <w:r w:rsidR="0095369D" w:rsidRPr="00AA7806">
        <w:rPr>
          <w:rFonts w:eastAsia="Calibri"/>
          <w:lang w:val="es-ES_tradnl"/>
        </w:rPr>
        <w:noBreakHyphen/>
      </w:r>
      <w:r w:rsidRPr="00AA7806">
        <w:rPr>
          <w:rFonts w:eastAsia="Calibri"/>
          <w:lang w:val="es-ES_tradnl"/>
        </w:rPr>
        <w:t>R</w:t>
      </w:r>
      <w:r w:rsidR="0095369D" w:rsidRPr="00AA7806">
        <w:rPr>
          <w:rFonts w:eastAsia="Calibri"/>
          <w:lang w:val="es-ES_tradnl"/>
        </w:rPr>
        <w:t> </w:t>
      </w:r>
      <w:r w:rsidRPr="00AA7806">
        <w:rPr>
          <w:rFonts w:eastAsia="Calibri"/>
          <w:lang w:val="es-ES_tradnl"/>
        </w:rPr>
        <w:t>P.2001;</w:t>
      </w:r>
    </w:p>
    <w:p w:rsidR="0086264D" w:rsidRPr="00AA7806" w:rsidRDefault="0086264D" w:rsidP="00E33F15">
      <w:pPr>
        <w:pStyle w:val="enumlev1"/>
        <w:rPr>
          <w:rFonts w:eastAsia="Calibri"/>
          <w:lang w:val="es-ES_tradnl"/>
        </w:rPr>
      </w:pPr>
      <w:r w:rsidRPr="00AA7806">
        <w:rPr>
          <w:lang w:val="es-ES_tradnl"/>
        </w:rPr>
        <w:t>–</w:t>
      </w:r>
      <w:r w:rsidRPr="00AA7806">
        <w:rPr>
          <w:rFonts w:eastAsia="Calibri"/>
          <w:lang w:val="es-ES_tradnl"/>
        </w:rPr>
        <w:tab/>
        <w:t xml:space="preserve">se ha añadido información relativa a los productos digitales integrales relacionados con los mapas </w:t>
      </w:r>
      <w:r w:rsidRPr="00AA7806">
        <w:rPr>
          <w:rFonts w:eastAsia="Calibri"/>
          <w:lang w:val="es-ES_tradnl"/>
        </w:rPr>
        <w:sym w:font="Symbol" w:char="F044"/>
      </w:r>
      <w:r w:rsidRPr="00AA7806">
        <w:rPr>
          <w:rFonts w:eastAsia="Calibri"/>
          <w:lang w:val="es-ES_tradnl"/>
        </w:rPr>
        <w:t xml:space="preserve">N y </w:t>
      </w:r>
      <w:r w:rsidR="00D608CF" w:rsidRPr="00AA7806">
        <w:rPr>
          <w:rFonts w:asciiTheme="minorHAnsi" w:eastAsia="Calibri" w:hAnsiTheme="minorHAnsi" w:cstheme="minorHAnsi"/>
          <w:szCs w:val="24"/>
          <w:lang w:val="es-ES_tradnl"/>
        </w:rPr>
        <w:t>N</w:t>
      </w:r>
      <w:r w:rsidR="00D608CF" w:rsidRPr="00AA7806">
        <w:rPr>
          <w:rFonts w:asciiTheme="minorHAnsi" w:eastAsia="Calibri" w:hAnsiTheme="minorHAnsi" w:cstheme="minorHAnsi"/>
          <w:szCs w:val="24"/>
          <w:vertAlign w:val="subscript"/>
          <w:lang w:val="es-ES_tradnl"/>
        </w:rPr>
        <w:t>0</w:t>
      </w:r>
      <w:r w:rsidRPr="00AA7806">
        <w:rPr>
          <w:rFonts w:eastAsia="Calibri"/>
          <w:lang w:val="es-ES_tradnl"/>
        </w:rPr>
        <w:t xml:space="preserve"> de la Recomendación UIT</w:t>
      </w:r>
      <w:r w:rsidRPr="00AA7806">
        <w:rPr>
          <w:rFonts w:eastAsia="Calibri"/>
          <w:lang w:val="es-ES_tradnl"/>
        </w:rPr>
        <w:noBreakHyphen/>
        <w:t xml:space="preserve">R P.453; asimismo, se han incluido los mapas que figuran en el siguiente enlace </w:t>
      </w:r>
      <w:hyperlink r:id="rId12" w:history="1">
        <w:r w:rsidRPr="00AA7806">
          <w:rPr>
            <w:rStyle w:val="Hyperlink"/>
            <w:rFonts w:eastAsia="Calibri"/>
            <w:lang w:val="es-ES_tradnl"/>
          </w:rPr>
          <w:t>http://www.itu.int/oth/R0A04000062/en</w:t>
        </w:r>
      </w:hyperlink>
      <w:r w:rsidRPr="00AA7806">
        <w:rPr>
          <w:rFonts w:eastAsia="Calibri"/>
          <w:lang w:val="es-ES_tradnl"/>
        </w:rPr>
        <w:t xml:space="preserve"> como producto digital integral de la presente revisión;</w:t>
      </w:r>
    </w:p>
    <w:p w:rsidR="0086264D" w:rsidRPr="00AA7806" w:rsidRDefault="0086264D" w:rsidP="00E33F15">
      <w:pPr>
        <w:pStyle w:val="enumlev1"/>
        <w:rPr>
          <w:rFonts w:eastAsia="Calibri"/>
          <w:lang w:val="es-ES_tradnl"/>
        </w:rPr>
      </w:pPr>
      <w:r w:rsidRPr="00AA7806">
        <w:rPr>
          <w:lang w:val="es-ES_tradnl"/>
        </w:rPr>
        <w:t>–</w:t>
      </w:r>
      <w:r w:rsidRPr="00AA7806">
        <w:rPr>
          <w:rFonts w:eastAsia="Calibri"/>
          <w:lang w:val="es-ES_tradnl"/>
        </w:rPr>
        <w:tab/>
        <w:t>se han realizado una serie de correcciones de redacción y una revisión de las ecuaciones para comprobar su formato.</w:t>
      </w:r>
    </w:p>
    <w:p w:rsidR="0043260E" w:rsidRDefault="0043260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Pr>
          <w:rFonts w:asciiTheme="minorHAnsi" w:hAnsiTheme="minorHAnsi" w:cstheme="minorHAnsi"/>
          <w:szCs w:val="24"/>
          <w:u w:val="single"/>
          <w:lang w:val="es-ES_tradnl"/>
        </w:rPr>
        <w:br w:type="page"/>
      </w:r>
    </w:p>
    <w:p w:rsidR="0086264D" w:rsidRPr="00AA7806" w:rsidRDefault="0086264D" w:rsidP="004C3A0E">
      <w:pPr>
        <w:keepNext/>
        <w:tabs>
          <w:tab w:val="right" w:pos="9639"/>
        </w:tabs>
        <w:spacing w:before="36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P.531-11</w:t>
      </w:r>
      <w:r w:rsidRPr="00AA7806">
        <w:rPr>
          <w:rFonts w:asciiTheme="minorHAnsi" w:hAnsiTheme="minorHAnsi" w:cstheme="minorHAnsi"/>
          <w:szCs w:val="24"/>
          <w:lang w:val="es-ES_tradnl"/>
        </w:rPr>
        <w:tab/>
        <w:t>Doc. 3/37(Rev.1)</w:t>
      </w:r>
    </w:p>
    <w:p w:rsidR="0086264D" w:rsidRPr="00AA7806" w:rsidRDefault="0086264D" w:rsidP="004C3A0E">
      <w:pPr>
        <w:keepNext/>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Datos de propagación ionosférica y métodos de predicción requeridos</w:t>
      </w:r>
      <w:r w:rsidRPr="00AA7806">
        <w:rPr>
          <w:rFonts w:asciiTheme="minorHAnsi" w:hAnsiTheme="minorHAnsi" w:cstheme="minorHAnsi"/>
          <w:b/>
          <w:bCs/>
          <w:sz w:val="28"/>
          <w:szCs w:val="28"/>
          <w:lang w:val="es-ES_tradnl"/>
        </w:rPr>
        <w:br/>
        <w:t>para el diseño de servicios y sistemas de satélites</w:t>
      </w:r>
    </w:p>
    <w:p w:rsidR="0086264D" w:rsidRPr="00AA7806" w:rsidRDefault="0086264D" w:rsidP="00E33F15">
      <w:pPr>
        <w:spacing w:before="240"/>
        <w:rPr>
          <w:lang w:val="es-ES_tradnl"/>
        </w:rPr>
      </w:pPr>
      <w:r w:rsidRPr="00AA7806">
        <w:rPr>
          <w:lang w:val="es-ES_tradnl"/>
        </w:rPr>
        <w:t>La presente revisión está relacionada con la actualización del modelo IRI de la versión de 2012. Asimismo, de resultas de la Resolución 25/3, se incluyen en el documento los enlaces de los dos productos digitales integrales de esta Recomendación, y se han corregido los errores de redacción en la referencia de GISM.</w:t>
      </w:r>
    </w:p>
    <w:p w:rsidR="0086264D" w:rsidRPr="00AA7806" w:rsidRDefault="0086264D" w:rsidP="00E33F15">
      <w:pPr>
        <w:tabs>
          <w:tab w:val="right" w:pos="9639"/>
        </w:tabs>
        <w:spacing w:before="48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P.1546-4</w:t>
      </w:r>
      <w:r w:rsidRPr="00AA7806">
        <w:rPr>
          <w:rFonts w:asciiTheme="minorHAnsi" w:hAnsiTheme="minorHAnsi" w:cstheme="minorHAnsi"/>
          <w:szCs w:val="24"/>
          <w:lang w:val="es-ES_tradnl"/>
        </w:rPr>
        <w:tab/>
        <w:t>Doc. 3/39(Rev.1)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Métodos de predicción de punto a zona para servicios terrenales</w:t>
      </w:r>
      <w:r w:rsidRPr="00AA7806">
        <w:rPr>
          <w:rFonts w:asciiTheme="minorHAnsi" w:hAnsiTheme="minorHAnsi" w:cstheme="minorHAnsi"/>
          <w:b/>
          <w:bCs/>
          <w:sz w:val="28"/>
          <w:szCs w:val="28"/>
          <w:lang w:val="es-ES_tradnl"/>
        </w:rPr>
        <w:br/>
        <w:t>en la gama de frecuencias de 30 a 3 000 MHz</w:t>
      </w:r>
    </w:p>
    <w:p w:rsidR="0086264D" w:rsidRPr="00AA7806" w:rsidRDefault="0086264D" w:rsidP="00E33F15">
      <w:pPr>
        <w:spacing w:before="240"/>
        <w:rPr>
          <w:lang w:val="es-ES_tradnl"/>
        </w:rPr>
      </w:pPr>
      <w:r w:rsidRPr="00AA7806">
        <w:rPr>
          <w:lang w:val="es-ES_tradnl"/>
        </w:rPr>
        <w:t>La presente revisión incluye:</w:t>
      </w:r>
    </w:p>
    <w:p w:rsidR="0086264D" w:rsidRPr="00AA7806" w:rsidRDefault="0086264D" w:rsidP="00E33F15">
      <w:pPr>
        <w:pStyle w:val="enumlev1"/>
        <w:rPr>
          <w:lang w:val="es-ES_tradnl"/>
        </w:rPr>
      </w:pPr>
      <w:r w:rsidRPr="00AA7806">
        <w:rPr>
          <w:lang w:val="es-ES_tradnl"/>
        </w:rPr>
        <w:t>–</w:t>
      </w:r>
      <w:r w:rsidRPr="00AA7806">
        <w:rPr>
          <w:lang w:val="es-ES_tradnl"/>
        </w:rPr>
        <w:tab/>
        <w:t>algunas propuestas de correcciones de redacción, principalmente en el Anexo 3;</w:t>
      </w:r>
    </w:p>
    <w:p w:rsidR="0086264D" w:rsidRPr="00AA7806" w:rsidRDefault="0086264D" w:rsidP="00E33F15">
      <w:pPr>
        <w:pStyle w:val="enumlev1"/>
        <w:rPr>
          <w:lang w:val="es-ES_tradnl"/>
        </w:rPr>
      </w:pPr>
      <w:r w:rsidRPr="00AA7806">
        <w:rPr>
          <w:lang w:val="es-ES_tradnl"/>
        </w:rPr>
        <w:t>–</w:t>
      </w:r>
      <w:r w:rsidRPr="00AA7806">
        <w:rPr>
          <w:lang w:val="es-ES_tradnl"/>
        </w:rPr>
        <w:tab/>
        <w:t>se ha complementado el enfoque del Anexo 5 para el tratamiento de los trayectos cortos (&lt; 1 km). Los cambios propuestos llevarían a ampliar el alcance de la Recomendación a distancias &lt; 1 km y permitirían que los terminales estuvieran por debajo de la altura del obstáculo.</w:t>
      </w:r>
    </w:p>
    <w:p w:rsidR="0086264D" w:rsidRPr="00AA7806" w:rsidRDefault="0086264D" w:rsidP="00E33F15">
      <w:pPr>
        <w:tabs>
          <w:tab w:val="right" w:pos="9639"/>
        </w:tabs>
        <w:spacing w:before="48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P.618-10</w:t>
      </w:r>
      <w:r w:rsidRPr="00AA7806">
        <w:rPr>
          <w:rFonts w:asciiTheme="minorHAnsi" w:hAnsiTheme="minorHAnsi" w:cstheme="minorHAnsi"/>
          <w:szCs w:val="24"/>
          <w:lang w:val="es-ES_tradnl"/>
        </w:rPr>
        <w:tab/>
        <w:t>Doc. 3/40(Rev.1)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Datos de propagación y métodos de predicción necesarios para el diseño</w:t>
      </w:r>
      <w:r w:rsidRPr="00AA7806">
        <w:rPr>
          <w:rFonts w:asciiTheme="minorHAnsi" w:hAnsiTheme="minorHAnsi" w:cstheme="minorHAnsi"/>
          <w:b/>
          <w:bCs/>
          <w:sz w:val="28"/>
          <w:szCs w:val="28"/>
          <w:lang w:val="es-ES_tradnl"/>
        </w:rPr>
        <w:br/>
        <w:t>de sistemas de telecomunicación Tierra-espacio</w:t>
      </w:r>
    </w:p>
    <w:p w:rsidR="0086264D" w:rsidRPr="00AA7806" w:rsidRDefault="0086264D" w:rsidP="00E33F15">
      <w:pPr>
        <w:spacing w:before="240"/>
        <w:rPr>
          <w:lang w:val="es-ES_tradnl"/>
        </w:rPr>
      </w:pPr>
      <w:r w:rsidRPr="00AA7806">
        <w:rPr>
          <w:lang w:val="es-ES_tradnl"/>
        </w:rPr>
        <w:t>En la presente revisión:</w:t>
      </w:r>
    </w:p>
    <w:p w:rsidR="0086264D" w:rsidRPr="00AA7806" w:rsidRDefault="0086264D" w:rsidP="00E33F15">
      <w:pPr>
        <w:pStyle w:val="enumlev1"/>
        <w:rPr>
          <w:lang w:val="es-ES_tradnl"/>
        </w:rPr>
      </w:pPr>
      <w:r w:rsidRPr="00AA7806">
        <w:rPr>
          <w:lang w:val="es-ES_tradnl"/>
        </w:rPr>
        <w:t>–</w:t>
      </w:r>
      <w:r w:rsidRPr="00AA7806">
        <w:rPr>
          <w:lang w:val="es-ES_tradnl"/>
        </w:rPr>
        <w:tab/>
        <w:t>se añade texto introductorio en § 2.4 para clarificar las tres partes del método a fin de predecir el desvanecimiento debido al centelleo y a la propagación por trayectos múltiples;</w:t>
      </w:r>
    </w:p>
    <w:p w:rsidR="0086264D" w:rsidRPr="00AA7806" w:rsidRDefault="0086264D" w:rsidP="00E33F15">
      <w:pPr>
        <w:pStyle w:val="enumlev1"/>
        <w:rPr>
          <w:lang w:val="es-ES_tradnl"/>
        </w:rPr>
      </w:pPr>
      <w:r w:rsidRPr="00AA7806">
        <w:rPr>
          <w:lang w:val="es-ES_tradnl"/>
        </w:rPr>
        <w:t>–</w:t>
      </w:r>
      <w:r w:rsidRPr="00AA7806">
        <w:rPr>
          <w:lang w:val="es-ES_tradnl"/>
        </w:rPr>
        <w:tab/>
        <w:t>se modifica el desvanecimiento debido al centelleo y a u</w:t>
      </w:r>
      <w:r w:rsidR="004C3A0E" w:rsidRPr="00AA7806">
        <w:rPr>
          <w:lang w:val="es-ES_tradnl"/>
        </w:rPr>
        <w:t>n ángulo de elevación bajo en § </w:t>
      </w:r>
      <w:r w:rsidRPr="00AA7806">
        <w:rPr>
          <w:lang w:val="es-ES_tradnl"/>
        </w:rPr>
        <w:t>2.4.3;</w:t>
      </w:r>
    </w:p>
    <w:p w:rsidR="0086264D" w:rsidRPr="00AA7806" w:rsidRDefault="0086264D" w:rsidP="00E33F15">
      <w:pPr>
        <w:pStyle w:val="enumlev1"/>
        <w:rPr>
          <w:lang w:val="es-ES_tradnl"/>
        </w:rPr>
      </w:pPr>
      <w:r w:rsidRPr="00AA7806">
        <w:rPr>
          <w:lang w:val="es-ES_tradnl"/>
        </w:rPr>
        <w:t>–</w:t>
      </w:r>
      <w:r w:rsidRPr="00AA7806">
        <w:rPr>
          <w:lang w:val="es-ES_tradnl"/>
        </w:rPr>
        <w:tab/>
        <w:t>se aclara § 2.4.2;</w:t>
      </w:r>
    </w:p>
    <w:p w:rsidR="0086264D" w:rsidRPr="00AA7806" w:rsidRDefault="0086264D" w:rsidP="00E33F15">
      <w:pPr>
        <w:pStyle w:val="enumlev1"/>
        <w:rPr>
          <w:lang w:val="es-ES_tradnl"/>
        </w:rPr>
      </w:pPr>
      <w:r w:rsidRPr="00AA7806">
        <w:rPr>
          <w:lang w:val="es-ES_tradnl"/>
        </w:rPr>
        <w:t>–</w:t>
      </w:r>
      <w:r w:rsidRPr="00AA7806">
        <w:rPr>
          <w:lang w:val="es-ES_tradnl"/>
        </w:rPr>
        <w:tab/>
        <w:t>se incorporan pequeños cambios de redacción en § 2.4.1;</w:t>
      </w:r>
    </w:p>
    <w:p w:rsidR="0086264D" w:rsidRPr="00AA7806" w:rsidRDefault="0086264D" w:rsidP="00E33F15">
      <w:pPr>
        <w:pStyle w:val="enumlev1"/>
        <w:rPr>
          <w:lang w:val="es-ES_tradnl"/>
        </w:rPr>
      </w:pPr>
      <w:r w:rsidRPr="00AA7806">
        <w:rPr>
          <w:lang w:val="es-ES_tradnl"/>
        </w:rPr>
        <w:t>–</w:t>
      </w:r>
      <w:r w:rsidRPr="00AA7806">
        <w:rPr>
          <w:lang w:val="es-ES_tradnl"/>
        </w:rPr>
        <w:tab/>
        <w:t>y se amplía el método existente de asociación con la frecuencia de § 2.2.1.2 con un método de predicción adicional.</w:t>
      </w:r>
    </w:p>
    <w:p w:rsidR="0043260E" w:rsidRDefault="0043260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Pr>
          <w:rFonts w:asciiTheme="minorHAnsi" w:hAnsiTheme="minorHAnsi" w:cstheme="minorHAnsi"/>
          <w:szCs w:val="24"/>
          <w:u w:val="single"/>
          <w:lang w:val="es-ES_tradnl"/>
        </w:rPr>
        <w:br w:type="page"/>
      </w:r>
    </w:p>
    <w:p w:rsidR="0086264D" w:rsidRPr="00AA7806" w:rsidRDefault="0086264D" w:rsidP="0095369D">
      <w:pPr>
        <w:tabs>
          <w:tab w:val="clear" w:pos="794"/>
          <w:tab w:val="clear" w:pos="1191"/>
          <w:tab w:val="clear" w:pos="1588"/>
          <w:tab w:val="clear" w:pos="1985"/>
          <w:tab w:val="left" w:pos="7938"/>
        </w:tabs>
        <w:overflowPunct/>
        <w:autoSpaceDE/>
        <w:autoSpaceDN/>
        <w:adjustRightInd/>
        <w:spacing w:before="360" w:line="240" w:lineRule="auto"/>
        <w:jc w:val="left"/>
        <w:textAlignment w:val="auto"/>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P.530-14</w:t>
      </w:r>
      <w:r w:rsidR="0095369D" w:rsidRPr="00AA7806">
        <w:rPr>
          <w:rFonts w:asciiTheme="minorHAnsi" w:hAnsiTheme="minorHAnsi" w:cstheme="minorHAnsi"/>
          <w:szCs w:val="24"/>
          <w:lang w:val="es-ES_tradnl"/>
        </w:rPr>
        <w:tab/>
      </w:r>
      <w:r w:rsidRPr="00AA7806">
        <w:rPr>
          <w:rFonts w:asciiTheme="minorHAnsi" w:hAnsiTheme="minorHAnsi" w:cstheme="minorHAnsi"/>
          <w:szCs w:val="24"/>
          <w:lang w:val="es-ES_tradnl"/>
        </w:rPr>
        <w:t>Doc. 3/41(Rev.1)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Datos de propagación y métodos de predicción necesarios para</w:t>
      </w:r>
      <w:r w:rsidRPr="00AA7806">
        <w:rPr>
          <w:rFonts w:asciiTheme="minorHAnsi" w:hAnsiTheme="minorHAnsi" w:cstheme="minorHAnsi"/>
          <w:b/>
          <w:bCs/>
          <w:sz w:val="28"/>
          <w:szCs w:val="28"/>
          <w:lang w:val="es-ES_tradnl"/>
        </w:rPr>
        <w:br/>
        <w:t>el diseño de sistemas terrenales con visibilidad directa</w:t>
      </w:r>
    </w:p>
    <w:p w:rsidR="0086264D" w:rsidRPr="00AA7806" w:rsidRDefault="0086264D" w:rsidP="00E33F15">
      <w:pPr>
        <w:spacing w:before="240"/>
        <w:rPr>
          <w:lang w:val="es-ES_tradnl"/>
        </w:rPr>
      </w:pPr>
      <w:r w:rsidRPr="00AA7806">
        <w:rPr>
          <w:lang w:val="es-ES_tradnl"/>
        </w:rPr>
        <w:t>La presente revisión propone:</w:t>
      </w:r>
    </w:p>
    <w:p w:rsidR="0086264D" w:rsidRPr="00AA7806" w:rsidRDefault="0086264D" w:rsidP="00E33F15">
      <w:pPr>
        <w:pStyle w:val="enumlev1"/>
        <w:rPr>
          <w:lang w:val="es-ES_tradnl"/>
        </w:rPr>
      </w:pPr>
      <w:r w:rsidRPr="00AA7806">
        <w:rPr>
          <w:lang w:val="es-ES_tradnl"/>
        </w:rPr>
        <w:t>–</w:t>
      </w:r>
      <w:r w:rsidRPr="00AA7806">
        <w:rPr>
          <w:lang w:val="es-ES_tradnl"/>
        </w:rPr>
        <w:tab/>
        <w:t>cambios para incluir nuevo material, corregir errores y aclarar y simplificar cuestiones;</w:t>
      </w:r>
    </w:p>
    <w:p w:rsidR="0086264D" w:rsidRPr="00AA7806" w:rsidRDefault="0086264D" w:rsidP="00E33F15">
      <w:pPr>
        <w:pStyle w:val="enumlev1"/>
        <w:rPr>
          <w:lang w:val="es-ES_tradnl"/>
        </w:rPr>
      </w:pPr>
      <w:r w:rsidRPr="00AA7806">
        <w:rPr>
          <w:lang w:val="es-ES_tradnl"/>
        </w:rPr>
        <w:t>–</w:t>
      </w:r>
      <w:r w:rsidRPr="00AA7806">
        <w:rPr>
          <w:lang w:val="es-ES_tradnl"/>
        </w:rPr>
        <w:tab/>
        <w:t>el texto del Paso 2 y del recuadro de la Figura 2 de § 2.2.2.1 se ha corregido/revisado para armonizarlo con el original del que procedía la figura;</w:t>
      </w:r>
    </w:p>
    <w:p w:rsidR="0086264D" w:rsidRPr="00AA7806" w:rsidRDefault="0086264D" w:rsidP="00E33F15">
      <w:pPr>
        <w:pStyle w:val="enumlev1"/>
        <w:rPr>
          <w:lang w:val="es-ES_tradnl"/>
        </w:rPr>
      </w:pPr>
      <w:r w:rsidRPr="00AA7806">
        <w:rPr>
          <w:lang w:val="es-ES_tradnl"/>
        </w:rPr>
        <w:t>–</w:t>
      </w:r>
      <w:r w:rsidRPr="00AA7806">
        <w:rPr>
          <w:lang w:val="es-ES_tradnl"/>
        </w:rPr>
        <w:tab/>
        <w:t>se ha añadido una frase al principio de § 2.3.1 que reza que el desvanecimiento por trayectos múltiples se calculará solamente en el caso de aquellos trayectos que superen los 5 km y se ignorará en los trayectos más cortos;</w:t>
      </w:r>
    </w:p>
    <w:p w:rsidR="0086264D" w:rsidRPr="00AA7806" w:rsidRDefault="0086264D" w:rsidP="00E33F15">
      <w:pPr>
        <w:pStyle w:val="enumlev1"/>
        <w:rPr>
          <w:lang w:val="es-ES_tradnl"/>
        </w:rPr>
      </w:pPr>
      <w:r w:rsidRPr="00AA7806">
        <w:rPr>
          <w:lang w:val="es-ES_tradnl"/>
        </w:rPr>
        <w:t>–</w:t>
      </w:r>
      <w:r w:rsidRPr="00AA7806">
        <w:rPr>
          <w:lang w:val="es-ES_tradnl"/>
        </w:rPr>
        <w:tab/>
        <w:t>se ha elaborado un nuevo mapa para obtener la dureza de la zona mirando un número en un mapa, tal y como se ha hecho en otros parámetros, como la tasa de lluvia. Se ha modificado § 2.3.1 para dirigir a los usuarios a los nuevos mapas y no tener que calcular la dureza a partir de los datos de la elevación digital;</w:t>
      </w:r>
    </w:p>
    <w:p w:rsidR="0086264D" w:rsidRPr="00AA7806" w:rsidRDefault="0086264D" w:rsidP="00E33F15">
      <w:pPr>
        <w:pStyle w:val="enumlev1"/>
        <w:rPr>
          <w:lang w:val="es-ES_tradnl"/>
        </w:rPr>
      </w:pPr>
      <w:r w:rsidRPr="00AA7806">
        <w:rPr>
          <w:lang w:val="es-ES_tradnl"/>
        </w:rPr>
        <w:t>–</w:t>
      </w:r>
      <w:r w:rsidRPr="00AA7806">
        <w:rPr>
          <w:lang w:val="es-ES_tradnl"/>
        </w:rPr>
        <w:tab/>
        <w:t>se ha incluido un nuevo modelo para numerar eventos de desvanecimiento en aire despejado en el nuevo apartado § 2.3.8. Hasta la fecha, no existía un modelo para esta cuestión, y es necesario para estimar la intensidad de las interrupciones;</w:t>
      </w:r>
    </w:p>
    <w:p w:rsidR="0086264D" w:rsidRPr="00AA7806" w:rsidRDefault="0086264D" w:rsidP="00E33F15">
      <w:pPr>
        <w:pStyle w:val="enumlev1"/>
        <w:rPr>
          <w:lang w:val="es-ES_tradnl"/>
        </w:rPr>
      </w:pPr>
      <w:r w:rsidRPr="00AA7806">
        <w:rPr>
          <w:lang w:val="es-ES_tradnl"/>
        </w:rPr>
        <w:t>–</w:t>
      </w:r>
      <w:r w:rsidRPr="00AA7806">
        <w:rPr>
          <w:lang w:val="es-ES_tradnl"/>
        </w:rPr>
        <w:tab/>
        <w:t>se ha modificado el texto explicativo de la ecuación (32) en § 2.4.1 para evitar la división por cero;</w:t>
      </w:r>
    </w:p>
    <w:p w:rsidR="0086264D" w:rsidRPr="00AA7806" w:rsidRDefault="0086264D" w:rsidP="00E33F15">
      <w:pPr>
        <w:pStyle w:val="enumlev1"/>
        <w:rPr>
          <w:lang w:val="es-ES_tradnl"/>
        </w:rPr>
      </w:pPr>
      <w:r w:rsidRPr="00AA7806">
        <w:rPr>
          <w:lang w:val="es-ES_tradnl"/>
        </w:rPr>
        <w:t>–</w:t>
      </w:r>
      <w:r w:rsidRPr="00AA7806">
        <w:rPr>
          <w:lang w:val="es-ES_tradnl"/>
        </w:rPr>
        <w:tab/>
        <w:t>se ha corregido la ecuación (60) en § 2.4.6.3.1 sustituyendo el segundo = por un signo de multiplicación;</w:t>
      </w:r>
    </w:p>
    <w:p w:rsidR="0086264D" w:rsidRPr="00AA7806" w:rsidRDefault="0086264D" w:rsidP="00E33F15">
      <w:pPr>
        <w:pStyle w:val="enumlev1"/>
        <w:rPr>
          <w:lang w:val="es-ES_tradnl"/>
        </w:rPr>
      </w:pPr>
      <w:r w:rsidRPr="00AA7806">
        <w:rPr>
          <w:lang w:val="es-ES_tradnl"/>
        </w:rPr>
        <w:t>–</w:t>
      </w:r>
      <w:r w:rsidRPr="00AA7806">
        <w:rPr>
          <w:lang w:val="es-ES_tradnl"/>
        </w:rPr>
        <w:tab/>
        <w:t xml:space="preserve">se ha revisado la ecuación (149) en § 7 para que refleje que, en los sistemas de doble polarización, debe reducirse la contribución de las interrupciones debidas al empleo de ambas polarizaciones para las situaciones de diversidad. Se ha multiplicado un factor provisional por </w:t>
      </w:r>
      <w:r w:rsidR="004C3A0E" w:rsidRPr="00AA7806">
        <w:rPr>
          <w:rFonts w:asciiTheme="minorHAnsi" w:hAnsiTheme="minorHAnsi" w:cstheme="minorHAnsi"/>
          <w:i/>
          <w:iCs/>
          <w:szCs w:val="24"/>
          <w:lang w:val="es-ES_tradnl"/>
        </w:rPr>
        <w:t>P</w:t>
      </w:r>
      <w:r w:rsidR="004C3A0E" w:rsidRPr="00AA7806">
        <w:rPr>
          <w:rFonts w:asciiTheme="minorHAnsi" w:hAnsiTheme="minorHAnsi" w:cstheme="minorHAnsi"/>
          <w:szCs w:val="24"/>
          <w:vertAlign w:val="subscript"/>
          <w:lang w:val="es-ES_tradnl"/>
        </w:rPr>
        <w:t>XP</w:t>
      </w:r>
      <w:r w:rsidRPr="00AA7806">
        <w:rPr>
          <w:lang w:val="es-ES_tradnl"/>
        </w:rPr>
        <w:t xml:space="preserve"> calculado para las situaciones de no diversidad.</w:t>
      </w:r>
    </w:p>
    <w:p w:rsidR="0043260E" w:rsidRDefault="0043260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Pr>
          <w:rFonts w:asciiTheme="minorHAnsi" w:hAnsiTheme="minorHAnsi" w:cstheme="minorHAnsi"/>
          <w:szCs w:val="24"/>
          <w:u w:val="single"/>
          <w:lang w:val="es-ES_tradnl"/>
        </w:rPr>
        <w:br w:type="page"/>
      </w:r>
    </w:p>
    <w:p w:rsidR="0086264D" w:rsidRPr="00AA7806" w:rsidRDefault="0086264D" w:rsidP="0086264D">
      <w:pPr>
        <w:tabs>
          <w:tab w:val="right" w:pos="9639"/>
        </w:tabs>
        <w:spacing w:before="36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P.617-2</w:t>
      </w:r>
      <w:r w:rsidRPr="00AA7806">
        <w:rPr>
          <w:rFonts w:asciiTheme="minorHAnsi" w:hAnsiTheme="minorHAnsi" w:cstheme="minorHAnsi"/>
          <w:szCs w:val="24"/>
          <w:lang w:val="es-ES_tradnl"/>
        </w:rPr>
        <w:tab/>
        <w:t>Doc. 3/43(Rev.1)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Datos de propagación y técnicas de predicción necesarios para el diseño</w:t>
      </w:r>
      <w:r w:rsidRPr="00AA7806">
        <w:rPr>
          <w:rFonts w:asciiTheme="minorHAnsi" w:hAnsiTheme="minorHAnsi" w:cstheme="minorHAnsi"/>
          <w:b/>
          <w:bCs/>
          <w:sz w:val="28"/>
          <w:szCs w:val="28"/>
          <w:lang w:val="es-ES_tradnl"/>
        </w:rPr>
        <w:br/>
        <w:t>de sistemas de radioenlaces transhorizonte</w:t>
      </w:r>
    </w:p>
    <w:p w:rsidR="0086264D" w:rsidRPr="00AA7806" w:rsidRDefault="0086264D" w:rsidP="00E33F15">
      <w:pPr>
        <w:spacing w:before="240"/>
        <w:rPr>
          <w:lang w:val="es-ES_tradnl"/>
        </w:rPr>
      </w:pPr>
      <w:r w:rsidRPr="00AA7806">
        <w:rPr>
          <w:lang w:val="es-ES_tradnl"/>
        </w:rPr>
        <w:t>La presente revisión incluye:</w:t>
      </w:r>
    </w:p>
    <w:p w:rsidR="0086264D" w:rsidRPr="00AA7806" w:rsidRDefault="0086264D" w:rsidP="00E33F15">
      <w:pPr>
        <w:pStyle w:val="enumlev1"/>
        <w:rPr>
          <w:lang w:val="es-ES_tradnl"/>
        </w:rPr>
      </w:pPr>
      <w:r w:rsidRPr="00AA7806">
        <w:rPr>
          <w:lang w:val="es-ES_tradnl"/>
        </w:rPr>
        <w:t>–</w:t>
      </w:r>
      <w:r w:rsidRPr="00AA7806">
        <w:rPr>
          <w:lang w:val="es-ES_tradnl"/>
        </w:rPr>
        <w:tab/>
        <w:t xml:space="preserve">la adición de una nueva sección 2 </w:t>
      </w:r>
      <w:r w:rsidR="004C3A0E" w:rsidRPr="00AA7806">
        <w:rPr>
          <w:lang w:val="es-ES_tradnl"/>
        </w:rPr>
        <w:t>«</w:t>
      </w:r>
      <w:r w:rsidRPr="00AA7806">
        <w:rPr>
          <w:lang w:val="es-ES_tradnl"/>
        </w:rPr>
        <w:t>Productos digitales integrales</w:t>
      </w:r>
      <w:r w:rsidR="004C3A0E" w:rsidRPr="00AA7806">
        <w:rPr>
          <w:lang w:val="es-ES_tradnl"/>
        </w:rPr>
        <w:t>»</w:t>
      </w:r>
      <w:r w:rsidRPr="00AA7806">
        <w:rPr>
          <w:lang w:val="es-ES_tradnl"/>
        </w:rPr>
        <w:t>. Esta sección proporciona información sobre el archivo del mapa as</w:t>
      </w:r>
      <w:r w:rsidR="00E33F15">
        <w:rPr>
          <w:lang w:val="es-ES_tradnl"/>
        </w:rPr>
        <w:t>ociado a la Recomendación UIT</w:t>
      </w:r>
      <w:r w:rsidR="00E33F15">
        <w:rPr>
          <w:lang w:val="es-ES_tradnl"/>
        </w:rPr>
        <w:noBreakHyphen/>
        <w:t>R </w:t>
      </w:r>
      <w:r w:rsidRPr="00AA7806">
        <w:rPr>
          <w:lang w:val="es-ES_tradnl"/>
        </w:rPr>
        <w:t>P.617, procedente del archivo de lectura asocia</w:t>
      </w:r>
      <w:r w:rsidR="00E33F15">
        <w:rPr>
          <w:lang w:val="es-ES_tradnl"/>
        </w:rPr>
        <w:t>do al archivo TropoClim.txt. De </w:t>
      </w:r>
      <w:r w:rsidRPr="00AA7806">
        <w:rPr>
          <w:lang w:val="es-ES_tradnl"/>
        </w:rPr>
        <w:t>resultas de este cambio, se han vuelto a numerar las secciones;</w:t>
      </w:r>
    </w:p>
    <w:p w:rsidR="0086264D" w:rsidRPr="00AA7806" w:rsidRDefault="0086264D" w:rsidP="00E33F15">
      <w:pPr>
        <w:pStyle w:val="enumlev1"/>
        <w:rPr>
          <w:lang w:val="es-ES_tradnl"/>
        </w:rPr>
      </w:pPr>
      <w:r w:rsidRPr="00AA7806">
        <w:rPr>
          <w:lang w:val="es-ES_tradnl"/>
        </w:rPr>
        <w:t>–</w:t>
      </w:r>
      <w:r w:rsidRPr="00AA7806">
        <w:rPr>
          <w:lang w:val="es-ES_tradnl"/>
        </w:rPr>
        <w:tab/>
        <w:t>se ha editado la Figura 1 para alinear los números de clima con la clave de colores;</w:t>
      </w:r>
    </w:p>
    <w:p w:rsidR="0086264D" w:rsidRPr="00AA7806" w:rsidRDefault="0086264D" w:rsidP="00E33F15">
      <w:pPr>
        <w:pStyle w:val="enumlev1"/>
        <w:rPr>
          <w:lang w:val="es-ES_tradnl"/>
        </w:rPr>
      </w:pPr>
      <w:r w:rsidRPr="00AA7806">
        <w:rPr>
          <w:lang w:val="es-ES_tradnl"/>
        </w:rPr>
        <w:t>–</w:t>
      </w:r>
      <w:r w:rsidRPr="00AA7806">
        <w:rPr>
          <w:lang w:val="es-ES_tradnl"/>
        </w:rPr>
        <w:tab/>
        <w:t xml:space="preserve">corrección de </w:t>
      </w:r>
      <w:r w:rsidR="0095369D" w:rsidRPr="00AA7806">
        <w:rPr>
          <w:rFonts w:ascii="Symbol" w:hAnsi="Symbol"/>
          <w:lang w:val="es-ES_tradnl"/>
        </w:rPr>
        <w:t></w:t>
      </w:r>
      <w:r w:rsidR="0095369D" w:rsidRPr="00AA7806">
        <w:rPr>
          <w:rFonts w:ascii="Symbol" w:hAnsi="Symbol"/>
          <w:lang w:val="es-ES_tradnl"/>
        </w:rPr>
        <w:t></w:t>
      </w:r>
      <w:r w:rsidRPr="00AA7806">
        <w:rPr>
          <w:lang w:val="es-ES_tradnl"/>
        </w:rPr>
        <w:t>en el Cuadro 1;</w:t>
      </w:r>
    </w:p>
    <w:p w:rsidR="0086264D" w:rsidRPr="00AA7806" w:rsidRDefault="0086264D" w:rsidP="00E33F15">
      <w:pPr>
        <w:pStyle w:val="enumlev1"/>
        <w:rPr>
          <w:lang w:val="es-ES_tradnl"/>
        </w:rPr>
      </w:pPr>
      <w:r w:rsidRPr="00AA7806">
        <w:rPr>
          <w:lang w:val="es-ES_tradnl"/>
        </w:rPr>
        <w:t>–</w:t>
      </w:r>
      <w:r w:rsidRPr="00AA7806">
        <w:rPr>
          <w:lang w:val="es-ES_tradnl"/>
        </w:rPr>
        <w:tab/>
        <w:t>se ha recuperado la definición de d</w:t>
      </w:r>
      <w:r w:rsidRPr="00AA7806">
        <w:rPr>
          <w:vertAlign w:val="subscript"/>
          <w:lang w:val="es-ES_tradnl"/>
        </w:rPr>
        <w:t>s</w:t>
      </w:r>
      <w:r w:rsidRPr="00AA7806">
        <w:rPr>
          <w:lang w:val="es-ES_tradnl"/>
        </w:rPr>
        <w:t xml:space="preserve"> de la Recomendación UIT-R P.617-1 para incluirla debajo de la ecuación (11c);</w:t>
      </w:r>
    </w:p>
    <w:p w:rsidR="0086264D" w:rsidRPr="00AA7806" w:rsidRDefault="0086264D" w:rsidP="00E33F15">
      <w:pPr>
        <w:pStyle w:val="enumlev1"/>
        <w:rPr>
          <w:lang w:val="es-ES_tradnl"/>
        </w:rPr>
      </w:pPr>
      <w:r w:rsidRPr="00AA7806">
        <w:rPr>
          <w:lang w:val="es-ES_tradnl"/>
        </w:rPr>
        <w:t>–</w:t>
      </w:r>
      <w:r w:rsidRPr="00AA7806">
        <w:rPr>
          <w:lang w:val="es-ES_tradnl"/>
        </w:rPr>
        <w:tab/>
        <w:t>se ha suprimido la Figura 2 por cuanto ya no es necesaria por los cambios en la última revisión;</w:t>
      </w:r>
    </w:p>
    <w:p w:rsidR="0086264D" w:rsidRPr="00AA7806" w:rsidRDefault="0086264D" w:rsidP="00E33F15">
      <w:pPr>
        <w:pStyle w:val="enumlev1"/>
        <w:rPr>
          <w:lang w:val="es-ES_tradnl"/>
        </w:rPr>
      </w:pPr>
      <w:r w:rsidRPr="00AA7806">
        <w:rPr>
          <w:lang w:val="es-ES_tradnl"/>
        </w:rPr>
        <w:t>–</w:t>
      </w:r>
      <w:r w:rsidRPr="00AA7806">
        <w:rPr>
          <w:lang w:val="es-ES_tradnl"/>
        </w:rPr>
        <w:tab/>
        <w:t>se ha añadido texto en la sección 3.2 a propósito de las medidas que hay que tomar para el clima 5;</w:t>
      </w:r>
    </w:p>
    <w:p w:rsidR="0086264D" w:rsidRPr="00AA7806" w:rsidRDefault="0086264D" w:rsidP="00E33F15">
      <w:pPr>
        <w:pStyle w:val="enumlev1"/>
        <w:rPr>
          <w:lang w:val="es-ES_tradnl"/>
        </w:rPr>
      </w:pPr>
      <w:r w:rsidRPr="00AA7806">
        <w:rPr>
          <w:lang w:val="es-ES_tradnl"/>
        </w:rPr>
        <w:t>–</w:t>
      </w:r>
      <w:r w:rsidRPr="00AA7806">
        <w:rPr>
          <w:lang w:val="es-ES_tradnl"/>
        </w:rPr>
        <w:tab/>
        <w:t>la definición de d</w:t>
      </w:r>
      <w:r w:rsidRPr="00AA7806">
        <w:rPr>
          <w:vertAlign w:val="subscript"/>
          <w:lang w:val="es-ES_tradnl"/>
        </w:rPr>
        <w:t>q</w:t>
      </w:r>
      <w:r w:rsidRPr="00AA7806">
        <w:rPr>
          <w:lang w:val="es-ES_tradnl"/>
        </w:rPr>
        <w:t xml:space="preserve"> tal y como aparece en la Figura 3 procede de la definición que figura en el Informe CCIR 238;</w:t>
      </w:r>
    </w:p>
    <w:p w:rsidR="0086264D" w:rsidRPr="00AA7806" w:rsidRDefault="0086264D" w:rsidP="00E33F15">
      <w:pPr>
        <w:pStyle w:val="enumlev1"/>
        <w:rPr>
          <w:lang w:val="es-ES_tradnl"/>
        </w:rPr>
      </w:pPr>
      <w:r w:rsidRPr="00AA7806">
        <w:rPr>
          <w:lang w:val="es-ES_tradnl"/>
        </w:rPr>
        <w:t>–</w:t>
      </w:r>
      <w:r w:rsidRPr="00AA7806">
        <w:rPr>
          <w:lang w:val="es-ES_tradnl"/>
        </w:rPr>
        <w:tab/>
        <w:t>se ha modificado el etiquetado de la Figura 3 para armonizarlo con los climas renumerados;</w:t>
      </w:r>
    </w:p>
    <w:p w:rsidR="0086264D" w:rsidRPr="00AA7806" w:rsidRDefault="0086264D" w:rsidP="00E33F15">
      <w:pPr>
        <w:pStyle w:val="enumlev1"/>
        <w:rPr>
          <w:lang w:val="es-ES_tradnl"/>
        </w:rPr>
      </w:pPr>
      <w:r w:rsidRPr="00AA7806">
        <w:rPr>
          <w:lang w:val="es-ES_tradnl"/>
        </w:rPr>
        <w:t>–</w:t>
      </w:r>
      <w:r w:rsidRPr="00AA7806">
        <w:rPr>
          <w:lang w:val="es-ES_tradnl"/>
        </w:rPr>
        <w:tab/>
        <w:t>de resultas de estos cambios, se han renumerado las ecuaciones y las figuras.</w:t>
      </w:r>
    </w:p>
    <w:p w:rsidR="0086264D" w:rsidRPr="00AA7806" w:rsidRDefault="0086264D" w:rsidP="00E33F15">
      <w:pPr>
        <w:keepNext/>
        <w:tabs>
          <w:tab w:val="clear" w:pos="794"/>
          <w:tab w:val="clear" w:pos="1191"/>
          <w:tab w:val="clear" w:pos="1588"/>
          <w:tab w:val="clear" w:pos="1985"/>
          <w:tab w:val="left" w:pos="7938"/>
        </w:tabs>
        <w:overflowPunct/>
        <w:autoSpaceDE/>
        <w:autoSpaceDN/>
        <w:adjustRightInd/>
        <w:spacing w:before="480" w:line="240" w:lineRule="auto"/>
        <w:jc w:val="left"/>
        <w:textAlignment w:val="auto"/>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P.311-13</w:t>
      </w:r>
      <w:r w:rsidRPr="00AA7806">
        <w:rPr>
          <w:rFonts w:asciiTheme="minorHAnsi" w:hAnsiTheme="minorHAnsi" w:cstheme="minorHAnsi"/>
          <w:szCs w:val="24"/>
          <w:lang w:val="es-ES_tradnl"/>
        </w:rPr>
        <w:tab/>
        <w:t>Doc. 3/45(Rev.1)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Recopilación, presentación y análisis de los datos obtenidos</w:t>
      </w:r>
      <w:r w:rsidRPr="00AA7806">
        <w:rPr>
          <w:rFonts w:asciiTheme="minorHAnsi" w:hAnsiTheme="minorHAnsi" w:cstheme="minorHAnsi"/>
          <w:b/>
          <w:bCs/>
          <w:sz w:val="28"/>
          <w:szCs w:val="28"/>
          <w:lang w:val="es-ES_tradnl"/>
        </w:rPr>
        <w:br/>
        <w:t>mediante estudios relativos a la propagación troposférica</w:t>
      </w:r>
    </w:p>
    <w:p w:rsidR="0086264D" w:rsidRPr="00AA7806" w:rsidRDefault="0086264D" w:rsidP="00E33F15">
      <w:pPr>
        <w:spacing w:before="240"/>
        <w:rPr>
          <w:lang w:val="es-ES_tradnl"/>
        </w:rPr>
      </w:pPr>
      <w:r w:rsidRPr="00AA7806">
        <w:rPr>
          <w:lang w:val="es-ES_tradnl"/>
        </w:rPr>
        <w:t xml:space="preserve">La presente revisión incluye un cambio en el título y la inclusión de una aclaración sobre el significado de </w:t>
      </w:r>
      <w:r w:rsidR="004C3A0E" w:rsidRPr="00AA7806">
        <w:rPr>
          <w:lang w:val="es-ES_tradnl"/>
        </w:rPr>
        <w:t>«</w:t>
      </w:r>
      <w:r w:rsidRPr="00AA7806">
        <w:rPr>
          <w:lang w:val="es-ES_tradnl"/>
        </w:rPr>
        <w:t>concurrencia</w:t>
      </w:r>
      <w:r w:rsidR="004C3A0E" w:rsidRPr="00AA7806">
        <w:rPr>
          <w:lang w:val="es-ES_tradnl"/>
        </w:rPr>
        <w:t>»</w:t>
      </w:r>
      <w:r w:rsidRPr="00AA7806">
        <w:rPr>
          <w:lang w:val="es-ES_tradnl"/>
        </w:rPr>
        <w:t xml:space="preserve"> entre las estadísticas relativas a la tasa de lluvia y a la atenuación solicitada para los Cuadros I-1 y II-1 de la base de datos dbsg3.</w:t>
      </w:r>
    </w:p>
    <w:p w:rsidR="0043260E" w:rsidRDefault="0043260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Pr>
          <w:rFonts w:asciiTheme="minorHAnsi" w:hAnsiTheme="minorHAnsi" w:cstheme="minorHAnsi"/>
          <w:szCs w:val="24"/>
          <w:u w:val="single"/>
          <w:lang w:val="es-ES_tradnl"/>
        </w:rPr>
        <w:br w:type="page"/>
      </w:r>
    </w:p>
    <w:p w:rsidR="0086264D" w:rsidRPr="00AA7806" w:rsidRDefault="0086264D" w:rsidP="0086264D">
      <w:pPr>
        <w:tabs>
          <w:tab w:val="right" w:pos="9639"/>
        </w:tabs>
        <w:spacing w:before="360" w:line="240" w:lineRule="auto"/>
        <w:jc w:val="left"/>
        <w:rPr>
          <w:rFonts w:asciiTheme="minorHAnsi" w:hAnsiTheme="minorHAnsi" w:cstheme="minorHAnsi"/>
          <w:szCs w:val="24"/>
          <w:lang w:val="es-ES_tradnl"/>
        </w:rPr>
      </w:pPr>
      <w:r w:rsidRPr="00AA7806">
        <w:rPr>
          <w:rFonts w:asciiTheme="minorHAnsi" w:hAnsiTheme="minorHAnsi" w:cstheme="minorHAnsi"/>
          <w:szCs w:val="24"/>
          <w:u w:val="single"/>
          <w:lang w:val="es-ES_tradnl"/>
        </w:rPr>
        <w:t>Proyecto de revisión de la Recomendación UIT-R P.2001</w:t>
      </w:r>
      <w:r w:rsidRPr="00AA7806">
        <w:rPr>
          <w:rFonts w:asciiTheme="minorHAnsi" w:hAnsiTheme="minorHAnsi" w:cstheme="minorHAnsi"/>
          <w:szCs w:val="24"/>
          <w:lang w:val="es-ES_tradnl"/>
        </w:rPr>
        <w:tab/>
        <w:t>Doc. 3/46(Rev.1)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Modelo de propagación terrenal de gran alcance polivalente en la gama de frecuencias de 30 MHz a 50 GHz</w:t>
      </w:r>
    </w:p>
    <w:p w:rsidR="0086264D" w:rsidRPr="00AA7806" w:rsidRDefault="0086264D" w:rsidP="00E33F15">
      <w:pPr>
        <w:spacing w:before="240"/>
        <w:rPr>
          <w:lang w:val="es-ES_tradnl"/>
        </w:rPr>
      </w:pPr>
      <w:r w:rsidRPr="00AA7806">
        <w:rPr>
          <w:lang w:val="es-ES_tradnl"/>
        </w:rPr>
        <w:t>En el presente documento, se proponen modificaciones a la Recomendación UIT-R P.2001:</w:t>
      </w:r>
    </w:p>
    <w:p w:rsidR="0086264D" w:rsidRPr="00AA7806" w:rsidRDefault="0086264D" w:rsidP="00E33F15">
      <w:pPr>
        <w:pStyle w:val="enumlev1"/>
        <w:rPr>
          <w:lang w:val="es-ES_tradnl"/>
        </w:rPr>
      </w:pPr>
      <w:r w:rsidRPr="00AA7806">
        <w:rPr>
          <w:lang w:val="es-ES_tradnl"/>
        </w:rPr>
        <w:t>–</w:t>
      </w:r>
      <w:r w:rsidRPr="00AA7806">
        <w:rPr>
          <w:lang w:val="es-ES_tradnl"/>
        </w:rPr>
        <w:tab/>
        <w:t>inserción de una nueva sección en la que se referencian los productos digitales integrales. En esta sección se detallan los mapas digitales que deben usarse en la aplicación de esta Recomendación;</w:t>
      </w:r>
    </w:p>
    <w:p w:rsidR="0086264D" w:rsidRPr="00AA7806" w:rsidRDefault="0086264D" w:rsidP="00E33F15">
      <w:pPr>
        <w:pStyle w:val="enumlev1"/>
        <w:rPr>
          <w:lang w:val="es-ES_tradnl"/>
        </w:rPr>
      </w:pPr>
      <w:r w:rsidRPr="00AA7806">
        <w:rPr>
          <w:lang w:val="es-ES_tradnl"/>
        </w:rPr>
        <w:t>–</w:t>
      </w:r>
      <w:r w:rsidRPr="00AA7806">
        <w:rPr>
          <w:lang w:val="es-ES_tradnl"/>
        </w:rPr>
        <w:tab/>
        <w:t>actualización del archivo ESA0Height.txt con el archivo corregido h0.txt;</w:t>
      </w:r>
    </w:p>
    <w:p w:rsidR="0086264D" w:rsidRPr="00AA7806" w:rsidRDefault="0086264D" w:rsidP="00E33F15">
      <w:pPr>
        <w:pStyle w:val="enumlev1"/>
        <w:rPr>
          <w:lang w:val="es-ES_tradnl"/>
        </w:rPr>
      </w:pPr>
      <w:r w:rsidRPr="00AA7806">
        <w:rPr>
          <w:lang w:val="es-ES_tradnl"/>
        </w:rPr>
        <w:t>–</w:t>
      </w:r>
      <w:r w:rsidRPr="00AA7806">
        <w:rPr>
          <w:lang w:val="es-ES_tradnl"/>
        </w:rPr>
        <w:tab/>
        <w:t xml:space="preserve">adición de un nuevo </w:t>
      </w:r>
      <w:r w:rsidRPr="00AA7806">
        <w:rPr>
          <w:i/>
          <w:iCs/>
          <w:lang w:val="es-ES_tradnl"/>
        </w:rPr>
        <w:t>considerando h)</w:t>
      </w:r>
      <w:r w:rsidRPr="00AA7806">
        <w:rPr>
          <w:lang w:val="es-ES_tradnl"/>
        </w:rPr>
        <w:t>.</w:t>
      </w:r>
    </w:p>
    <w:p w:rsidR="0086264D" w:rsidRPr="00AA7806" w:rsidRDefault="0086264D" w:rsidP="00E33F15">
      <w:pPr>
        <w:pStyle w:val="RecNo"/>
        <w:tabs>
          <w:tab w:val="right" w:pos="9639"/>
        </w:tabs>
        <w:spacing w:before="480" w:line="240" w:lineRule="auto"/>
        <w:rPr>
          <w:rFonts w:asciiTheme="minorHAnsi" w:hAnsiTheme="minorHAnsi" w:cstheme="minorHAnsi"/>
          <w:b w:val="0"/>
          <w:bCs/>
          <w:sz w:val="24"/>
          <w:szCs w:val="24"/>
          <w:lang w:val="es-ES_tradnl"/>
        </w:rPr>
      </w:pPr>
      <w:r w:rsidRPr="00AA7806">
        <w:rPr>
          <w:rFonts w:asciiTheme="minorHAnsi" w:hAnsiTheme="minorHAnsi" w:cstheme="minorHAnsi"/>
          <w:b w:val="0"/>
          <w:bCs/>
          <w:sz w:val="24"/>
          <w:szCs w:val="24"/>
          <w:u w:val="single"/>
          <w:lang w:val="es-ES_tradnl"/>
        </w:rPr>
        <w:t>Proyecto de revisión de la Recomendación UIT-R</w:t>
      </w:r>
      <w:r w:rsidRPr="00AA7806">
        <w:rPr>
          <w:rStyle w:val="href"/>
          <w:rFonts w:asciiTheme="minorHAnsi" w:hAnsiTheme="minorHAnsi" w:cstheme="minorHAnsi"/>
          <w:b w:val="0"/>
          <w:bCs/>
          <w:sz w:val="24"/>
          <w:szCs w:val="24"/>
          <w:u w:val="single"/>
          <w:lang w:val="es-ES_tradnl"/>
        </w:rPr>
        <w:t xml:space="preserve"> P.452-14</w:t>
      </w:r>
      <w:r w:rsidRPr="00AA7806">
        <w:rPr>
          <w:rStyle w:val="href"/>
          <w:rFonts w:asciiTheme="minorHAnsi" w:hAnsiTheme="minorHAnsi" w:cstheme="minorHAnsi"/>
          <w:b w:val="0"/>
          <w:bCs/>
          <w:sz w:val="24"/>
          <w:szCs w:val="24"/>
          <w:lang w:val="es-ES_tradnl"/>
        </w:rPr>
        <w:tab/>
        <w:t>Doc. 3/51(Rev.1)</w:t>
      </w:r>
    </w:p>
    <w:p w:rsidR="0086264D" w:rsidRPr="00AA7806" w:rsidRDefault="0086264D" w:rsidP="00714B16">
      <w:pPr>
        <w:tabs>
          <w:tab w:val="right" w:pos="9639"/>
        </w:tabs>
        <w:spacing w:before="360" w:line="240" w:lineRule="auto"/>
        <w:jc w:val="center"/>
        <w:rPr>
          <w:rFonts w:asciiTheme="minorHAnsi" w:hAnsiTheme="minorHAnsi" w:cstheme="minorHAnsi"/>
          <w:b/>
          <w:bCs/>
          <w:sz w:val="28"/>
          <w:szCs w:val="28"/>
          <w:lang w:val="es-ES_tradnl"/>
        </w:rPr>
      </w:pPr>
      <w:r w:rsidRPr="00AA7806">
        <w:rPr>
          <w:rFonts w:asciiTheme="minorHAnsi" w:hAnsiTheme="minorHAnsi" w:cstheme="minorHAnsi"/>
          <w:b/>
          <w:bCs/>
          <w:sz w:val="28"/>
          <w:szCs w:val="28"/>
          <w:lang w:val="es-ES_tradnl"/>
        </w:rPr>
        <w:t>Procedimiento de predicción para evaluar la interferencia</w:t>
      </w:r>
      <w:r w:rsidRPr="00AA7806">
        <w:rPr>
          <w:rFonts w:asciiTheme="minorHAnsi" w:hAnsiTheme="minorHAnsi" w:cstheme="minorHAnsi"/>
          <w:b/>
          <w:bCs/>
          <w:sz w:val="28"/>
          <w:szCs w:val="28"/>
          <w:lang w:val="es-ES_tradnl"/>
        </w:rPr>
        <w:br/>
        <w:t xml:space="preserve">entre estaciones situadas en la superficie de la Tierra </w:t>
      </w:r>
      <w:r w:rsidRPr="00AA7806">
        <w:rPr>
          <w:rFonts w:asciiTheme="minorHAnsi" w:hAnsiTheme="minorHAnsi" w:cstheme="minorHAnsi"/>
          <w:b/>
          <w:bCs/>
          <w:sz w:val="28"/>
          <w:szCs w:val="28"/>
          <w:lang w:val="es-ES_tradnl"/>
        </w:rPr>
        <w:br/>
        <w:t>a frecuencias superiores a unos 0,1 GHz</w:t>
      </w:r>
    </w:p>
    <w:p w:rsidR="0086264D" w:rsidRPr="00AA7806" w:rsidRDefault="0086264D" w:rsidP="00E33F15">
      <w:pPr>
        <w:spacing w:before="240"/>
        <w:rPr>
          <w:lang w:val="es-ES_tradnl"/>
        </w:rPr>
      </w:pPr>
      <w:r w:rsidRPr="00AA7806">
        <w:rPr>
          <w:lang w:val="es-ES_tradnl"/>
        </w:rPr>
        <w:t>Se proponen las siguientes modificaciones:</w:t>
      </w:r>
    </w:p>
    <w:p w:rsidR="0086264D" w:rsidRPr="00AA7806" w:rsidRDefault="0086264D" w:rsidP="00E33F15">
      <w:pPr>
        <w:pStyle w:val="enumlev1"/>
        <w:rPr>
          <w:lang w:val="es-ES_tradnl"/>
        </w:rPr>
      </w:pPr>
      <w:r w:rsidRPr="00AA7806">
        <w:rPr>
          <w:lang w:val="es-ES_tradnl"/>
        </w:rPr>
        <w:t>–</w:t>
      </w:r>
      <w:r w:rsidRPr="00AA7806">
        <w:rPr>
          <w:lang w:val="es-ES_tradnl"/>
        </w:rPr>
        <w:tab/>
        <w:t xml:space="preserve">actualizaciones en el apartado </w:t>
      </w:r>
      <w:r w:rsidR="004C3A0E" w:rsidRPr="00AA7806">
        <w:rPr>
          <w:lang w:val="es-ES_tradnl"/>
        </w:rPr>
        <w:t>«</w:t>
      </w:r>
      <w:r w:rsidRPr="00AA7806">
        <w:rPr>
          <w:lang w:val="es-ES_tradnl"/>
        </w:rPr>
        <w:t>cometido</w:t>
      </w:r>
      <w:r w:rsidR="004C3A0E" w:rsidRPr="00AA7806">
        <w:rPr>
          <w:lang w:val="es-ES_tradnl"/>
        </w:rPr>
        <w:t>»</w:t>
      </w:r>
      <w:r w:rsidRPr="00AA7806">
        <w:rPr>
          <w:lang w:val="es-ES_tradnl"/>
        </w:rPr>
        <w:t>;</w:t>
      </w:r>
    </w:p>
    <w:p w:rsidR="0086264D" w:rsidRPr="00AA7806" w:rsidRDefault="0086264D" w:rsidP="00E33F15">
      <w:pPr>
        <w:pStyle w:val="enumlev1"/>
        <w:rPr>
          <w:lang w:val="es-ES_tradnl"/>
        </w:rPr>
      </w:pPr>
      <w:r w:rsidRPr="00AA7806">
        <w:rPr>
          <w:lang w:val="es-ES_tradnl"/>
        </w:rPr>
        <w:t>–</w:t>
      </w:r>
      <w:r w:rsidRPr="00AA7806">
        <w:rPr>
          <w:lang w:val="es-ES_tradnl"/>
        </w:rPr>
        <w:tab/>
        <w:t>sustitución del modelo por difracción en aras de la armonización con las Recomendaciones UIT</w:t>
      </w:r>
      <w:r w:rsidRPr="00AA7806">
        <w:rPr>
          <w:lang w:val="es-ES_tradnl"/>
        </w:rPr>
        <w:noBreakHyphen/>
        <w:t>R P.1812 y UIT-R P.526;</w:t>
      </w:r>
    </w:p>
    <w:p w:rsidR="0086264D" w:rsidRPr="00AA7806" w:rsidRDefault="0086264D" w:rsidP="00E33F15">
      <w:pPr>
        <w:pStyle w:val="enumlev1"/>
        <w:rPr>
          <w:lang w:val="es-ES_tradnl"/>
        </w:rPr>
      </w:pPr>
      <w:r w:rsidRPr="00AA7806">
        <w:rPr>
          <w:lang w:val="es-ES_tradnl"/>
        </w:rPr>
        <w:t>–</w:t>
      </w:r>
      <w:r w:rsidRPr="00AA7806">
        <w:rPr>
          <w:lang w:val="es-ES_tradnl"/>
        </w:rPr>
        <w:tab/>
        <w:t>un método corregido para calcular de manera aproximada los ángulos de elevación con respecto al horizonte;</w:t>
      </w:r>
    </w:p>
    <w:p w:rsidR="0086264D" w:rsidRPr="00AA7806" w:rsidRDefault="0086264D" w:rsidP="00E33F15">
      <w:pPr>
        <w:pStyle w:val="enumlev1"/>
        <w:rPr>
          <w:lang w:val="es-ES_tradnl"/>
        </w:rPr>
      </w:pPr>
      <w:r w:rsidRPr="00AA7806">
        <w:rPr>
          <w:lang w:val="es-ES_tradnl"/>
        </w:rPr>
        <w:t>–</w:t>
      </w:r>
      <w:r w:rsidRPr="00AA7806">
        <w:rPr>
          <w:lang w:val="es-ES_tradnl"/>
        </w:rPr>
        <w:tab/>
        <w:t>un método simplificado para analizar el perfil de trayecto d</w:t>
      </w:r>
      <w:r w:rsidR="00E33F15">
        <w:rPr>
          <w:lang w:val="es-ES_tradnl"/>
        </w:rPr>
        <w:t>e puntos espaciales regulares e </w:t>
      </w:r>
      <w:r w:rsidRPr="00AA7806">
        <w:rPr>
          <w:lang w:val="es-ES_tradnl"/>
        </w:rPr>
        <w:t>irregulares a lo largo del trayecto;</w:t>
      </w:r>
    </w:p>
    <w:p w:rsidR="0086264D" w:rsidRPr="00AA7806" w:rsidRDefault="0086264D" w:rsidP="00E33F15">
      <w:pPr>
        <w:pStyle w:val="enumlev1"/>
        <w:rPr>
          <w:lang w:val="es-ES_tradnl"/>
        </w:rPr>
      </w:pPr>
      <w:r w:rsidRPr="00AA7806">
        <w:rPr>
          <w:lang w:val="es-ES_tradnl"/>
        </w:rPr>
        <w:t>–</w:t>
      </w:r>
      <w:r w:rsidRPr="00AA7806">
        <w:rPr>
          <w:lang w:val="es-ES_tradnl"/>
        </w:rPr>
        <w:tab/>
        <w:t>corrección de las referencias en dos números de ecuación en la sección de la Recomendación relativa a la dispersión por hidrometeoros;</w:t>
      </w:r>
    </w:p>
    <w:p w:rsidR="0086264D" w:rsidRPr="00AA7806" w:rsidRDefault="0086264D" w:rsidP="00E33F15">
      <w:pPr>
        <w:pStyle w:val="enumlev1"/>
        <w:rPr>
          <w:lang w:val="es-ES_tradnl"/>
        </w:rPr>
      </w:pPr>
      <w:r w:rsidRPr="00AA7806">
        <w:rPr>
          <w:lang w:val="es-ES_tradnl"/>
        </w:rPr>
        <w:t>–</w:t>
      </w:r>
      <w:r w:rsidRPr="00AA7806">
        <w:rPr>
          <w:lang w:val="es-ES_tradnl"/>
        </w:rPr>
        <w:tab/>
        <w:t>armonización de la terminología en todo el documento.</w:t>
      </w:r>
    </w:p>
    <w:p w:rsidR="0086264D" w:rsidRPr="00AA7806" w:rsidRDefault="0086264D" w:rsidP="0086264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es-ES_tradnl"/>
        </w:rPr>
      </w:pPr>
      <w:r w:rsidRPr="00AA7806">
        <w:rPr>
          <w:rFonts w:asciiTheme="minorHAnsi" w:hAnsiTheme="minorHAnsi" w:cstheme="minorHAnsi"/>
          <w:szCs w:val="24"/>
          <w:lang w:val="es-ES_tradnl"/>
        </w:rPr>
        <w:br w:type="page"/>
      </w:r>
    </w:p>
    <w:p w:rsidR="0086264D" w:rsidRPr="00AA7806" w:rsidRDefault="0086264D" w:rsidP="009E1C48">
      <w:pPr>
        <w:pStyle w:val="AnnexNoTitle"/>
        <w:rPr>
          <w:sz w:val="28"/>
          <w:szCs w:val="28"/>
          <w:lang w:val="es-ES_tradnl"/>
        </w:rPr>
      </w:pPr>
      <w:r w:rsidRPr="00AA7806">
        <w:rPr>
          <w:sz w:val="28"/>
          <w:szCs w:val="28"/>
          <w:lang w:val="es-ES_tradnl"/>
        </w:rPr>
        <w:t>Anexo 2</w:t>
      </w:r>
    </w:p>
    <w:p w:rsidR="0086264D" w:rsidRPr="00AA7806" w:rsidRDefault="0086264D" w:rsidP="00E33F15">
      <w:pPr>
        <w:spacing w:before="360" w:line="240" w:lineRule="auto"/>
        <w:jc w:val="center"/>
        <w:rPr>
          <w:rFonts w:asciiTheme="minorHAnsi" w:hAnsiTheme="minorHAnsi" w:cstheme="minorHAnsi"/>
          <w:szCs w:val="24"/>
          <w:lang w:val="es-ES_tradnl"/>
        </w:rPr>
      </w:pPr>
      <w:r w:rsidRPr="00AA7806">
        <w:rPr>
          <w:rFonts w:asciiTheme="minorHAnsi" w:hAnsiTheme="minorHAnsi" w:cstheme="minorHAnsi"/>
          <w:szCs w:val="24"/>
          <w:lang w:val="es-ES_tradnl"/>
        </w:rPr>
        <w:t>(</w:t>
      </w:r>
      <w:r w:rsidR="00E33F15">
        <w:rPr>
          <w:rFonts w:asciiTheme="minorHAnsi" w:hAnsiTheme="minorHAnsi" w:cstheme="minorHAnsi"/>
          <w:szCs w:val="24"/>
          <w:lang w:val="es-ES_tradnl"/>
        </w:rPr>
        <w:t>Origen</w:t>
      </w:r>
      <w:r w:rsidRPr="00AA7806">
        <w:rPr>
          <w:rFonts w:asciiTheme="minorHAnsi" w:hAnsiTheme="minorHAnsi" w:cstheme="minorHAnsi"/>
          <w:szCs w:val="24"/>
          <w:lang w:val="es-ES_tradnl"/>
        </w:rPr>
        <w:t>: Documento 3/27)</w:t>
      </w:r>
    </w:p>
    <w:p w:rsidR="0086264D" w:rsidRPr="00E33F15" w:rsidRDefault="0086264D" w:rsidP="0086264D">
      <w:pPr>
        <w:spacing w:before="360" w:line="240" w:lineRule="auto"/>
        <w:jc w:val="center"/>
        <w:rPr>
          <w:rFonts w:asciiTheme="minorHAnsi" w:hAnsiTheme="minorHAnsi" w:cstheme="minorHAnsi"/>
          <w:b/>
          <w:bCs/>
          <w:sz w:val="28"/>
          <w:szCs w:val="28"/>
          <w:lang w:val="es-ES_tradnl"/>
        </w:rPr>
      </w:pPr>
      <w:r w:rsidRPr="00E33F15">
        <w:rPr>
          <w:rFonts w:asciiTheme="minorHAnsi" w:hAnsiTheme="minorHAnsi" w:cstheme="minorHAnsi"/>
          <w:b/>
          <w:bCs/>
          <w:sz w:val="28"/>
          <w:szCs w:val="28"/>
          <w:lang w:val="es-ES_tradnl"/>
        </w:rPr>
        <w:t>Recomendación cuya supresión se propone</w:t>
      </w:r>
    </w:p>
    <w:p w:rsidR="0086264D" w:rsidRPr="00AA7806" w:rsidRDefault="0086264D" w:rsidP="0086264D">
      <w:pPr>
        <w:spacing w:before="360" w:line="240" w:lineRule="auto"/>
        <w:jc w:val="center"/>
        <w:rPr>
          <w:rFonts w:asciiTheme="minorHAnsi" w:hAnsiTheme="minorHAnsi" w:cstheme="minorHAnsi"/>
          <w:b/>
          <w:bCs/>
          <w:szCs w:val="24"/>
          <w:lang w:val="es-ES_tradnl"/>
        </w:rPr>
      </w:pPr>
    </w:p>
    <w:tbl>
      <w:tblPr>
        <w:tblStyle w:val="TableGrid"/>
        <w:tblW w:w="0" w:type="auto"/>
        <w:jc w:val="center"/>
        <w:tblLook w:val="04A0" w:firstRow="1" w:lastRow="0" w:firstColumn="1" w:lastColumn="0" w:noHBand="0" w:noVBand="1"/>
      </w:tblPr>
      <w:tblGrid>
        <w:gridCol w:w="2819"/>
        <w:gridCol w:w="5670"/>
      </w:tblGrid>
      <w:tr w:rsidR="0086264D" w:rsidRPr="00AA7806" w:rsidTr="009E1C48">
        <w:trPr>
          <w:jc w:val="center"/>
        </w:trPr>
        <w:tc>
          <w:tcPr>
            <w:tcW w:w="2819" w:type="dxa"/>
            <w:vAlign w:val="center"/>
          </w:tcPr>
          <w:p w:rsidR="0086264D" w:rsidRPr="00AA7806" w:rsidRDefault="0086264D" w:rsidP="009E1C48">
            <w:pPr>
              <w:pStyle w:val="Tablehead"/>
              <w:rPr>
                <w:rFonts w:asciiTheme="minorHAnsi" w:hAnsiTheme="minorHAnsi" w:cstheme="minorHAnsi"/>
                <w:lang w:val="es-ES_tradnl"/>
              </w:rPr>
            </w:pPr>
            <w:r w:rsidRPr="00AA7806">
              <w:rPr>
                <w:rFonts w:asciiTheme="minorHAnsi" w:hAnsiTheme="minorHAnsi" w:cstheme="minorHAnsi"/>
                <w:lang w:val="es-ES_tradnl"/>
              </w:rPr>
              <w:t>Recomendación UIT-R</w:t>
            </w:r>
          </w:p>
        </w:tc>
        <w:tc>
          <w:tcPr>
            <w:tcW w:w="5670" w:type="dxa"/>
            <w:vAlign w:val="center"/>
          </w:tcPr>
          <w:p w:rsidR="0086264D" w:rsidRPr="00AA7806" w:rsidRDefault="0086264D" w:rsidP="009E1C48">
            <w:pPr>
              <w:pStyle w:val="Tablehead"/>
              <w:rPr>
                <w:rFonts w:asciiTheme="minorHAnsi" w:hAnsiTheme="minorHAnsi" w:cstheme="minorHAnsi"/>
                <w:lang w:val="es-ES_tradnl"/>
              </w:rPr>
            </w:pPr>
            <w:r w:rsidRPr="00AA7806">
              <w:rPr>
                <w:rFonts w:asciiTheme="minorHAnsi" w:hAnsiTheme="minorHAnsi" w:cstheme="minorHAnsi"/>
                <w:lang w:val="es-ES_tradnl"/>
              </w:rPr>
              <w:t>Título</w:t>
            </w:r>
          </w:p>
        </w:tc>
      </w:tr>
      <w:tr w:rsidR="0086264D" w:rsidRPr="00E33F15" w:rsidTr="009E1C48">
        <w:trPr>
          <w:jc w:val="center"/>
        </w:trPr>
        <w:tc>
          <w:tcPr>
            <w:tcW w:w="2819" w:type="dxa"/>
            <w:vAlign w:val="center"/>
          </w:tcPr>
          <w:p w:rsidR="0086264D" w:rsidRPr="00AA7806" w:rsidRDefault="0086264D" w:rsidP="009E1C48">
            <w:pPr>
              <w:pStyle w:val="Tabletext"/>
              <w:jc w:val="center"/>
              <w:rPr>
                <w:rFonts w:asciiTheme="minorHAnsi" w:hAnsiTheme="minorHAnsi" w:cstheme="minorHAnsi"/>
                <w:lang w:val="es-ES_tradnl"/>
              </w:rPr>
            </w:pPr>
            <w:r w:rsidRPr="00AA7806">
              <w:rPr>
                <w:rFonts w:asciiTheme="minorHAnsi" w:hAnsiTheme="minorHAnsi" w:cstheme="minorHAnsi"/>
                <w:lang w:val="es-ES_tradnl"/>
              </w:rPr>
              <w:t>P.313-11</w:t>
            </w:r>
          </w:p>
        </w:tc>
        <w:tc>
          <w:tcPr>
            <w:tcW w:w="5670" w:type="dxa"/>
            <w:vAlign w:val="center"/>
          </w:tcPr>
          <w:p w:rsidR="0086264D" w:rsidRPr="00AA7806" w:rsidRDefault="0086264D" w:rsidP="00E33F15">
            <w:pPr>
              <w:pStyle w:val="Tabletext"/>
              <w:rPr>
                <w:rFonts w:asciiTheme="minorHAnsi" w:hAnsiTheme="minorHAnsi" w:cstheme="minorHAnsi"/>
                <w:b/>
                <w:iCs/>
                <w:lang w:val="es-ES_tradnl"/>
              </w:rPr>
            </w:pPr>
            <w:r w:rsidRPr="00AA7806">
              <w:rPr>
                <w:rFonts w:asciiTheme="minorHAnsi" w:hAnsiTheme="minorHAnsi" w:cstheme="minorHAnsi"/>
                <w:color w:val="000000"/>
                <w:szCs w:val="20"/>
                <w:lang w:val="es-ES_tradnl"/>
              </w:rPr>
              <w:t>Intercambio de observaciones para predicciones a corto plazo y transmisión de avisos de perturbaciones ionosféricas</w:t>
            </w:r>
            <w:r w:rsidRPr="00AA7806">
              <w:rPr>
                <w:rFonts w:asciiTheme="minorHAnsi" w:hAnsiTheme="minorHAnsi" w:cstheme="minorHAnsi"/>
                <w:lang w:val="es-ES_tradnl"/>
              </w:rPr>
              <w:t>.</w:t>
            </w:r>
          </w:p>
        </w:tc>
      </w:tr>
    </w:tbl>
    <w:p w:rsidR="0086264D" w:rsidRPr="00AA7806" w:rsidRDefault="0086264D" w:rsidP="0086264D">
      <w:pPr>
        <w:spacing w:line="240" w:lineRule="auto"/>
        <w:rPr>
          <w:lang w:val="es-ES_tradnl"/>
        </w:rPr>
      </w:pPr>
    </w:p>
    <w:p w:rsidR="00B43E2C" w:rsidRDefault="00B43E2C" w:rsidP="0032202E">
      <w:pPr>
        <w:pStyle w:val="Reasons"/>
        <w:rPr>
          <w:lang w:val="es-ES_tradnl"/>
        </w:rPr>
      </w:pPr>
    </w:p>
    <w:p w:rsidR="0043260E" w:rsidRPr="00AA7806" w:rsidRDefault="0043260E" w:rsidP="0032202E">
      <w:pPr>
        <w:pStyle w:val="Reasons"/>
        <w:rPr>
          <w:lang w:val="es-ES_tradnl"/>
        </w:rPr>
      </w:pPr>
    </w:p>
    <w:p w:rsidR="00B43E2C" w:rsidRPr="00AA7806" w:rsidRDefault="00B43E2C">
      <w:pPr>
        <w:jc w:val="center"/>
        <w:rPr>
          <w:lang w:val="es-ES_tradnl"/>
        </w:rPr>
      </w:pPr>
      <w:r w:rsidRPr="00AA7806">
        <w:rPr>
          <w:lang w:val="es-ES_tradnl"/>
        </w:rPr>
        <w:t>______________</w:t>
      </w:r>
    </w:p>
    <w:sectPr w:rsidR="00B43E2C" w:rsidRPr="00AA7806"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8AE" w:rsidRDefault="001D28AE">
      <w:r>
        <w:separator/>
      </w:r>
    </w:p>
  </w:endnote>
  <w:endnote w:type="continuationSeparator" w:id="0">
    <w:p w:rsidR="001D28AE" w:rsidRDefault="001D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8AE" w:rsidRDefault="001D28AE">
      <w:r>
        <w:t>____________________</w:t>
      </w:r>
    </w:p>
  </w:footnote>
  <w:footnote w:type="continuationSeparator" w:id="0">
    <w:p w:rsidR="001D28AE" w:rsidRDefault="001D2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43260E" w:rsidRDefault="0043260E" w:rsidP="0043260E">
    <w:pPr>
      <w:pStyle w:val="Header"/>
      <w:jc w:val="center"/>
      <w:rPr>
        <w:sz w:val="18"/>
        <w:szCs w:val="18"/>
      </w:rPr>
    </w:pPr>
    <w:r>
      <w:rPr>
        <w:sz w:val="18"/>
        <w:szCs w:val="18"/>
      </w:rPr>
      <w:t>-</w:t>
    </w:r>
    <w:r w:rsidR="00E915AF" w:rsidRPr="0043260E">
      <w:rPr>
        <w:sz w:val="18"/>
        <w:szCs w:val="18"/>
      </w:rPr>
      <w:t xml:space="preserve"> </w:t>
    </w:r>
    <w:r w:rsidR="001B42C9" w:rsidRPr="0043260E">
      <w:rPr>
        <w:rStyle w:val="PageNumber"/>
        <w:sz w:val="18"/>
        <w:szCs w:val="18"/>
      </w:rPr>
      <w:fldChar w:fldCharType="begin"/>
    </w:r>
    <w:r w:rsidR="00E915AF" w:rsidRPr="0043260E">
      <w:rPr>
        <w:rStyle w:val="PageNumber"/>
        <w:sz w:val="18"/>
        <w:szCs w:val="18"/>
      </w:rPr>
      <w:instrText xml:space="preserve"> PAGE </w:instrText>
    </w:r>
    <w:r w:rsidR="001B42C9" w:rsidRPr="0043260E">
      <w:rPr>
        <w:rStyle w:val="PageNumber"/>
        <w:sz w:val="18"/>
        <w:szCs w:val="18"/>
      </w:rPr>
      <w:fldChar w:fldCharType="separate"/>
    </w:r>
    <w:r w:rsidR="00E33F15">
      <w:rPr>
        <w:rStyle w:val="PageNumber"/>
        <w:noProof/>
        <w:sz w:val="18"/>
        <w:szCs w:val="18"/>
      </w:rPr>
      <w:t>12</w:t>
    </w:r>
    <w:r w:rsidR="001B42C9" w:rsidRPr="0043260E">
      <w:rPr>
        <w:rStyle w:val="PageNumber"/>
        <w:sz w:val="18"/>
        <w:szCs w:val="18"/>
      </w:rPr>
      <w:fldChar w:fldCharType="end"/>
    </w:r>
    <w:r w:rsidR="00E915AF" w:rsidRPr="0043260E">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43260E" w:rsidRDefault="0043260E" w:rsidP="0043260E">
    <w:pPr>
      <w:pStyle w:val="Header"/>
      <w:jc w:val="center"/>
      <w:rPr>
        <w:iCs/>
        <w:sz w:val="18"/>
        <w:szCs w:val="18"/>
      </w:rPr>
    </w:pPr>
    <w:r>
      <w:rPr>
        <w:sz w:val="18"/>
        <w:szCs w:val="18"/>
      </w:rPr>
      <w:t>-</w:t>
    </w:r>
    <w:r w:rsidR="00E252F8" w:rsidRPr="0043260E">
      <w:rPr>
        <w:sz w:val="18"/>
        <w:szCs w:val="18"/>
      </w:rPr>
      <w:t xml:space="preserve"> </w:t>
    </w:r>
    <w:r w:rsidR="001B42C9" w:rsidRPr="0043260E">
      <w:rPr>
        <w:iCs/>
        <w:sz w:val="18"/>
        <w:szCs w:val="18"/>
      </w:rPr>
      <w:fldChar w:fldCharType="begin"/>
    </w:r>
    <w:r w:rsidR="00E915AF" w:rsidRPr="0043260E">
      <w:rPr>
        <w:iCs/>
        <w:sz w:val="18"/>
        <w:szCs w:val="18"/>
      </w:rPr>
      <w:instrText xml:space="preserve"> PAGE  \* MERGEFORMAT </w:instrText>
    </w:r>
    <w:r w:rsidR="001B42C9" w:rsidRPr="0043260E">
      <w:rPr>
        <w:iCs/>
        <w:sz w:val="18"/>
        <w:szCs w:val="18"/>
      </w:rPr>
      <w:fldChar w:fldCharType="separate"/>
    </w:r>
    <w:r w:rsidR="00E33F15">
      <w:rPr>
        <w:iCs/>
        <w:noProof/>
        <w:sz w:val="18"/>
        <w:szCs w:val="18"/>
      </w:rPr>
      <w:t>13</w:t>
    </w:r>
    <w:r w:rsidR="001B42C9" w:rsidRPr="0043260E">
      <w:rPr>
        <w:iCs/>
        <w:sz w:val="18"/>
        <w:szCs w:val="18"/>
      </w:rPr>
      <w:fldChar w:fldCharType="end"/>
    </w:r>
    <w:r w:rsidR="00E252F8" w:rsidRPr="0043260E">
      <w:rPr>
        <w:iCs/>
        <w:sz w:val="18"/>
        <w:szCs w:val="18"/>
      </w:rPr>
      <w:t xml:space="preserve"> </w:t>
    </w:r>
    <w:r>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108CEEE7" wp14:editId="09B5CC91">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1D28A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28AE"/>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1481"/>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0E"/>
    <w:rsid w:val="004326DB"/>
    <w:rsid w:val="0043682E"/>
    <w:rsid w:val="00447ECB"/>
    <w:rsid w:val="004623F7"/>
    <w:rsid w:val="00480F51"/>
    <w:rsid w:val="00481124"/>
    <w:rsid w:val="004815EB"/>
    <w:rsid w:val="00487569"/>
    <w:rsid w:val="004910A6"/>
    <w:rsid w:val="00496864"/>
    <w:rsid w:val="00496920"/>
    <w:rsid w:val="004A4496"/>
    <w:rsid w:val="004A5F47"/>
    <w:rsid w:val="004B11AB"/>
    <w:rsid w:val="004B7C9A"/>
    <w:rsid w:val="004C3A0E"/>
    <w:rsid w:val="004C6779"/>
    <w:rsid w:val="004D733B"/>
    <w:rsid w:val="004E0DC4"/>
    <w:rsid w:val="004E0FB5"/>
    <w:rsid w:val="004E3437"/>
    <w:rsid w:val="004E43BB"/>
    <w:rsid w:val="004E460D"/>
    <w:rsid w:val="004F178E"/>
    <w:rsid w:val="004F4543"/>
    <w:rsid w:val="004F57BB"/>
    <w:rsid w:val="00505309"/>
    <w:rsid w:val="0050789B"/>
    <w:rsid w:val="0051116F"/>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1447"/>
    <w:rsid w:val="005C7C41"/>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14B16"/>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6264D"/>
    <w:rsid w:val="0087694B"/>
    <w:rsid w:val="00880F4D"/>
    <w:rsid w:val="008B35A3"/>
    <w:rsid w:val="008B37E1"/>
    <w:rsid w:val="008B45F8"/>
    <w:rsid w:val="008C2E74"/>
    <w:rsid w:val="008D5409"/>
    <w:rsid w:val="008E006D"/>
    <w:rsid w:val="008E3878"/>
    <w:rsid w:val="008E38B4"/>
    <w:rsid w:val="008F4F21"/>
    <w:rsid w:val="00904D4A"/>
    <w:rsid w:val="009076D7"/>
    <w:rsid w:val="009151BA"/>
    <w:rsid w:val="00925023"/>
    <w:rsid w:val="009277BC"/>
    <w:rsid w:val="00927D57"/>
    <w:rsid w:val="00931A51"/>
    <w:rsid w:val="00947185"/>
    <w:rsid w:val="009518B3"/>
    <w:rsid w:val="0095369D"/>
    <w:rsid w:val="00963D9D"/>
    <w:rsid w:val="0098013E"/>
    <w:rsid w:val="00981B54"/>
    <w:rsid w:val="009842C3"/>
    <w:rsid w:val="009A009A"/>
    <w:rsid w:val="009A6BB6"/>
    <w:rsid w:val="009B3F43"/>
    <w:rsid w:val="009B5CFA"/>
    <w:rsid w:val="009C161F"/>
    <w:rsid w:val="009C56B4"/>
    <w:rsid w:val="009D51A2"/>
    <w:rsid w:val="009E04A8"/>
    <w:rsid w:val="009E1C48"/>
    <w:rsid w:val="009E4AEC"/>
    <w:rsid w:val="009E5BD8"/>
    <w:rsid w:val="009E681E"/>
    <w:rsid w:val="00A119E6"/>
    <w:rsid w:val="00A20FBC"/>
    <w:rsid w:val="00A31370"/>
    <w:rsid w:val="00A34D6F"/>
    <w:rsid w:val="00A41F91"/>
    <w:rsid w:val="00A570B6"/>
    <w:rsid w:val="00A63355"/>
    <w:rsid w:val="00A7596D"/>
    <w:rsid w:val="00A963DF"/>
    <w:rsid w:val="00A96D3A"/>
    <w:rsid w:val="00AA7806"/>
    <w:rsid w:val="00AC0C22"/>
    <w:rsid w:val="00AC3896"/>
    <w:rsid w:val="00AD2CF2"/>
    <w:rsid w:val="00AE2D88"/>
    <w:rsid w:val="00AE6F6F"/>
    <w:rsid w:val="00AF3325"/>
    <w:rsid w:val="00AF34D9"/>
    <w:rsid w:val="00AF70DA"/>
    <w:rsid w:val="00B019D3"/>
    <w:rsid w:val="00B34CF9"/>
    <w:rsid w:val="00B37559"/>
    <w:rsid w:val="00B4054B"/>
    <w:rsid w:val="00B43E2C"/>
    <w:rsid w:val="00B579B0"/>
    <w:rsid w:val="00B57D11"/>
    <w:rsid w:val="00B649D7"/>
    <w:rsid w:val="00B66333"/>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08CF"/>
    <w:rsid w:val="00D6098D"/>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2F8"/>
    <w:rsid w:val="00E25BB1"/>
    <w:rsid w:val="00E27BBA"/>
    <w:rsid w:val="00E30E3F"/>
    <w:rsid w:val="00E33F15"/>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BodyTextIndent">
    <w:name w:val="Body Text Indent"/>
    <w:basedOn w:val="Normal"/>
    <w:link w:val="BodyTextIndentChar"/>
    <w:rsid w:val="0086264D"/>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86264D"/>
    <w:rPr>
      <w:rFonts w:ascii="Times New Roman" w:hAnsi="Times New Roman" w:cs="Times New Roman"/>
      <w:sz w:val="16"/>
      <w:lang w:val="en-GB" w:eastAsia="en-US"/>
    </w:rPr>
  </w:style>
  <w:style w:type="paragraph" w:customStyle="1" w:styleId="AnnexNotitle0">
    <w:name w:val="Annex_No &amp; title"/>
    <w:basedOn w:val="Normal"/>
    <w:next w:val="Normalaftertitle"/>
    <w:uiPriority w:val="99"/>
    <w:rsid w:val="0086264D"/>
    <w:pPr>
      <w:keepNext/>
      <w:keepLines/>
      <w:spacing w:before="480" w:line="240" w:lineRule="auto"/>
      <w:jc w:val="center"/>
    </w:pPr>
    <w:rPr>
      <w:rFonts w:ascii="Times New Roman" w:hAnsi="Times New Roman" w:cs="Times New Roman"/>
      <w:b/>
      <w:sz w:val="28"/>
      <w:szCs w:val="20"/>
      <w:lang w:val="en-GB"/>
    </w:rPr>
  </w:style>
  <w:style w:type="table" w:styleId="TableGrid">
    <w:name w:val="Table Grid"/>
    <w:basedOn w:val="TableNormal"/>
    <w:rsid w:val="00862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86264D"/>
    <w:rPr>
      <w:sz w:val="24"/>
      <w:szCs w:val="22"/>
      <w:lang w:val="en-US" w:eastAsia="en-US"/>
    </w:rPr>
  </w:style>
  <w:style w:type="paragraph" w:customStyle="1" w:styleId="Summary">
    <w:name w:val="Summary"/>
    <w:basedOn w:val="Normal"/>
    <w:next w:val="Normal"/>
    <w:rsid w:val="0086264D"/>
    <w:pPr>
      <w:spacing w:before="120" w:after="480" w:line="240" w:lineRule="auto"/>
    </w:pPr>
    <w:rPr>
      <w:rFonts w:ascii="Times New Roman" w:hAnsi="Times New Roman" w:cs="Times New Roman"/>
      <w:sz w:val="22"/>
      <w:szCs w:val="20"/>
      <w:lang w:val="es-ES_tradnl"/>
    </w:rPr>
  </w:style>
  <w:style w:type="character" w:styleId="FollowedHyperlink">
    <w:name w:val="FollowedHyperlink"/>
    <w:basedOn w:val="DefaultParagraphFont"/>
    <w:rsid w:val="00D6098D"/>
    <w:rPr>
      <w:color w:val="800080" w:themeColor="followedHyperlink"/>
      <w:u w:val="single"/>
    </w:rPr>
  </w:style>
  <w:style w:type="paragraph" w:customStyle="1" w:styleId="Reasons">
    <w:name w:val="Reasons"/>
    <w:basedOn w:val="Normal"/>
    <w:qFormat/>
    <w:rsid w:val="00B43E2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BodyTextIndent">
    <w:name w:val="Body Text Indent"/>
    <w:basedOn w:val="Normal"/>
    <w:link w:val="BodyTextIndentChar"/>
    <w:rsid w:val="0086264D"/>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86264D"/>
    <w:rPr>
      <w:rFonts w:ascii="Times New Roman" w:hAnsi="Times New Roman" w:cs="Times New Roman"/>
      <w:sz w:val="16"/>
      <w:lang w:val="en-GB" w:eastAsia="en-US"/>
    </w:rPr>
  </w:style>
  <w:style w:type="paragraph" w:customStyle="1" w:styleId="AnnexNotitle0">
    <w:name w:val="Annex_No &amp; title"/>
    <w:basedOn w:val="Normal"/>
    <w:next w:val="Normalaftertitle"/>
    <w:uiPriority w:val="99"/>
    <w:rsid w:val="0086264D"/>
    <w:pPr>
      <w:keepNext/>
      <w:keepLines/>
      <w:spacing w:before="480" w:line="240" w:lineRule="auto"/>
      <w:jc w:val="center"/>
    </w:pPr>
    <w:rPr>
      <w:rFonts w:ascii="Times New Roman" w:hAnsi="Times New Roman" w:cs="Times New Roman"/>
      <w:b/>
      <w:sz w:val="28"/>
      <w:szCs w:val="20"/>
      <w:lang w:val="en-GB"/>
    </w:rPr>
  </w:style>
  <w:style w:type="table" w:styleId="TableGrid">
    <w:name w:val="Table Grid"/>
    <w:basedOn w:val="TableNormal"/>
    <w:rsid w:val="00862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86264D"/>
    <w:rPr>
      <w:sz w:val="24"/>
      <w:szCs w:val="22"/>
      <w:lang w:val="en-US" w:eastAsia="en-US"/>
    </w:rPr>
  </w:style>
  <w:style w:type="paragraph" w:customStyle="1" w:styleId="Summary">
    <w:name w:val="Summary"/>
    <w:basedOn w:val="Normal"/>
    <w:next w:val="Normal"/>
    <w:rsid w:val="0086264D"/>
    <w:pPr>
      <w:spacing w:before="120" w:after="480" w:line="240" w:lineRule="auto"/>
    </w:pPr>
    <w:rPr>
      <w:rFonts w:ascii="Times New Roman" w:hAnsi="Times New Roman" w:cs="Times New Roman"/>
      <w:sz w:val="22"/>
      <w:szCs w:val="20"/>
      <w:lang w:val="es-ES_tradnl"/>
    </w:rPr>
  </w:style>
  <w:style w:type="character" w:styleId="FollowedHyperlink">
    <w:name w:val="FollowedHyperlink"/>
    <w:basedOn w:val="DefaultParagraphFont"/>
    <w:rsid w:val="00D6098D"/>
    <w:rPr>
      <w:color w:val="800080" w:themeColor="followedHyperlink"/>
      <w:u w:val="single"/>
    </w:rPr>
  </w:style>
  <w:style w:type="paragraph" w:customStyle="1" w:styleId="Reasons">
    <w:name w:val="Reasons"/>
    <w:basedOn w:val="Normal"/>
    <w:qFormat/>
    <w:rsid w:val="00B43E2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oth/R0A04000062/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3-c"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rec/R-REC-P/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riano\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E8878-84F5-4910-B283-551D630C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Template>
  <TotalTime>13</TotalTime>
  <Pages>13</Pages>
  <Words>3407</Words>
  <Characters>18831</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22194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Soriano, Manuel</dc:creator>
  <cp:lastModifiedBy>capdessu</cp:lastModifiedBy>
  <cp:revision>4</cp:revision>
  <cp:lastPrinted>2013-07-30T08:54:00Z</cp:lastPrinted>
  <dcterms:created xsi:type="dcterms:W3CDTF">2013-07-30T08:52:00Z</dcterms:created>
  <dcterms:modified xsi:type="dcterms:W3CDTF">2013-07-30T09:53:00Z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