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02491A" w:rsidRDefault="00A96D3A" w:rsidP="006160CB">
            <w:pPr>
              <w:spacing w:before="0"/>
              <w:jc w:val="left"/>
              <w:rPr>
                <w:sz w:val="24"/>
                <w:szCs w:val="24"/>
                <w:lang w:val="fr-CH"/>
              </w:rPr>
            </w:pPr>
            <w:r w:rsidRPr="0002491A">
              <w:rPr>
                <w:sz w:val="24"/>
                <w:szCs w:val="24"/>
              </w:rPr>
              <w:t>Circular Administrativa</w:t>
            </w:r>
          </w:p>
          <w:p w:rsidR="00E53DCE" w:rsidRPr="0002491A" w:rsidRDefault="00E53DCE" w:rsidP="00591F7F">
            <w:pPr>
              <w:spacing w:before="0"/>
              <w:jc w:val="left"/>
              <w:rPr>
                <w:b/>
                <w:bCs/>
                <w:sz w:val="24"/>
                <w:szCs w:val="24"/>
                <w:lang w:val="fr-CH"/>
              </w:rPr>
            </w:pPr>
            <w:r w:rsidRPr="0002491A">
              <w:rPr>
                <w:b/>
                <w:bCs/>
                <w:sz w:val="24"/>
                <w:szCs w:val="24"/>
                <w:lang w:val="fr-CH"/>
              </w:rPr>
              <w:t>CA</w:t>
            </w:r>
            <w:r w:rsidR="002509FF" w:rsidRPr="0002491A">
              <w:rPr>
                <w:b/>
                <w:bCs/>
                <w:sz w:val="24"/>
                <w:szCs w:val="24"/>
                <w:lang w:val="fr-CH"/>
              </w:rPr>
              <w:t>CE</w:t>
            </w:r>
            <w:r w:rsidRPr="0002491A">
              <w:rPr>
                <w:b/>
                <w:bCs/>
                <w:sz w:val="24"/>
                <w:szCs w:val="24"/>
                <w:lang w:val="fr-CH"/>
              </w:rPr>
              <w:t>/</w:t>
            </w:r>
            <w:r w:rsidR="00591F7F" w:rsidRPr="0002491A">
              <w:rPr>
                <w:b/>
                <w:bCs/>
                <w:sz w:val="24"/>
                <w:szCs w:val="24"/>
                <w:lang w:val="fr-CH"/>
              </w:rPr>
              <w:t>616</w:t>
            </w:r>
          </w:p>
        </w:tc>
        <w:tc>
          <w:tcPr>
            <w:tcW w:w="2835" w:type="dxa"/>
            <w:shd w:val="clear" w:color="auto" w:fill="auto"/>
          </w:tcPr>
          <w:p w:rsidR="00E53DCE" w:rsidRPr="0002491A" w:rsidRDefault="00591F7F" w:rsidP="00591F7F">
            <w:pPr>
              <w:spacing w:before="0"/>
              <w:jc w:val="right"/>
              <w:rPr>
                <w:sz w:val="24"/>
                <w:szCs w:val="24"/>
                <w:lang w:val="en-GB"/>
              </w:rPr>
            </w:pPr>
            <w:r w:rsidRPr="0002491A">
              <w:rPr>
                <w:bCs/>
                <w:sz w:val="24"/>
                <w:szCs w:val="24"/>
              </w:rPr>
              <w:t>28</w:t>
            </w:r>
            <w:r w:rsidR="00A96D3A" w:rsidRPr="0002491A">
              <w:rPr>
                <w:bCs/>
                <w:sz w:val="24"/>
                <w:szCs w:val="24"/>
              </w:rPr>
              <w:t xml:space="preserve"> de </w:t>
            </w:r>
            <w:r w:rsidRPr="0002491A">
              <w:rPr>
                <w:bCs/>
                <w:sz w:val="24"/>
                <w:szCs w:val="24"/>
              </w:rPr>
              <w:t>junio</w:t>
            </w:r>
            <w:r w:rsidR="00A96D3A" w:rsidRPr="0002491A">
              <w:rPr>
                <w:bCs/>
                <w:sz w:val="24"/>
                <w:szCs w:val="24"/>
              </w:rPr>
              <w:t xml:space="preserve"> de 2013</w:t>
            </w:r>
          </w:p>
        </w:tc>
      </w:tr>
      <w:tr w:rsidR="00E53DCE" w:rsidRPr="003266ED" w:rsidTr="006160CB">
        <w:tc>
          <w:tcPr>
            <w:tcW w:w="9889" w:type="dxa"/>
            <w:gridSpan w:val="3"/>
            <w:shd w:val="clear" w:color="auto" w:fill="auto"/>
          </w:tcPr>
          <w:p w:rsidR="00E53DCE" w:rsidRPr="0002491A"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02491A" w:rsidRDefault="00E53DCE" w:rsidP="006160CB">
            <w:pPr>
              <w:spacing w:before="0"/>
              <w:jc w:val="left"/>
              <w:rPr>
                <w:sz w:val="24"/>
                <w:szCs w:val="24"/>
              </w:rPr>
            </w:pPr>
          </w:p>
        </w:tc>
      </w:tr>
      <w:tr w:rsidR="00E53DCE" w:rsidRPr="0002491A" w:rsidTr="006160CB">
        <w:tc>
          <w:tcPr>
            <w:tcW w:w="9889" w:type="dxa"/>
            <w:gridSpan w:val="3"/>
            <w:shd w:val="clear" w:color="auto" w:fill="auto"/>
          </w:tcPr>
          <w:p w:rsidR="00E53DCE" w:rsidRPr="0002491A" w:rsidRDefault="002509FF" w:rsidP="00591F7F">
            <w:pPr>
              <w:tabs>
                <w:tab w:val="left" w:pos="7513"/>
              </w:tabs>
              <w:spacing w:before="0"/>
              <w:jc w:val="left"/>
              <w:rPr>
                <w:b/>
                <w:bCs/>
                <w:sz w:val="24"/>
                <w:szCs w:val="24"/>
                <w:lang w:val="es-ES_tradnl"/>
              </w:rPr>
            </w:pPr>
            <w:r w:rsidRPr="0002491A">
              <w:rPr>
                <w:b/>
                <w:bCs/>
                <w:sz w:val="24"/>
                <w:szCs w:val="24"/>
                <w:lang w:val="es-ES_tradnl"/>
              </w:rPr>
              <w:t>A las Administraciones de los Estados Miembros de la UIT, a los Miembros de</w:t>
            </w:r>
            <w:r w:rsidR="00591F7F" w:rsidRPr="0002491A">
              <w:rPr>
                <w:b/>
                <w:bCs/>
                <w:sz w:val="24"/>
                <w:szCs w:val="24"/>
                <w:lang w:val="es-ES_tradnl"/>
              </w:rPr>
              <w:t>l Sector de Radiocomunicaciones y</w:t>
            </w:r>
            <w:r w:rsidRPr="0002491A">
              <w:rPr>
                <w:b/>
                <w:bCs/>
                <w:sz w:val="24"/>
                <w:szCs w:val="24"/>
                <w:lang w:val="es-ES_tradnl"/>
              </w:rPr>
              <w:t xml:space="preserve"> los Asociados del UIT-R que participan en los trabajos de la </w:t>
            </w:r>
            <w:r w:rsidR="00957072" w:rsidRPr="0002491A">
              <w:rPr>
                <w:b/>
                <w:bCs/>
                <w:sz w:val="24"/>
                <w:szCs w:val="24"/>
                <w:lang w:val="es-ES_tradnl"/>
              </w:rPr>
              <w:br/>
            </w:r>
            <w:r w:rsidRPr="0002491A">
              <w:rPr>
                <w:b/>
                <w:bCs/>
                <w:sz w:val="24"/>
                <w:szCs w:val="24"/>
                <w:lang w:val="es-ES_tradnl"/>
              </w:rPr>
              <w:t xml:space="preserve">Comisión de Estudio </w:t>
            </w:r>
            <w:r w:rsidR="00591F7F" w:rsidRPr="0002491A">
              <w:rPr>
                <w:b/>
                <w:bCs/>
                <w:sz w:val="24"/>
                <w:szCs w:val="24"/>
                <w:lang w:val="es-ES_tradnl"/>
              </w:rPr>
              <w:t>1</w:t>
            </w:r>
            <w:r w:rsidRPr="0002491A">
              <w:rPr>
                <w:b/>
                <w:bCs/>
                <w:sz w:val="24"/>
                <w:szCs w:val="24"/>
                <w:lang w:val="es-ES_tradnl"/>
              </w:rPr>
              <w:t xml:space="preserve"> de Radiocomunicaciones </w:t>
            </w:r>
          </w:p>
        </w:tc>
      </w:tr>
      <w:tr w:rsidR="00E53DCE" w:rsidRPr="0002491A" w:rsidTr="006160CB">
        <w:tc>
          <w:tcPr>
            <w:tcW w:w="9889" w:type="dxa"/>
            <w:gridSpan w:val="3"/>
            <w:shd w:val="clear" w:color="auto" w:fill="auto"/>
          </w:tcPr>
          <w:p w:rsidR="00E53DCE" w:rsidRPr="0002491A" w:rsidRDefault="00E53DCE" w:rsidP="006160CB">
            <w:pPr>
              <w:spacing w:before="0"/>
              <w:jc w:val="left"/>
              <w:rPr>
                <w:sz w:val="24"/>
                <w:szCs w:val="24"/>
                <w:lang w:val="es-ES"/>
              </w:rPr>
            </w:pPr>
          </w:p>
        </w:tc>
      </w:tr>
      <w:tr w:rsidR="00E53DCE" w:rsidRPr="0002491A" w:rsidTr="006160CB">
        <w:tc>
          <w:tcPr>
            <w:tcW w:w="9889" w:type="dxa"/>
            <w:gridSpan w:val="3"/>
            <w:shd w:val="clear" w:color="auto" w:fill="auto"/>
          </w:tcPr>
          <w:p w:rsidR="00E53DCE" w:rsidRPr="0002491A" w:rsidRDefault="00E53DCE" w:rsidP="006160CB">
            <w:pPr>
              <w:spacing w:before="0"/>
              <w:jc w:val="left"/>
              <w:rPr>
                <w:sz w:val="24"/>
                <w:szCs w:val="24"/>
                <w:lang w:val="es-ES"/>
              </w:rPr>
            </w:pPr>
          </w:p>
        </w:tc>
      </w:tr>
      <w:tr w:rsidR="00E53DCE" w:rsidRPr="0002491A" w:rsidTr="00957072">
        <w:tc>
          <w:tcPr>
            <w:tcW w:w="1242" w:type="dxa"/>
            <w:shd w:val="clear" w:color="auto" w:fill="auto"/>
          </w:tcPr>
          <w:p w:rsidR="00E53DCE" w:rsidRPr="0002491A" w:rsidRDefault="00A96D3A" w:rsidP="006160CB">
            <w:pPr>
              <w:tabs>
                <w:tab w:val="clear" w:pos="1588"/>
                <w:tab w:val="left" w:pos="1560"/>
              </w:tabs>
              <w:spacing w:before="0"/>
              <w:jc w:val="left"/>
              <w:rPr>
                <w:sz w:val="24"/>
                <w:szCs w:val="24"/>
                <w:lang w:val="es-ES_tradnl"/>
              </w:rPr>
            </w:pPr>
            <w:r w:rsidRPr="0002491A">
              <w:rPr>
                <w:sz w:val="24"/>
                <w:szCs w:val="24"/>
                <w:lang w:val="es-ES_tradnl"/>
              </w:rPr>
              <w:t>Objeto:</w:t>
            </w:r>
          </w:p>
        </w:tc>
        <w:tc>
          <w:tcPr>
            <w:tcW w:w="8647" w:type="dxa"/>
            <w:gridSpan w:val="2"/>
            <w:vMerge w:val="restart"/>
            <w:shd w:val="clear" w:color="auto" w:fill="auto"/>
          </w:tcPr>
          <w:p w:rsidR="00E53DCE" w:rsidRPr="0002491A" w:rsidRDefault="002509FF" w:rsidP="00591F7F">
            <w:pPr>
              <w:tabs>
                <w:tab w:val="clear" w:pos="1588"/>
                <w:tab w:val="left" w:pos="1560"/>
              </w:tabs>
              <w:spacing w:before="0"/>
              <w:rPr>
                <w:b/>
                <w:sz w:val="24"/>
                <w:szCs w:val="24"/>
                <w:lang w:val="es-ES_tradnl"/>
              </w:rPr>
            </w:pPr>
            <w:r w:rsidRPr="0002491A">
              <w:rPr>
                <w:b/>
                <w:sz w:val="24"/>
                <w:szCs w:val="24"/>
                <w:lang w:val="es-ES_tradnl"/>
              </w:rPr>
              <w:t xml:space="preserve">Comisión de Estudio </w:t>
            </w:r>
            <w:r w:rsidR="00591F7F" w:rsidRPr="0002491A">
              <w:rPr>
                <w:b/>
                <w:sz w:val="24"/>
                <w:szCs w:val="24"/>
                <w:lang w:val="es-ES_tradnl"/>
              </w:rPr>
              <w:t>1</w:t>
            </w:r>
            <w:r w:rsidRPr="0002491A">
              <w:rPr>
                <w:b/>
                <w:sz w:val="24"/>
                <w:szCs w:val="24"/>
                <w:lang w:val="es-ES_tradnl"/>
              </w:rPr>
              <w:t xml:space="preserve"> de Radiocomunicaciones</w:t>
            </w:r>
            <w:r w:rsidR="00591F7F" w:rsidRPr="0002491A">
              <w:rPr>
                <w:b/>
                <w:sz w:val="24"/>
                <w:szCs w:val="24"/>
                <w:lang w:val="es-ES_tradnl"/>
              </w:rPr>
              <w:t xml:space="preserve"> (Gestión del espectro)</w:t>
            </w:r>
          </w:p>
          <w:p w:rsidR="002509FF" w:rsidRPr="0002491A" w:rsidRDefault="002509FF" w:rsidP="00591F7F">
            <w:pPr>
              <w:tabs>
                <w:tab w:val="clear" w:pos="794"/>
                <w:tab w:val="clear" w:pos="1588"/>
                <w:tab w:val="left" w:pos="1418"/>
              </w:tabs>
              <w:spacing w:before="240"/>
              <w:ind w:left="318" w:hanging="318"/>
              <w:rPr>
                <w:b/>
                <w:sz w:val="24"/>
                <w:szCs w:val="24"/>
                <w:lang w:val="es-ES_tradnl"/>
              </w:rPr>
            </w:pPr>
            <w:r w:rsidRPr="0002491A">
              <w:rPr>
                <w:b/>
                <w:sz w:val="24"/>
                <w:szCs w:val="24"/>
                <w:lang w:val="es-ES_tradnl"/>
              </w:rPr>
              <w:t>–</w:t>
            </w:r>
            <w:r w:rsidRPr="0002491A">
              <w:rPr>
                <w:b/>
                <w:sz w:val="24"/>
                <w:szCs w:val="24"/>
                <w:lang w:val="es-ES_tradnl"/>
              </w:rPr>
              <w:tab/>
              <w:t xml:space="preserve">Propuesta de adopción de </w:t>
            </w:r>
            <w:r w:rsidR="00591F7F" w:rsidRPr="0002491A">
              <w:rPr>
                <w:b/>
                <w:sz w:val="24"/>
                <w:szCs w:val="24"/>
                <w:lang w:val="es-ES_tradnl"/>
              </w:rPr>
              <w:t>1</w:t>
            </w:r>
            <w:r w:rsidRPr="0002491A">
              <w:rPr>
                <w:b/>
                <w:sz w:val="24"/>
                <w:szCs w:val="24"/>
                <w:lang w:val="es-ES_tradnl"/>
              </w:rPr>
              <w:t xml:space="preserve"> proyecto de nueva Recomendaci</w:t>
            </w:r>
            <w:r w:rsidR="00591F7F" w:rsidRPr="0002491A">
              <w:rPr>
                <w:b/>
                <w:sz w:val="24"/>
                <w:szCs w:val="24"/>
                <w:lang w:val="es-ES_tradnl"/>
              </w:rPr>
              <w:t>ón</w:t>
            </w:r>
            <w:r w:rsidRPr="0002491A">
              <w:rPr>
                <w:b/>
                <w:sz w:val="24"/>
                <w:szCs w:val="24"/>
                <w:lang w:val="es-ES_tradnl"/>
              </w:rPr>
              <w:t xml:space="preserve"> UIT-R y </w:t>
            </w:r>
            <w:r w:rsidR="00591F7F" w:rsidRPr="0002491A">
              <w:rPr>
                <w:b/>
                <w:sz w:val="24"/>
                <w:szCs w:val="24"/>
                <w:lang w:val="es-ES_tradnl"/>
              </w:rPr>
              <w:t>de 6 </w:t>
            </w:r>
            <w:r w:rsidRPr="0002491A">
              <w:rPr>
                <w:b/>
                <w:sz w:val="24"/>
                <w:szCs w:val="24"/>
                <w:lang w:val="es-ES_tradnl"/>
              </w:rPr>
              <w:t>proyectos de Recomendaciones UIT-R revisadas y su aprobación simultánea por correspondencia de conformidad con el § 10.3 de la Resolución UIT</w:t>
            </w:r>
            <w:r w:rsidRPr="0002491A">
              <w:rPr>
                <w:b/>
                <w:sz w:val="24"/>
                <w:szCs w:val="24"/>
                <w:lang w:val="es-ES_tradnl"/>
              </w:rPr>
              <w:noBreakHyphen/>
              <w:t>R 1</w:t>
            </w:r>
            <w:r w:rsidRPr="0002491A">
              <w:rPr>
                <w:b/>
                <w:sz w:val="24"/>
                <w:szCs w:val="24"/>
                <w:lang w:val="es-ES_tradnl"/>
              </w:rPr>
              <w:noBreakHyphen/>
              <w:t>6 (Procedimiento para la adopción y aprobación simultánea por correspondencia)</w:t>
            </w:r>
          </w:p>
        </w:tc>
      </w:tr>
      <w:tr w:rsidR="00E53DCE" w:rsidRPr="0002491A" w:rsidTr="00957072">
        <w:tc>
          <w:tcPr>
            <w:tcW w:w="1242" w:type="dxa"/>
            <w:shd w:val="clear" w:color="auto" w:fill="auto"/>
          </w:tcPr>
          <w:p w:rsidR="00E53DCE" w:rsidRPr="00591F7F" w:rsidRDefault="00E53DCE" w:rsidP="006160CB">
            <w:pPr>
              <w:tabs>
                <w:tab w:val="clear" w:pos="1588"/>
                <w:tab w:val="left" w:pos="1560"/>
              </w:tabs>
              <w:spacing w:before="0"/>
              <w:jc w:val="left"/>
              <w:rPr>
                <w:b/>
                <w:bCs/>
                <w:sz w:val="28"/>
                <w:szCs w:val="28"/>
                <w:lang w:val="es-ES_tradnl"/>
              </w:rPr>
            </w:pPr>
          </w:p>
        </w:tc>
        <w:tc>
          <w:tcPr>
            <w:tcW w:w="8647" w:type="dxa"/>
            <w:gridSpan w:val="2"/>
            <w:vMerge/>
            <w:shd w:val="clear" w:color="auto" w:fill="auto"/>
          </w:tcPr>
          <w:p w:rsidR="00E53DCE" w:rsidRPr="00591F7F" w:rsidRDefault="00E53DCE" w:rsidP="006160CB">
            <w:pPr>
              <w:tabs>
                <w:tab w:val="clear" w:pos="1588"/>
                <w:tab w:val="left" w:pos="1560"/>
              </w:tabs>
              <w:spacing w:before="0"/>
              <w:rPr>
                <w:b/>
                <w:bCs/>
                <w:sz w:val="28"/>
                <w:szCs w:val="28"/>
                <w:lang w:val="es-ES_tradnl"/>
              </w:rPr>
            </w:pPr>
          </w:p>
        </w:tc>
      </w:tr>
      <w:tr w:rsidR="00E53DCE" w:rsidRPr="0002491A" w:rsidTr="00957072">
        <w:tc>
          <w:tcPr>
            <w:tcW w:w="1242" w:type="dxa"/>
            <w:shd w:val="clear" w:color="auto" w:fill="auto"/>
          </w:tcPr>
          <w:p w:rsidR="00E53DCE" w:rsidRPr="00591F7F" w:rsidRDefault="00E53DCE" w:rsidP="006160CB">
            <w:pPr>
              <w:tabs>
                <w:tab w:val="clear" w:pos="1588"/>
                <w:tab w:val="left" w:pos="1560"/>
              </w:tabs>
              <w:spacing w:before="0"/>
              <w:jc w:val="left"/>
              <w:rPr>
                <w:b/>
                <w:bCs/>
                <w:sz w:val="28"/>
                <w:szCs w:val="28"/>
                <w:lang w:val="es-ES_tradnl"/>
              </w:rPr>
            </w:pPr>
          </w:p>
        </w:tc>
        <w:tc>
          <w:tcPr>
            <w:tcW w:w="8647" w:type="dxa"/>
            <w:gridSpan w:val="2"/>
            <w:vMerge/>
            <w:shd w:val="clear" w:color="auto" w:fill="auto"/>
          </w:tcPr>
          <w:p w:rsidR="00E53DCE" w:rsidRPr="00591F7F" w:rsidRDefault="00E53DCE" w:rsidP="006160CB">
            <w:pPr>
              <w:tabs>
                <w:tab w:val="clear" w:pos="1588"/>
                <w:tab w:val="left" w:pos="1560"/>
              </w:tabs>
              <w:spacing w:before="0"/>
              <w:rPr>
                <w:b/>
                <w:bCs/>
                <w:sz w:val="28"/>
                <w:szCs w:val="28"/>
                <w:lang w:val="es-ES_tradnl"/>
              </w:rPr>
            </w:pPr>
          </w:p>
        </w:tc>
      </w:tr>
      <w:tr w:rsidR="00E53DCE" w:rsidRPr="0002491A" w:rsidTr="006160CB">
        <w:tc>
          <w:tcPr>
            <w:tcW w:w="9889" w:type="dxa"/>
            <w:gridSpan w:val="3"/>
            <w:shd w:val="clear" w:color="auto" w:fill="auto"/>
          </w:tcPr>
          <w:p w:rsidR="00E53DCE" w:rsidRPr="00591F7F" w:rsidRDefault="00E53DCE" w:rsidP="00E53DCE">
            <w:pPr>
              <w:tabs>
                <w:tab w:val="clear" w:pos="1588"/>
                <w:tab w:val="left" w:pos="1560"/>
              </w:tabs>
              <w:spacing w:before="0"/>
              <w:jc w:val="left"/>
              <w:rPr>
                <w:sz w:val="28"/>
                <w:szCs w:val="28"/>
                <w:lang w:val="es-ES_tradnl"/>
              </w:rPr>
            </w:pPr>
          </w:p>
        </w:tc>
      </w:tr>
      <w:tr w:rsidR="00E53DCE" w:rsidRPr="0002491A" w:rsidTr="006160CB">
        <w:tc>
          <w:tcPr>
            <w:tcW w:w="9889" w:type="dxa"/>
            <w:gridSpan w:val="3"/>
            <w:shd w:val="clear" w:color="auto" w:fill="auto"/>
          </w:tcPr>
          <w:p w:rsidR="00E53DCE" w:rsidRPr="00591F7F" w:rsidRDefault="00E53DCE" w:rsidP="006160CB">
            <w:pPr>
              <w:spacing w:before="0"/>
              <w:jc w:val="left"/>
              <w:rPr>
                <w:b/>
                <w:bCs/>
                <w:sz w:val="28"/>
                <w:szCs w:val="28"/>
                <w:lang w:val="es-ES_tradnl"/>
              </w:rPr>
            </w:pPr>
          </w:p>
        </w:tc>
      </w:tr>
    </w:tbl>
    <w:p w:rsidR="002509FF" w:rsidRPr="00591F7F" w:rsidRDefault="002509FF">
      <w:pPr>
        <w:spacing w:before="600"/>
        <w:rPr>
          <w:sz w:val="24"/>
          <w:szCs w:val="24"/>
          <w:lang w:val="es-ES_tradnl"/>
        </w:rPr>
        <w:pPrChange w:id="0" w:author="mostyn" w:date="2013-05-09T12:44:00Z">
          <w:pPr>
            <w:spacing w:before="600"/>
            <w:jc w:val="left"/>
          </w:pPr>
        </w:pPrChange>
      </w:pPr>
      <w:r w:rsidRPr="00591F7F">
        <w:rPr>
          <w:sz w:val="24"/>
          <w:szCs w:val="24"/>
          <w:lang w:val="es-ES_tradnl"/>
        </w:rPr>
        <w:t xml:space="preserve">En la reunión de la Comisión de Estudio </w:t>
      </w:r>
      <w:r w:rsidR="00591F7F">
        <w:rPr>
          <w:sz w:val="24"/>
          <w:szCs w:val="24"/>
          <w:lang w:val="es-ES_tradnl"/>
        </w:rPr>
        <w:t>1</w:t>
      </w:r>
      <w:r w:rsidRPr="00591F7F">
        <w:rPr>
          <w:sz w:val="24"/>
          <w:szCs w:val="24"/>
          <w:lang w:val="es-ES_tradnl"/>
        </w:rPr>
        <w:t xml:space="preserve"> de Radiocomunicaciones celebrada </w:t>
      </w:r>
      <w:r w:rsidR="00591F7F">
        <w:rPr>
          <w:sz w:val="24"/>
          <w:szCs w:val="24"/>
          <w:lang w:val="es-ES_tradnl"/>
        </w:rPr>
        <w:t xml:space="preserve">el 12 </w:t>
      </w:r>
      <w:r w:rsidR="00FB5165">
        <w:rPr>
          <w:sz w:val="24"/>
          <w:szCs w:val="24"/>
          <w:lang w:val="es-ES_tradnl"/>
        </w:rPr>
        <w:t xml:space="preserve">de </w:t>
      </w:r>
      <w:r w:rsidR="00591F7F">
        <w:rPr>
          <w:sz w:val="24"/>
          <w:szCs w:val="24"/>
          <w:lang w:val="es-ES_tradnl"/>
        </w:rPr>
        <w:t xml:space="preserve">junio </w:t>
      </w:r>
      <w:r w:rsidR="00FB5165">
        <w:rPr>
          <w:sz w:val="24"/>
          <w:szCs w:val="24"/>
          <w:lang w:val="es-ES_tradnl"/>
        </w:rPr>
        <w:t>de </w:t>
      </w:r>
      <w:r w:rsidR="00591F7F">
        <w:rPr>
          <w:sz w:val="24"/>
          <w:szCs w:val="24"/>
          <w:lang w:val="es-ES_tradnl"/>
        </w:rPr>
        <w:t>2013</w:t>
      </w:r>
      <w:r w:rsidRPr="00591F7F">
        <w:rPr>
          <w:sz w:val="24"/>
          <w:szCs w:val="24"/>
          <w:lang w:val="es-ES_tradnl"/>
        </w:rPr>
        <w:t xml:space="preserve">, la Comisión de Estudio decidió solicitar la adopción de </w:t>
      </w:r>
      <w:r w:rsidR="00591F7F">
        <w:rPr>
          <w:sz w:val="24"/>
          <w:szCs w:val="24"/>
          <w:lang w:val="es-ES_tradnl"/>
        </w:rPr>
        <w:t>1</w:t>
      </w:r>
      <w:r w:rsidRPr="00591F7F">
        <w:rPr>
          <w:sz w:val="24"/>
          <w:szCs w:val="24"/>
          <w:lang w:val="es-ES_tradnl"/>
        </w:rPr>
        <w:t xml:space="preserve"> proyecto de nueva</w:t>
      </w:r>
      <w:r w:rsidR="00591F7F">
        <w:rPr>
          <w:sz w:val="24"/>
          <w:szCs w:val="24"/>
          <w:lang w:val="es-ES_tradnl"/>
        </w:rPr>
        <w:t xml:space="preserve"> Recomendación UIT</w:t>
      </w:r>
      <w:r w:rsidR="00591F7F">
        <w:rPr>
          <w:sz w:val="24"/>
          <w:szCs w:val="24"/>
          <w:lang w:val="es-ES_tradnl"/>
        </w:rPr>
        <w:noBreakHyphen/>
        <w:t>R</w:t>
      </w:r>
      <w:r w:rsidRPr="00591F7F">
        <w:rPr>
          <w:sz w:val="24"/>
          <w:szCs w:val="24"/>
          <w:lang w:val="es-ES_tradnl"/>
        </w:rPr>
        <w:t xml:space="preserve"> y de </w:t>
      </w:r>
      <w:r w:rsidR="00591F7F">
        <w:rPr>
          <w:sz w:val="24"/>
          <w:szCs w:val="24"/>
          <w:lang w:val="es-ES_tradnl"/>
        </w:rPr>
        <w:t>6</w:t>
      </w:r>
      <w:r w:rsidRPr="00591F7F">
        <w:rPr>
          <w:sz w:val="24"/>
          <w:szCs w:val="24"/>
          <w:lang w:val="es-ES_tradnl"/>
        </w:rPr>
        <w:t xml:space="preserve"> proyectos de Recomendaciones </w:t>
      </w:r>
      <w:r w:rsidR="00591F7F">
        <w:rPr>
          <w:sz w:val="24"/>
          <w:szCs w:val="24"/>
          <w:lang w:val="es-ES_tradnl"/>
        </w:rPr>
        <w:t xml:space="preserve">UIT-R </w:t>
      </w:r>
      <w:r w:rsidRPr="00591F7F">
        <w:rPr>
          <w:sz w:val="24"/>
          <w:szCs w:val="24"/>
          <w:lang w:val="es-ES_tradnl"/>
        </w:rPr>
        <w:t>revisadas por correspondencia (§ 10.2.3 de la Resolución UIT</w:t>
      </w:r>
      <w:r w:rsidRPr="00591F7F">
        <w:rPr>
          <w:sz w:val="24"/>
          <w:szCs w:val="24"/>
          <w:lang w:val="es-ES_tradnl"/>
        </w:rPr>
        <w:noBreakHyphen/>
        <w:t>R 1</w:t>
      </w:r>
      <w:r w:rsidRPr="00591F7F">
        <w:rPr>
          <w:sz w:val="24"/>
          <w:szCs w:val="24"/>
          <w:lang w:val="es-ES_tradnl"/>
        </w:rPr>
        <w:noBreakHyphen/>
        <w:t>6) y además decidió aplicar el procedimiento de adopción y aprobación simultáneas por correspondencia (PAAS) (§ 10.3 de la Resolución UIT</w:t>
      </w:r>
      <w:r w:rsidRPr="00591F7F">
        <w:rPr>
          <w:sz w:val="24"/>
          <w:szCs w:val="24"/>
          <w:lang w:val="es-ES_tradnl"/>
        </w:rPr>
        <w:noBreakHyphen/>
        <w:t>R 1</w:t>
      </w:r>
      <w:r w:rsidRPr="00591F7F">
        <w:rPr>
          <w:sz w:val="24"/>
          <w:szCs w:val="24"/>
          <w:lang w:val="es-ES_tradnl"/>
        </w:rPr>
        <w:noBreakHyphen/>
        <w:t xml:space="preserve">6). Los títulos y resúmenes de los proyectos de Recomendaciones aparecen en el Anexo </w:t>
      </w:r>
      <w:r w:rsidR="00591F7F">
        <w:rPr>
          <w:sz w:val="24"/>
          <w:szCs w:val="24"/>
          <w:lang w:val="es-ES_tradnl"/>
        </w:rPr>
        <w:t xml:space="preserve">a </w:t>
      </w:r>
      <w:r w:rsidR="00FB5165">
        <w:rPr>
          <w:sz w:val="24"/>
          <w:szCs w:val="24"/>
          <w:lang w:val="es-ES_tradnl"/>
        </w:rPr>
        <w:t>la presente</w:t>
      </w:r>
      <w:r w:rsidR="00591F7F">
        <w:rPr>
          <w:sz w:val="24"/>
          <w:szCs w:val="24"/>
          <w:lang w:val="es-ES_tradnl"/>
        </w:rPr>
        <w:t xml:space="preserve"> carta</w:t>
      </w:r>
      <w:r w:rsidRPr="00591F7F">
        <w:rPr>
          <w:sz w:val="24"/>
          <w:szCs w:val="24"/>
          <w:lang w:val="es-ES_tradnl"/>
        </w:rPr>
        <w:t xml:space="preserve">. </w:t>
      </w:r>
    </w:p>
    <w:p w:rsidR="002509FF" w:rsidRPr="00591F7F" w:rsidRDefault="002509FF">
      <w:pPr>
        <w:rPr>
          <w:sz w:val="24"/>
          <w:szCs w:val="24"/>
          <w:lang w:val="es-ES_tradnl"/>
        </w:rPr>
        <w:pPrChange w:id="1" w:author="mostyn" w:date="2013-05-09T12:44:00Z">
          <w:pPr>
            <w:jc w:val="left"/>
          </w:pPr>
        </w:pPrChange>
      </w:pPr>
      <w:r w:rsidRPr="00591F7F">
        <w:rPr>
          <w:sz w:val="24"/>
          <w:szCs w:val="24"/>
          <w:lang w:val="es-ES_tradnl"/>
        </w:rPr>
        <w:t xml:space="preserve">El periodo de consideración se extenderá durante 2 meses finalizando el </w:t>
      </w:r>
      <w:r w:rsidR="00591F7F">
        <w:rPr>
          <w:sz w:val="24"/>
          <w:szCs w:val="24"/>
          <w:u w:val="single"/>
          <w:lang w:val="es-ES_tradnl"/>
        </w:rPr>
        <w:t>28</w:t>
      </w:r>
      <w:r w:rsidRPr="00591F7F">
        <w:rPr>
          <w:sz w:val="24"/>
          <w:szCs w:val="24"/>
          <w:u w:val="single"/>
          <w:lang w:val="es-ES_tradnl"/>
        </w:rPr>
        <w:t xml:space="preserve"> </w:t>
      </w:r>
      <w:r w:rsidR="0002491A">
        <w:rPr>
          <w:sz w:val="24"/>
          <w:szCs w:val="24"/>
          <w:u w:val="single"/>
          <w:lang w:val="es-ES_tradnl"/>
        </w:rPr>
        <w:t xml:space="preserve">de </w:t>
      </w:r>
      <w:r w:rsidR="00591F7F">
        <w:rPr>
          <w:sz w:val="24"/>
          <w:szCs w:val="24"/>
          <w:u w:val="single"/>
          <w:lang w:val="es-ES_tradnl"/>
        </w:rPr>
        <w:t>agosto</w:t>
      </w:r>
      <w:r w:rsidRPr="00591F7F">
        <w:rPr>
          <w:sz w:val="24"/>
          <w:szCs w:val="24"/>
          <w:u w:val="single"/>
          <w:lang w:val="es-ES_tradnl"/>
        </w:rPr>
        <w:t xml:space="preserve"> de 2013</w:t>
      </w:r>
      <w:r w:rsidR="00591F7F">
        <w:rPr>
          <w:sz w:val="24"/>
          <w:szCs w:val="24"/>
          <w:lang w:val="es-ES_tradnl"/>
        </w:rPr>
        <w:t>. Si </w:t>
      </w:r>
      <w:r w:rsidRPr="00591F7F">
        <w:rPr>
          <w:sz w:val="24"/>
          <w:szCs w:val="24"/>
          <w:lang w:val="es-ES_tradnl"/>
        </w:rPr>
        <w:t>durante este periodo no se reciben objeciones de los Estados Miembros, se considerará que los proyectos de Recomendaciones serán adoptados por la Comisión de Estudio </w:t>
      </w:r>
      <w:r w:rsidR="00591F7F">
        <w:rPr>
          <w:sz w:val="24"/>
          <w:szCs w:val="24"/>
          <w:lang w:val="es-ES_tradnl"/>
        </w:rPr>
        <w:t>1</w:t>
      </w:r>
      <w:r w:rsidRPr="00591F7F">
        <w:rPr>
          <w:sz w:val="24"/>
          <w:szCs w:val="24"/>
          <w:lang w:val="es-ES_tradnl"/>
        </w:rPr>
        <w:t>. Además, como se ha seguido el PAAS, los proyectos de Recomendaciones también se considerarán aprobados.</w:t>
      </w:r>
    </w:p>
    <w:p w:rsidR="002509FF" w:rsidRPr="00591F7F" w:rsidRDefault="002509FF">
      <w:pPr>
        <w:rPr>
          <w:sz w:val="24"/>
          <w:szCs w:val="24"/>
          <w:lang w:val="es-ES_tradnl"/>
        </w:rPr>
        <w:pPrChange w:id="2" w:author="mostyn" w:date="2013-05-09T12:44:00Z">
          <w:pPr>
            <w:jc w:val="left"/>
          </w:pPr>
        </w:pPrChange>
      </w:pPr>
      <w:r w:rsidRPr="00591F7F">
        <w:rPr>
          <w:sz w:val="24"/>
          <w:szCs w:val="24"/>
          <w:lang w:val="es-ES_tradnl"/>
        </w:rPr>
        <w:t>Todo Estado Miembro que objete la adopción de un proyecto de Recomendación debe informar al Director y al Presidente de la Comisión de Estudio de los motivos de dicha objeción.</w:t>
      </w:r>
    </w:p>
    <w:p w:rsidR="002509FF" w:rsidRPr="00591F7F" w:rsidRDefault="002509FF" w:rsidP="00591F7F">
      <w:pPr>
        <w:rPr>
          <w:sz w:val="24"/>
          <w:szCs w:val="24"/>
          <w:lang w:val="es-ES_tradnl"/>
        </w:rPr>
      </w:pPr>
      <w:r w:rsidRPr="00591F7F">
        <w:rPr>
          <w:sz w:val="24"/>
          <w:szCs w:val="24"/>
          <w:lang w:val="es-ES_tradnl"/>
        </w:rPr>
        <w:t>Tras la fecha límite mencionada, los resultados del PAAS se comunicarán mediante Circular Administrativa y se publicarán las Recomendaciones aprobadas tan pronto como sea posible (véase </w:t>
      </w:r>
      <w:hyperlink r:id="rId9" w:history="1">
        <w:r w:rsidR="00591F7F" w:rsidRPr="0002491A">
          <w:rPr>
            <w:rStyle w:val="Hyperlink"/>
            <w:sz w:val="24"/>
            <w:szCs w:val="24"/>
            <w:lang w:val="es-ES_tradnl"/>
          </w:rPr>
          <w:t>http://www.itu.int/rec/R-REC-SM/es</w:t>
        </w:r>
      </w:hyperlink>
      <w:r w:rsidRPr="00591F7F">
        <w:rPr>
          <w:sz w:val="24"/>
          <w:szCs w:val="24"/>
          <w:lang w:val="es-ES_tradnl"/>
        </w:rPr>
        <w:t>).</w:t>
      </w:r>
    </w:p>
    <w:p w:rsidR="00591F7F" w:rsidRDefault="00591F7F" w:rsidP="00591F7F">
      <w:pPr>
        <w:rPr>
          <w:sz w:val="24"/>
          <w:szCs w:val="24"/>
          <w:lang w:val="es-ES_tradnl"/>
        </w:rPr>
      </w:pPr>
    </w:p>
    <w:p w:rsidR="00591F7F" w:rsidRDefault="00591F7F">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s-ES_tradnl"/>
        </w:rPr>
      </w:pPr>
      <w:r>
        <w:rPr>
          <w:sz w:val="24"/>
          <w:szCs w:val="24"/>
          <w:lang w:val="es-ES_tradnl"/>
        </w:rPr>
        <w:br w:type="page"/>
      </w:r>
    </w:p>
    <w:p w:rsidR="00591F7F" w:rsidRDefault="00591F7F" w:rsidP="00591F7F">
      <w:pPr>
        <w:rPr>
          <w:sz w:val="24"/>
          <w:szCs w:val="24"/>
          <w:lang w:val="es-ES_tradnl"/>
        </w:rPr>
      </w:pPr>
    </w:p>
    <w:p w:rsidR="002509FF" w:rsidRPr="00D20B90" w:rsidRDefault="002509FF">
      <w:pPr>
        <w:rPr>
          <w:sz w:val="24"/>
          <w:szCs w:val="24"/>
          <w:lang w:val="es-ES_tradnl"/>
        </w:rPr>
        <w:pPrChange w:id="3" w:author="mostyn" w:date="2013-05-09T12:44:00Z">
          <w:pPr>
            <w:jc w:val="left"/>
          </w:pPr>
        </w:pPrChange>
      </w:pPr>
      <w:r w:rsidRPr="00591F7F">
        <w:rPr>
          <w:sz w:val="24"/>
          <w:szCs w:val="24"/>
          <w:lang w:val="es-ES_tradnl"/>
        </w:rPr>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w:t>
      </w:r>
      <w:r w:rsidR="00D20B90">
        <w:rPr>
          <w:sz w:val="24"/>
          <w:szCs w:val="24"/>
          <w:lang w:val="es-ES_tradnl"/>
        </w:rPr>
        <w:t xml:space="preserve"> UIT</w:t>
      </w:r>
      <w:r w:rsidR="00D20B90">
        <w:rPr>
          <w:sz w:val="24"/>
          <w:szCs w:val="24"/>
          <w:lang w:val="es-ES_tradnl"/>
        </w:rPr>
        <w:noBreakHyphen/>
      </w:r>
      <w:r w:rsidRPr="00591F7F">
        <w:rPr>
          <w:sz w:val="24"/>
          <w:szCs w:val="24"/>
          <w:lang w:val="es-ES_tradnl"/>
        </w:rPr>
        <w:t>R/ISO/CEI puede consultarse en</w:t>
      </w:r>
      <w:r w:rsidR="00D20B90">
        <w:rPr>
          <w:sz w:val="24"/>
          <w:szCs w:val="24"/>
          <w:lang w:val="es-ES_tradnl"/>
        </w:rPr>
        <w:t xml:space="preserve"> </w:t>
      </w:r>
      <w:r w:rsidR="00D20B90" w:rsidRPr="00D20B90">
        <w:rPr>
          <w:sz w:val="24"/>
          <w:szCs w:val="24"/>
          <w:lang w:val="es-ES_tradnl"/>
        </w:rPr>
        <w:fldChar w:fldCharType="begin"/>
      </w:r>
      <w:r w:rsidR="00D20B90" w:rsidRPr="00D20B90">
        <w:rPr>
          <w:sz w:val="24"/>
          <w:szCs w:val="24"/>
          <w:lang w:val="es-ES_tradnl"/>
        </w:rPr>
        <w:instrText xml:space="preserve"> HYPERLINK "http://www.itu.int/en/ITU-T/ipr/Pages/policy.aspx" </w:instrText>
      </w:r>
      <w:r w:rsidR="00D20B90" w:rsidRPr="00D20B90">
        <w:rPr>
          <w:sz w:val="24"/>
          <w:szCs w:val="24"/>
          <w:lang w:val="es-ES_tradnl"/>
        </w:rPr>
        <w:fldChar w:fldCharType="separate"/>
      </w:r>
      <w:r w:rsidR="00D20B90" w:rsidRPr="00D20B90">
        <w:rPr>
          <w:rStyle w:val="Hyperlink"/>
          <w:sz w:val="24"/>
          <w:szCs w:val="24"/>
          <w:lang w:val="es-ES_tradnl"/>
        </w:rPr>
        <w:t>http://www.itu.int/en/ITU-T/ipr/Pages/policy.aspx</w:t>
      </w:r>
      <w:r w:rsidR="00D20B90" w:rsidRPr="00D20B90">
        <w:rPr>
          <w:sz w:val="24"/>
          <w:szCs w:val="24"/>
          <w:lang w:val="es-ES_tradnl"/>
        </w:rPr>
        <w:fldChar w:fldCharType="end"/>
      </w:r>
      <w:r w:rsidRPr="00D20B90">
        <w:rPr>
          <w:sz w:val="24"/>
          <w:szCs w:val="24"/>
          <w:lang w:val="es-ES_tradnl"/>
        </w:rPr>
        <w:t>.</w:t>
      </w:r>
    </w:p>
    <w:p w:rsidR="00031E64" w:rsidRPr="00591F7F" w:rsidRDefault="00E53DCE" w:rsidP="002509FF">
      <w:pPr>
        <w:spacing w:before="1418" w:line="240" w:lineRule="auto"/>
        <w:jc w:val="left"/>
        <w:rPr>
          <w:sz w:val="24"/>
          <w:szCs w:val="24"/>
          <w:lang w:val="es-ES"/>
        </w:rPr>
      </w:pPr>
      <w:r w:rsidRPr="00591F7F">
        <w:rPr>
          <w:sz w:val="24"/>
          <w:szCs w:val="24"/>
          <w:lang w:val="es-ES"/>
        </w:rPr>
        <w:t>François Rancy</w:t>
      </w:r>
      <w:r w:rsidRPr="00591F7F">
        <w:rPr>
          <w:sz w:val="24"/>
          <w:szCs w:val="24"/>
          <w:lang w:val="es-ES"/>
        </w:rPr>
        <w:br/>
      </w:r>
      <w:r w:rsidR="00A96D3A" w:rsidRPr="00591F7F">
        <w:rPr>
          <w:sz w:val="24"/>
          <w:szCs w:val="24"/>
          <w:lang w:val="es-ES"/>
        </w:rPr>
        <w:t xml:space="preserve">Director </w:t>
      </w:r>
    </w:p>
    <w:p w:rsidR="002509FF" w:rsidRPr="00591F7F" w:rsidRDefault="002509FF" w:rsidP="00591F7F">
      <w:pPr>
        <w:spacing w:before="1320"/>
        <w:rPr>
          <w:sz w:val="24"/>
          <w:szCs w:val="24"/>
          <w:lang w:val="es-ES_tradnl"/>
        </w:rPr>
      </w:pPr>
      <w:r w:rsidRPr="00591F7F">
        <w:rPr>
          <w:b/>
          <w:bCs/>
          <w:sz w:val="24"/>
          <w:szCs w:val="24"/>
          <w:lang w:val="es-ES_tradnl"/>
        </w:rPr>
        <w:t>Anexo:</w:t>
      </w:r>
      <w:r w:rsidRPr="00591F7F">
        <w:rPr>
          <w:sz w:val="24"/>
          <w:szCs w:val="24"/>
          <w:lang w:val="es-ES_tradnl"/>
        </w:rPr>
        <w:t xml:space="preserve"> </w:t>
      </w:r>
      <w:r w:rsidR="00591F7F">
        <w:rPr>
          <w:sz w:val="24"/>
          <w:szCs w:val="24"/>
          <w:lang w:val="es-ES_tradnl"/>
        </w:rPr>
        <w:tab/>
      </w:r>
      <w:r w:rsidR="00591F7F">
        <w:rPr>
          <w:sz w:val="24"/>
          <w:szCs w:val="24"/>
          <w:lang w:val="es-ES_tradnl"/>
        </w:rPr>
        <w:tab/>
      </w:r>
      <w:r w:rsidRPr="00591F7F">
        <w:rPr>
          <w:sz w:val="24"/>
          <w:szCs w:val="24"/>
          <w:lang w:val="es-ES_tradnl"/>
        </w:rPr>
        <w:t>Títulos y resúmenes de los proyectos de Recomendaciones</w:t>
      </w:r>
    </w:p>
    <w:p w:rsidR="002509FF" w:rsidRDefault="002509FF" w:rsidP="00591F7F">
      <w:pPr>
        <w:ind w:left="1588" w:hanging="1588"/>
        <w:rPr>
          <w:sz w:val="24"/>
          <w:szCs w:val="24"/>
          <w:lang w:val="es-ES_tradnl"/>
        </w:rPr>
      </w:pPr>
      <w:r w:rsidRPr="00591F7F">
        <w:rPr>
          <w:b/>
          <w:bCs/>
          <w:sz w:val="24"/>
          <w:szCs w:val="24"/>
          <w:lang w:val="es-ES_tradnl"/>
        </w:rPr>
        <w:t>Documento</w:t>
      </w:r>
      <w:r w:rsidR="00591F7F">
        <w:rPr>
          <w:b/>
          <w:bCs/>
          <w:sz w:val="24"/>
          <w:szCs w:val="24"/>
          <w:lang w:val="es-ES_tradnl"/>
        </w:rPr>
        <w:t>s</w:t>
      </w:r>
      <w:r w:rsidRPr="00591F7F">
        <w:rPr>
          <w:b/>
          <w:bCs/>
          <w:sz w:val="24"/>
          <w:szCs w:val="24"/>
          <w:lang w:val="es-ES_tradnl"/>
        </w:rPr>
        <w:t>:</w:t>
      </w:r>
      <w:r w:rsidRPr="00591F7F">
        <w:rPr>
          <w:sz w:val="24"/>
          <w:szCs w:val="24"/>
          <w:lang w:val="es-ES_tradnl"/>
        </w:rPr>
        <w:t xml:space="preserve"> </w:t>
      </w:r>
      <w:r w:rsidR="00591F7F">
        <w:rPr>
          <w:sz w:val="24"/>
          <w:szCs w:val="24"/>
          <w:lang w:val="es-ES_tradnl"/>
        </w:rPr>
        <w:tab/>
      </w:r>
      <w:r w:rsidR="00591F7F" w:rsidRPr="00591F7F">
        <w:rPr>
          <w:sz w:val="24"/>
          <w:szCs w:val="24"/>
          <w:lang w:val="es-ES_tradnl"/>
        </w:rPr>
        <w:t>Documentos 1/63(Rev.1), 1/64(Rev.1), 1/67(Rev.1), 1/71(Rev.1), 1/74(Rev.1), 1/75(Rev.1), 1/78(Rev.1)</w:t>
      </w:r>
    </w:p>
    <w:p w:rsidR="00591F7F" w:rsidRPr="00591F7F" w:rsidRDefault="00591F7F" w:rsidP="00957072">
      <w:pPr>
        <w:jc w:val="left"/>
        <w:rPr>
          <w:sz w:val="24"/>
          <w:szCs w:val="24"/>
          <w:lang w:val="es-ES_tradnl"/>
        </w:rPr>
      </w:pPr>
      <w:r w:rsidRPr="00591F7F">
        <w:rPr>
          <w:sz w:val="24"/>
          <w:szCs w:val="24"/>
          <w:lang w:val="es-ES_tradnl"/>
        </w:rPr>
        <w:t xml:space="preserve">Estos documentos están disponibles en formato electrónico en: </w:t>
      </w:r>
      <w:r w:rsidRPr="00591F7F">
        <w:rPr>
          <w:sz w:val="24"/>
          <w:szCs w:val="24"/>
          <w:lang w:val="es-ES_tradnl"/>
        </w:rPr>
        <w:br/>
      </w:r>
      <w:hyperlink r:id="rId10" w:history="1">
        <w:r w:rsidR="00957072" w:rsidRPr="00B50EE0">
          <w:rPr>
            <w:rStyle w:val="Hyperlink"/>
            <w:sz w:val="24"/>
            <w:szCs w:val="24"/>
            <w:lang w:val="es-ES_tradnl"/>
          </w:rPr>
          <w:t>http://www.itu.int/md/R12-SG01-C/en</w:t>
        </w:r>
      </w:hyperlink>
    </w:p>
    <w:p w:rsidR="002509FF" w:rsidRPr="00591F7F" w:rsidRDefault="002509FF" w:rsidP="00591F7F">
      <w:pPr>
        <w:tabs>
          <w:tab w:val="left" w:pos="284"/>
          <w:tab w:val="left" w:pos="568"/>
        </w:tabs>
        <w:spacing w:before="1320" w:after="60"/>
        <w:rPr>
          <w:b/>
          <w:bCs/>
          <w:sz w:val="18"/>
          <w:szCs w:val="18"/>
          <w:lang w:val="es-ES_tradnl"/>
        </w:rPr>
      </w:pPr>
      <w:r w:rsidRPr="00591F7F">
        <w:rPr>
          <w:b/>
          <w:bCs/>
          <w:sz w:val="18"/>
          <w:szCs w:val="18"/>
          <w:lang w:val="es-ES_tradnl"/>
        </w:rPr>
        <w:t>Distribución:</w:t>
      </w:r>
    </w:p>
    <w:p w:rsidR="002509FF" w:rsidRPr="00591F7F" w:rsidRDefault="002509FF" w:rsidP="00957072">
      <w:pPr>
        <w:tabs>
          <w:tab w:val="clear" w:pos="794"/>
          <w:tab w:val="clear" w:pos="1191"/>
          <w:tab w:val="clear" w:pos="1588"/>
          <w:tab w:val="clear" w:pos="1985"/>
          <w:tab w:val="left" w:pos="6237"/>
        </w:tabs>
        <w:spacing w:before="0" w:line="240" w:lineRule="auto"/>
        <w:ind w:left="284" w:hanging="284"/>
        <w:jc w:val="left"/>
        <w:rPr>
          <w:sz w:val="18"/>
          <w:szCs w:val="18"/>
          <w:lang w:val="es-ES_tradnl"/>
        </w:rPr>
      </w:pPr>
      <w:r w:rsidRPr="00591F7F">
        <w:rPr>
          <w:sz w:val="18"/>
          <w:szCs w:val="18"/>
          <w:lang w:val="es-ES_tradnl"/>
        </w:rPr>
        <w:t>–</w:t>
      </w:r>
      <w:r w:rsidRPr="00591F7F">
        <w:rPr>
          <w:sz w:val="18"/>
          <w:szCs w:val="18"/>
          <w:lang w:val="es-ES_tradnl"/>
        </w:rPr>
        <w:tab/>
        <w:t>Administraciones de los Estados Miembros del Sector de Radiocomunicaciones que participan en los trabajos</w:t>
      </w:r>
      <w:r w:rsidR="00957072">
        <w:rPr>
          <w:sz w:val="18"/>
          <w:szCs w:val="18"/>
          <w:lang w:val="es-ES_tradnl"/>
        </w:rPr>
        <w:t xml:space="preserve"> </w:t>
      </w:r>
      <w:r w:rsidRPr="00591F7F">
        <w:rPr>
          <w:sz w:val="18"/>
          <w:szCs w:val="18"/>
          <w:lang w:val="es-ES_tradnl"/>
        </w:rPr>
        <w:t xml:space="preserve">de la Comisión de Estudio </w:t>
      </w:r>
      <w:r w:rsidR="00591F7F" w:rsidRPr="00591F7F">
        <w:rPr>
          <w:sz w:val="18"/>
          <w:szCs w:val="18"/>
          <w:lang w:val="es-ES_tradnl"/>
        </w:rPr>
        <w:t>1</w:t>
      </w:r>
      <w:r w:rsidRPr="00591F7F">
        <w:rPr>
          <w:sz w:val="18"/>
          <w:szCs w:val="18"/>
          <w:lang w:val="es-ES_tradnl"/>
        </w:rPr>
        <w:t xml:space="preserve"> de Radiocomunicaciones </w:t>
      </w:r>
    </w:p>
    <w:p w:rsidR="002509FF" w:rsidRPr="00591F7F" w:rsidRDefault="002509FF" w:rsidP="00591F7F">
      <w:pPr>
        <w:tabs>
          <w:tab w:val="clear" w:pos="794"/>
          <w:tab w:val="clear" w:pos="1191"/>
          <w:tab w:val="clear" w:pos="1588"/>
          <w:tab w:val="clear" w:pos="1985"/>
          <w:tab w:val="left" w:pos="6237"/>
        </w:tabs>
        <w:spacing w:before="0" w:line="240" w:lineRule="auto"/>
        <w:ind w:left="284" w:hanging="284"/>
        <w:jc w:val="left"/>
        <w:rPr>
          <w:sz w:val="18"/>
          <w:szCs w:val="18"/>
          <w:lang w:val="es-ES_tradnl"/>
        </w:rPr>
      </w:pPr>
      <w:r w:rsidRPr="00591F7F">
        <w:rPr>
          <w:sz w:val="18"/>
          <w:szCs w:val="18"/>
          <w:lang w:val="es-ES_tradnl"/>
        </w:rPr>
        <w:t>–</w:t>
      </w:r>
      <w:r w:rsidRPr="00591F7F">
        <w:rPr>
          <w:sz w:val="18"/>
          <w:szCs w:val="18"/>
          <w:lang w:val="es-ES_tradnl"/>
        </w:rPr>
        <w:tab/>
        <w:t xml:space="preserve">Asociados del UIT-R que participan en los trabajos de la Comisión de Estudio </w:t>
      </w:r>
      <w:r w:rsidR="00591F7F" w:rsidRPr="00591F7F">
        <w:rPr>
          <w:sz w:val="18"/>
          <w:szCs w:val="18"/>
          <w:lang w:val="es-ES_tradnl"/>
        </w:rPr>
        <w:t>1</w:t>
      </w:r>
      <w:r w:rsidRPr="00591F7F">
        <w:rPr>
          <w:sz w:val="18"/>
          <w:szCs w:val="18"/>
          <w:lang w:val="es-ES_tradnl"/>
        </w:rPr>
        <w:t xml:space="preserve"> de Radiocomunicaciones </w:t>
      </w:r>
    </w:p>
    <w:p w:rsidR="002509FF" w:rsidRPr="00591F7F" w:rsidRDefault="002509FF" w:rsidP="00957072">
      <w:pPr>
        <w:tabs>
          <w:tab w:val="clear" w:pos="794"/>
          <w:tab w:val="clear" w:pos="1191"/>
          <w:tab w:val="clear" w:pos="1588"/>
          <w:tab w:val="clear" w:pos="1985"/>
          <w:tab w:val="left" w:pos="6237"/>
        </w:tabs>
        <w:spacing w:before="0" w:line="240" w:lineRule="auto"/>
        <w:ind w:left="284" w:hanging="284"/>
        <w:jc w:val="left"/>
        <w:rPr>
          <w:sz w:val="18"/>
          <w:szCs w:val="18"/>
          <w:lang w:val="es-ES_tradnl"/>
        </w:rPr>
      </w:pPr>
      <w:r w:rsidRPr="00591F7F">
        <w:rPr>
          <w:sz w:val="18"/>
          <w:szCs w:val="18"/>
          <w:lang w:val="es-ES_tradnl"/>
        </w:rPr>
        <w:t>–</w:t>
      </w:r>
      <w:r w:rsidRPr="00591F7F">
        <w:rPr>
          <w:sz w:val="18"/>
          <w:szCs w:val="18"/>
          <w:lang w:val="es-ES_tradnl"/>
        </w:rPr>
        <w:tab/>
        <w:t>Presidentes y Vicepresidentes de las Comisiones de Estudio de Radiocomunicaciones y Comisión Especial</w:t>
      </w:r>
      <w:r w:rsidR="00957072">
        <w:rPr>
          <w:sz w:val="18"/>
          <w:szCs w:val="18"/>
          <w:lang w:val="es-ES_tradnl"/>
        </w:rPr>
        <w:t xml:space="preserve"> </w:t>
      </w:r>
      <w:r w:rsidRPr="00591F7F">
        <w:rPr>
          <w:sz w:val="18"/>
          <w:szCs w:val="18"/>
          <w:lang w:val="es-ES_tradnl"/>
        </w:rPr>
        <w:t xml:space="preserve">para Asuntos Reglamentarios y de Procedimiento </w:t>
      </w:r>
    </w:p>
    <w:p w:rsidR="002509FF" w:rsidRPr="00591F7F" w:rsidRDefault="002509FF" w:rsidP="00591F7F">
      <w:pPr>
        <w:tabs>
          <w:tab w:val="clear" w:pos="794"/>
          <w:tab w:val="clear" w:pos="1191"/>
          <w:tab w:val="clear" w:pos="1588"/>
          <w:tab w:val="clear" w:pos="1985"/>
          <w:tab w:val="left" w:pos="6237"/>
        </w:tabs>
        <w:spacing w:before="0" w:line="240" w:lineRule="auto"/>
        <w:ind w:left="284" w:hanging="284"/>
        <w:jc w:val="left"/>
        <w:rPr>
          <w:sz w:val="18"/>
          <w:szCs w:val="18"/>
          <w:lang w:val="es-ES_tradnl"/>
        </w:rPr>
      </w:pPr>
      <w:r w:rsidRPr="00591F7F">
        <w:rPr>
          <w:sz w:val="18"/>
          <w:szCs w:val="18"/>
          <w:lang w:val="es-ES_tradnl"/>
        </w:rPr>
        <w:t>–</w:t>
      </w:r>
      <w:r w:rsidRPr="00591F7F">
        <w:rPr>
          <w:sz w:val="18"/>
          <w:szCs w:val="18"/>
          <w:lang w:val="es-ES_tradnl"/>
        </w:rPr>
        <w:tab/>
        <w:t xml:space="preserve">Presidente y Vicepresidentes de la Reunión Preparatoria de la Conferencia </w:t>
      </w:r>
    </w:p>
    <w:p w:rsidR="002509FF" w:rsidRPr="00591F7F" w:rsidRDefault="002509FF" w:rsidP="00591F7F">
      <w:pPr>
        <w:tabs>
          <w:tab w:val="clear" w:pos="794"/>
          <w:tab w:val="clear" w:pos="1191"/>
          <w:tab w:val="clear" w:pos="1588"/>
          <w:tab w:val="clear" w:pos="1985"/>
          <w:tab w:val="left" w:pos="6237"/>
        </w:tabs>
        <w:spacing w:before="0" w:line="240" w:lineRule="auto"/>
        <w:ind w:left="284" w:hanging="284"/>
        <w:jc w:val="left"/>
        <w:rPr>
          <w:sz w:val="18"/>
          <w:szCs w:val="18"/>
          <w:lang w:val="es-ES_tradnl"/>
        </w:rPr>
      </w:pPr>
      <w:r w:rsidRPr="00591F7F">
        <w:rPr>
          <w:sz w:val="18"/>
          <w:szCs w:val="18"/>
          <w:lang w:val="es-ES_tradnl"/>
        </w:rPr>
        <w:t>–</w:t>
      </w:r>
      <w:r w:rsidRPr="00591F7F">
        <w:rPr>
          <w:sz w:val="18"/>
          <w:szCs w:val="18"/>
          <w:lang w:val="es-ES_tradnl"/>
        </w:rPr>
        <w:tab/>
        <w:t xml:space="preserve">Miembros de la Junta del Reglamento de Radiocomunicaciones </w:t>
      </w:r>
    </w:p>
    <w:p w:rsidR="002509FF" w:rsidRPr="00591F7F" w:rsidRDefault="002509FF" w:rsidP="00591F7F">
      <w:pPr>
        <w:tabs>
          <w:tab w:val="clear" w:pos="794"/>
          <w:tab w:val="clear" w:pos="1191"/>
          <w:tab w:val="clear" w:pos="1588"/>
          <w:tab w:val="clear" w:pos="1985"/>
          <w:tab w:val="left" w:pos="6237"/>
        </w:tabs>
        <w:overflowPunct/>
        <w:autoSpaceDE/>
        <w:autoSpaceDN/>
        <w:adjustRightInd/>
        <w:spacing w:before="0" w:line="240" w:lineRule="auto"/>
        <w:ind w:left="284" w:hanging="284"/>
        <w:jc w:val="left"/>
        <w:textAlignment w:val="auto"/>
        <w:rPr>
          <w:sz w:val="18"/>
          <w:szCs w:val="18"/>
          <w:lang w:val="es-ES_tradnl"/>
        </w:rPr>
      </w:pPr>
      <w:r w:rsidRPr="00591F7F">
        <w:rPr>
          <w:sz w:val="18"/>
          <w:szCs w:val="18"/>
          <w:lang w:val="es-ES_tradnl"/>
        </w:rPr>
        <w:t>–</w:t>
      </w:r>
      <w:r w:rsidRPr="00591F7F">
        <w:rPr>
          <w:sz w:val="18"/>
          <w:szCs w:val="18"/>
          <w:lang w:val="es-ES_tradnl"/>
        </w:rPr>
        <w:tab/>
        <w:t>Secretario General de la UIT, Director de la Oficina de Normalización de las Telecomunicaciones,</w:t>
      </w:r>
      <w:r w:rsidRPr="00591F7F">
        <w:rPr>
          <w:sz w:val="18"/>
          <w:szCs w:val="18"/>
          <w:lang w:val="es-ES_tradnl"/>
        </w:rPr>
        <w:br/>
        <w:t xml:space="preserve">Director de la Oficina de Desarrollo de Telecomunicaciones </w:t>
      </w:r>
    </w:p>
    <w:p w:rsidR="002509FF" w:rsidRDefault="002509F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r>
        <w:rPr>
          <w:rFonts w:asciiTheme="minorHAnsi" w:hAnsiTheme="minorHAnsi" w:cstheme="minorHAnsi"/>
          <w:sz w:val="24"/>
          <w:szCs w:val="24"/>
          <w:lang w:val="es-ES_tradnl"/>
        </w:rPr>
        <w:br w:type="page"/>
      </w:r>
    </w:p>
    <w:p w:rsidR="00F54D98" w:rsidRPr="0002491A" w:rsidRDefault="00F54D98" w:rsidP="00F54D98">
      <w:pPr>
        <w:keepNext/>
        <w:keepLines/>
        <w:spacing w:before="240"/>
        <w:jc w:val="center"/>
        <w:rPr>
          <w:rFonts w:asciiTheme="minorHAnsi" w:hAnsiTheme="minorHAnsi" w:cstheme="minorHAnsi"/>
          <w:b/>
          <w:sz w:val="24"/>
          <w:szCs w:val="24"/>
          <w:lang w:val="es-ES"/>
        </w:rPr>
      </w:pPr>
      <w:r w:rsidRPr="0002491A">
        <w:rPr>
          <w:rFonts w:asciiTheme="minorHAnsi" w:hAnsiTheme="minorHAnsi" w:cstheme="minorHAnsi"/>
          <w:b/>
          <w:sz w:val="24"/>
          <w:szCs w:val="24"/>
          <w:lang w:val="es-ES"/>
        </w:rPr>
        <w:lastRenderedPageBreak/>
        <w:t>Anexo</w:t>
      </w:r>
      <w:r w:rsidRPr="0002491A">
        <w:rPr>
          <w:rFonts w:asciiTheme="minorHAnsi" w:hAnsiTheme="minorHAnsi" w:cstheme="minorHAnsi"/>
          <w:b/>
          <w:sz w:val="24"/>
          <w:szCs w:val="24"/>
          <w:lang w:val="es-ES"/>
        </w:rPr>
        <w:br/>
      </w:r>
      <w:r w:rsidRPr="0002491A">
        <w:rPr>
          <w:rFonts w:asciiTheme="minorHAnsi" w:hAnsiTheme="minorHAnsi" w:cstheme="minorHAnsi"/>
          <w:b/>
          <w:sz w:val="24"/>
          <w:szCs w:val="24"/>
          <w:lang w:val="es-ES"/>
        </w:rPr>
        <w:br/>
        <w:t xml:space="preserve">Títulos y resúmenes de los proyectos de Recomendación </w:t>
      </w:r>
    </w:p>
    <w:p w:rsidR="00F54D98" w:rsidRPr="0002491A" w:rsidRDefault="00F54D98" w:rsidP="0002491A">
      <w:pPr>
        <w:pStyle w:val="Normalaftertitle"/>
        <w:tabs>
          <w:tab w:val="left" w:pos="7938"/>
        </w:tabs>
        <w:spacing w:before="600"/>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t>Proyecto de nueva Recomendación UIT-R SM.[SPEC_MON_EVOLUTION]</w:t>
      </w:r>
      <w:r w:rsidRPr="0002491A">
        <w:rPr>
          <w:rFonts w:asciiTheme="minorHAnsi" w:hAnsiTheme="minorHAnsi" w:cstheme="minorHAnsi"/>
          <w:sz w:val="24"/>
          <w:szCs w:val="24"/>
          <w:lang w:val="es-ES"/>
        </w:rPr>
        <w:tab/>
        <w:t>Doc. 1/75(Rev.1)</w:t>
      </w:r>
    </w:p>
    <w:p w:rsidR="00F54D98" w:rsidRPr="0002491A" w:rsidRDefault="00F54D98" w:rsidP="00F54D98">
      <w:pPr>
        <w:pStyle w:val="Rectitle"/>
        <w:rPr>
          <w:rFonts w:asciiTheme="minorHAnsi" w:hAnsiTheme="minorHAnsi" w:cstheme="minorHAnsi"/>
          <w:szCs w:val="28"/>
          <w:lang w:val="es-ES"/>
        </w:rPr>
      </w:pPr>
      <w:r w:rsidRPr="0002491A">
        <w:rPr>
          <w:rFonts w:asciiTheme="minorHAnsi" w:hAnsiTheme="minorHAnsi" w:cstheme="minorHAnsi"/>
          <w:szCs w:val="28"/>
          <w:lang w:val="es-ES" w:eastAsia="ko-KR"/>
        </w:rPr>
        <w:t>Evolución de la comprobación técnica del espectro</w:t>
      </w:r>
    </w:p>
    <w:p w:rsidR="00F54D98" w:rsidRPr="0002491A" w:rsidRDefault="00F54D98" w:rsidP="00F54D98">
      <w:pPr>
        <w:tabs>
          <w:tab w:val="right" w:pos="9639"/>
        </w:tabs>
        <w:spacing w:before="240"/>
        <w:rPr>
          <w:rFonts w:asciiTheme="minorHAnsi" w:hAnsiTheme="minorHAnsi" w:cstheme="minorHAnsi"/>
          <w:sz w:val="24"/>
          <w:szCs w:val="24"/>
          <w:lang w:val="es-ES"/>
        </w:rPr>
      </w:pPr>
      <w:r w:rsidRPr="0002491A">
        <w:rPr>
          <w:rFonts w:asciiTheme="minorHAnsi" w:eastAsia="Batang" w:hAnsiTheme="minorHAnsi" w:cstheme="minorHAnsi"/>
          <w:sz w:val="24"/>
          <w:szCs w:val="24"/>
          <w:lang w:val="es-ES"/>
        </w:rPr>
        <w:t xml:space="preserve">En esta Recomendación se facilita una breve introducción a la evolución de la comprobación técnica del espectro y se recomiendan los requisitos y tecnologías que han de considerarse en apoyo de la evolución de la comprobación técnica del espectro. </w:t>
      </w:r>
    </w:p>
    <w:p w:rsidR="00F54D98" w:rsidRPr="0002491A" w:rsidRDefault="00F54D98" w:rsidP="0002491A">
      <w:pPr>
        <w:pStyle w:val="Normalaftertitle"/>
        <w:tabs>
          <w:tab w:val="left" w:pos="7938"/>
        </w:tabs>
        <w:spacing w:before="600"/>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t>Proyecto de revisión de la Recomendación UIT-R SM.1837</w:t>
      </w:r>
      <w:r w:rsidRPr="0002491A">
        <w:rPr>
          <w:rFonts w:asciiTheme="minorHAnsi" w:hAnsiTheme="minorHAnsi" w:cstheme="minorHAnsi"/>
          <w:sz w:val="24"/>
          <w:szCs w:val="24"/>
          <w:lang w:val="es-ES"/>
        </w:rPr>
        <w:tab/>
        <w:t>Doc. 1/63(Rev.1)</w:t>
      </w:r>
    </w:p>
    <w:p w:rsidR="00F54D98" w:rsidRPr="0002491A" w:rsidRDefault="00F54D98" w:rsidP="00F54D98">
      <w:pPr>
        <w:pStyle w:val="Rectitle"/>
        <w:rPr>
          <w:rFonts w:asciiTheme="minorHAnsi" w:hAnsiTheme="minorHAnsi" w:cstheme="minorHAnsi"/>
          <w:b w:val="0"/>
          <w:bCs/>
          <w:szCs w:val="28"/>
          <w:lang w:val="es-ES"/>
        </w:rPr>
      </w:pPr>
      <w:r w:rsidRPr="0002491A">
        <w:rPr>
          <w:rFonts w:asciiTheme="minorHAnsi" w:hAnsiTheme="minorHAnsi" w:cstheme="minorHAnsi"/>
          <w:szCs w:val="28"/>
          <w:lang w:val="es-ES"/>
        </w:rPr>
        <w:t xml:space="preserve">Procedimiento de prueba para medir el nivel de punto de intercepción de </w:t>
      </w:r>
      <w:r w:rsidRPr="0002491A">
        <w:rPr>
          <w:rFonts w:asciiTheme="minorHAnsi" w:hAnsiTheme="minorHAnsi" w:cstheme="minorHAnsi"/>
          <w:bCs/>
          <w:szCs w:val="28"/>
          <w:lang w:val="es-ES"/>
        </w:rPr>
        <w:t>3</w:t>
      </w:r>
      <w:r w:rsidRPr="0002491A">
        <w:rPr>
          <w:rFonts w:asciiTheme="minorHAnsi" w:hAnsiTheme="minorHAnsi" w:cstheme="minorHAnsi"/>
          <w:bCs/>
          <w:szCs w:val="28"/>
          <w:vertAlign w:val="superscript"/>
          <w:lang w:val="es-ES"/>
        </w:rPr>
        <w:t>er </w:t>
      </w:r>
      <w:r w:rsidRPr="0002491A">
        <w:rPr>
          <w:rFonts w:asciiTheme="minorHAnsi" w:hAnsiTheme="minorHAnsi" w:cstheme="minorHAnsi"/>
          <w:bCs/>
          <w:szCs w:val="28"/>
          <w:lang w:val="es-ES"/>
        </w:rPr>
        <w:t>orden (IP</w:t>
      </w:r>
      <w:r w:rsidRPr="0002491A">
        <w:rPr>
          <w:rFonts w:asciiTheme="minorHAnsi" w:hAnsiTheme="minorHAnsi" w:cstheme="minorHAnsi"/>
          <w:bCs/>
          <w:szCs w:val="28"/>
          <w:vertAlign w:val="subscript"/>
          <w:lang w:val="es-ES"/>
        </w:rPr>
        <w:t>3</w:t>
      </w:r>
      <w:r w:rsidRPr="0002491A">
        <w:rPr>
          <w:rFonts w:asciiTheme="minorHAnsi" w:hAnsiTheme="minorHAnsi" w:cstheme="minorHAnsi"/>
          <w:bCs/>
          <w:szCs w:val="28"/>
          <w:lang w:val="es-ES"/>
        </w:rPr>
        <w:t>) de los receptores de comprobación técnica radioeléctrica</w:t>
      </w:r>
    </w:p>
    <w:p w:rsidR="00F54D98" w:rsidRPr="0002491A" w:rsidRDefault="00F54D98" w:rsidP="00F54D98">
      <w:pPr>
        <w:spacing w:before="240"/>
        <w:rPr>
          <w:rFonts w:asciiTheme="minorHAnsi" w:hAnsiTheme="minorHAnsi" w:cstheme="minorHAnsi"/>
          <w:sz w:val="24"/>
          <w:szCs w:val="24"/>
          <w:lang w:val="es-ES"/>
        </w:rPr>
      </w:pPr>
      <w:r w:rsidRPr="0002491A">
        <w:rPr>
          <w:rFonts w:asciiTheme="minorHAnsi" w:hAnsiTheme="minorHAnsi" w:cstheme="minorHAnsi"/>
          <w:sz w:val="24"/>
          <w:szCs w:val="24"/>
          <w:lang w:val="es-ES"/>
        </w:rPr>
        <w:t>El objeto de la presente revisión es incluir algunas explicaciones breves con ejemplos para una mejor comprensión de la manera de seleccionar la condición apropiada que hay que aplicar para la medición del nivel de punto de intercepción de 3</w:t>
      </w:r>
      <w:r w:rsidRPr="0002491A">
        <w:rPr>
          <w:rFonts w:asciiTheme="minorHAnsi" w:hAnsiTheme="minorHAnsi" w:cstheme="minorHAnsi"/>
          <w:sz w:val="24"/>
          <w:szCs w:val="24"/>
          <w:vertAlign w:val="superscript"/>
          <w:lang w:val="es-ES"/>
        </w:rPr>
        <w:t>er</w:t>
      </w:r>
      <w:r w:rsidRPr="0002491A">
        <w:rPr>
          <w:rFonts w:asciiTheme="minorHAnsi" w:hAnsiTheme="minorHAnsi" w:cstheme="minorHAnsi"/>
          <w:sz w:val="24"/>
          <w:szCs w:val="24"/>
          <w:lang w:val="es-ES"/>
        </w:rPr>
        <w:t xml:space="preserve"> orden (IP</w:t>
      </w:r>
      <w:r w:rsidRPr="0002491A">
        <w:rPr>
          <w:rFonts w:asciiTheme="minorHAnsi" w:hAnsiTheme="minorHAnsi" w:cstheme="minorHAnsi"/>
          <w:sz w:val="24"/>
          <w:szCs w:val="24"/>
          <w:vertAlign w:val="subscript"/>
          <w:lang w:val="es-ES"/>
        </w:rPr>
        <w:t>3</w:t>
      </w:r>
      <w:r w:rsidRPr="0002491A">
        <w:rPr>
          <w:rFonts w:asciiTheme="minorHAnsi" w:hAnsiTheme="minorHAnsi" w:cstheme="minorHAnsi"/>
          <w:sz w:val="24"/>
          <w:szCs w:val="24"/>
          <w:lang w:val="es-ES"/>
        </w:rPr>
        <w:t xml:space="preserve">) de los receptores de comprobación técnica radioeléctrica. </w:t>
      </w:r>
    </w:p>
    <w:p w:rsidR="00F54D98" w:rsidRPr="0002491A" w:rsidRDefault="00F54D98" w:rsidP="0002491A">
      <w:pPr>
        <w:pStyle w:val="Normalaftertitle"/>
        <w:tabs>
          <w:tab w:val="left" w:pos="7938"/>
        </w:tabs>
        <w:spacing w:before="600"/>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t>Proyecto de revisión de la Recomendación UIT-R SM.1537</w:t>
      </w:r>
      <w:r w:rsidRPr="0002491A">
        <w:rPr>
          <w:rFonts w:asciiTheme="minorHAnsi" w:hAnsiTheme="minorHAnsi" w:cstheme="minorHAnsi"/>
          <w:sz w:val="24"/>
          <w:szCs w:val="24"/>
          <w:lang w:val="es-ES"/>
        </w:rPr>
        <w:tab/>
        <w:t>Doc. 1/64(Rev.1)</w:t>
      </w:r>
    </w:p>
    <w:p w:rsidR="00F54D98" w:rsidRPr="0002491A" w:rsidRDefault="00F54D98" w:rsidP="00F54D98">
      <w:pPr>
        <w:pStyle w:val="Rectitle"/>
        <w:rPr>
          <w:rFonts w:asciiTheme="minorHAnsi" w:hAnsiTheme="minorHAnsi" w:cstheme="minorHAnsi"/>
          <w:szCs w:val="28"/>
          <w:lang w:val="es-ES"/>
        </w:rPr>
      </w:pPr>
      <w:r w:rsidRPr="0002491A">
        <w:rPr>
          <w:rFonts w:asciiTheme="minorHAnsi" w:hAnsiTheme="minorHAnsi" w:cstheme="minorHAnsi"/>
          <w:szCs w:val="28"/>
          <w:lang w:val="es-ES"/>
        </w:rPr>
        <w:t xml:space="preserve">Automatización e integración de los sistemas de comprobación técnica </w:t>
      </w:r>
      <w:r w:rsidRPr="0002491A">
        <w:rPr>
          <w:rFonts w:asciiTheme="minorHAnsi" w:hAnsiTheme="minorHAnsi" w:cstheme="minorHAnsi"/>
          <w:szCs w:val="28"/>
          <w:lang w:val="es-ES"/>
        </w:rPr>
        <w:br/>
        <w:t>del espectro con la gestión automática del espectro</w:t>
      </w:r>
    </w:p>
    <w:p w:rsidR="00F54D98" w:rsidRPr="0002491A" w:rsidRDefault="00F54D98" w:rsidP="00F54D98">
      <w:pPr>
        <w:tabs>
          <w:tab w:val="right" w:pos="9639"/>
        </w:tabs>
        <w:spacing w:before="240"/>
        <w:rPr>
          <w:rFonts w:asciiTheme="minorHAnsi" w:hAnsiTheme="minorHAnsi" w:cstheme="minorHAnsi"/>
          <w:sz w:val="24"/>
          <w:szCs w:val="24"/>
          <w:lang w:val="es-ES"/>
        </w:rPr>
      </w:pPr>
      <w:r w:rsidRPr="0002491A">
        <w:rPr>
          <w:rFonts w:asciiTheme="minorHAnsi" w:hAnsiTheme="minorHAnsi" w:cstheme="minorHAnsi"/>
          <w:sz w:val="24"/>
          <w:szCs w:val="24"/>
          <w:lang w:val="es-ES"/>
        </w:rPr>
        <w:t xml:space="preserve">La Recomendación UIT-R SM.1537 se elaboró en el año 2000. En el periodo transcurrido desde entonces, la evolución de la tecnología ha hecho posible una nueva funcionalidad que puede formar parte de los sistemas de comprobación técnica del espectro automatizados e integrados, y la integración de los mismos en la gestión automática del espectro. El objeto de esta revisión es incluir la citada funcionalidad adicional. </w:t>
      </w:r>
    </w:p>
    <w:p w:rsidR="00F54D98" w:rsidRPr="0002491A" w:rsidRDefault="00F54D98" w:rsidP="0002491A">
      <w:pPr>
        <w:pStyle w:val="Normalaftertitle"/>
        <w:tabs>
          <w:tab w:val="left" w:pos="7938"/>
        </w:tabs>
        <w:spacing w:before="600"/>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t>Proyecto de revisión de la Recomendación UIT-R SM.1370-1</w:t>
      </w:r>
      <w:r w:rsidRPr="0002491A">
        <w:rPr>
          <w:rFonts w:asciiTheme="minorHAnsi" w:hAnsiTheme="minorHAnsi" w:cstheme="minorHAnsi"/>
          <w:sz w:val="24"/>
          <w:szCs w:val="24"/>
          <w:lang w:val="es-ES"/>
        </w:rPr>
        <w:tab/>
        <w:t>Doc. 1/67(Rev.1)</w:t>
      </w:r>
    </w:p>
    <w:p w:rsidR="00F54D98" w:rsidRPr="0002491A" w:rsidRDefault="00F54D98" w:rsidP="00F54D98">
      <w:pPr>
        <w:pStyle w:val="Rectitle"/>
        <w:rPr>
          <w:rFonts w:asciiTheme="minorHAnsi" w:hAnsiTheme="minorHAnsi" w:cstheme="minorHAnsi"/>
          <w:szCs w:val="28"/>
          <w:lang w:val="es-ES"/>
        </w:rPr>
      </w:pPr>
      <w:r w:rsidRPr="0002491A">
        <w:rPr>
          <w:rFonts w:asciiTheme="minorHAnsi" w:hAnsiTheme="minorHAnsi" w:cstheme="minorHAnsi"/>
          <w:szCs w:val="28"/>
          <w:lang w:val="es-ES"/>
        </w:rPr>
        <w:t xml:space="preserve">Directrices de diseño para la elaboración de sistemas avanzados </w:t>
      </w:r>
      <w:r w:rsidRPr="0002491A">
        <w:rPr>
          <w:rFonts w:asciiTheme="minorHAnsi" w:hAnsiTheme="minorHAnsi" w:cstheme="minorHAnsi"/>
          <w:szCs w:val="28"/>
          <w:lang w:val="es-ES"/>
        </w:rPr>
        <w:br/>
        <w:t>de gestión automática del espectro</w:t>
      </w:r>
    </w:p>
    <w:p w:rsidR="00F54D98" w:rsidRPr="0002491A" w:rsidRDefault="00F54D98" w:rsidP="00F54D98">
      <w:pPr>
        <w:spacing w:before="240"/>
        <w:rPr>
          <w:rFonts w:asciiTheme="minorHAnsi" w:hAnsiTheme="minorHAnsi" w:cstheme="minorHAnsi"/>
          <w:sz w:val="24"/>
          <w:szCs w:val="24"/>
          <w:u w:val="single"/>
          <w:lang w:val="es-ES"/>
        </w:rPr>
      </w:pPr>
      <w:r w:rsidRPr="0002491A">
        <w:rPr>
          <w:rFonts w:asciiTheme="minorHAnsi" w:hAnsiTheme="minorHAnsi" w:cstheme="minorHAnsi"/>
          <w:sz w:val="24"/>
          <w:szCs w:val="24"/>
          <w:lang w:val="es-ES"/>
        </w:rPr>
        <w:t xml:space="preserve">Dado que los sistemas de gestión automática del espectro han evolucionado desde el año 2001, el objeto de esta revisión es reflejar los cambios en las Resoluciones pertinentes de la CMR, en las publicaciones y el software de la UIT, el Reglamento de Radiocomunicaciones, los Manuales, las Recomendaciones y los Informes del UIT-R, el SMS4DC y las BR IFIC. La revisión incluye los avances en la reglamentación de la gestión </w:t>
      </w:r>
      <w:bookmarkStart w:id="4" w:name="_GoBack"/>
      <w:bookmarkEnd w:id="4"/>
      <w:r w:rsidRPr="0002491A">
        <w:rPr>
          <w:rFonts w:asciiTheme="minorHAnsi" w:hAnsiTheme="minorHAnsi" w:cstheme="minorHAnsi"/>
          <w:sz w:val="24"/>
          <w:szCs w:val="24"/>
          <w:lang w:val="es-ES"/>
        </w:rPr>
        <w:t xml:space="preserve">del espectro, el proceso de aprobación y las herramientas de ingeniería. Se incluyen los recientes avances en los equipos, el software y la constitución de redes. Se eliminaron las redundancias que aparecen en otras publicaciones SG 1. </w:t>
      </w:r>
    </w:p>
    <w:p w:rsidR="00F54D98" w:rsidRPr="0002491A" w:rsidRDefault="00F54D98" w:rsidP="00F54D98">
      <w:pPr>
        <w:pStyle w:val="Normalaftertitle"/>
        <w:tabs>
          <w:tab w:val="left" w:pos="7938"/>
        </w:tabs>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lastRenderedPageBreak/>
        <w:t>Proyecto de modificación de la Recomendación UIT-R SM.1541-4</w:t>
      </w:r>
      <w:r w:rsidRPr="0002491A">
        <w:rPr>
          <w:rFonts w:asciiTheme="minorHAnsi" w:hAnsiTheme="minorHAnsi" w:cstheme="minorHAnsi"/>
          <w:sz w:val="24"/>
          <w:szCs w:val="24"/>
          <w:lang w:val="es-ES"/>
        </w:rPr>
        <w:tab/>
        <w:t>Doc. 1/71(Rev.1)</w:t>
      </w:r>
    </w:p>
    <w:p w:rsidR="00F54D98" w:rsidRPr="0002491A" w:rsidRDefault="00F54D98" w:rsidP="00F54D98">
      <w:pPr>
        <w:pStyle w:val="Rectitle"/>
        <w:rPr>
          <w:rFonts w:asciiTheme="minorHAnsi" w:hAnsiTheme="minorHAnsi" w:cstheme="minorHAnsi"/>
          <w:szCs w:val="28"/>
          <w:lang w:val="es-ES"/>
        </w:rPr>
      </w:pPr>
      <w:r w:rsidRPr="0002491A">
        <w:rPr>
          <w:rFonts w:asciiTheme="minorHAnsi" w:hAnsiTheme="minorHAnsi" w:cstheme="minorHAnsi"/>
          <w:szCs w:val="28"/>
          <w:lang w:val="es-ES"/>
        </w:rPr>
        <w:t>Emisiones no deseadas en el dominio fuera de banda</w:t>
      </w:r>
    </w:p>
    <w:p w:rsidR="00F54D98" w:rsidRPr="0002491A" w:rsidRDefault="00F54D98" w:rsidP="00F54D98">
      <w:pPr>
        <w:spacing w:before="240"/>
        <w:rPr>
          <w:rFonts w:asciiTheme="minorHAnsi" w:hAnsiTheme="minorHAnsi" w:cstheme="minorHAnsi"/>
          <w:sz w:val="24"/>
          <w:szCs w:val="24"/>
          <w:lang w:val="es-ES"/>
        </w:rPr>
      </w:pPr>
      <w:r w:rsidRPr="0002491A">
        <w:rPr>
          <w:rFonts w:asciiTheme="minorHAnsi" w:hAnsiTheme="minorHAnsi" w:cstheme="minorHAnsi"/>
          <w:sz w:val="24"/>
          <w:szCs w:val="24"/>
          <w:lang w:val="es-ES"/>
        </w:rPr>
        <w:t xml:space="preserve">El objeto de esta modificación es añadir en el Anexo 4 una referencia a la Recomendación </w:t>
      </w:r>
      <w:r w:rsidRPr="0002491A">
        <w:rPr>
          <w:rFonts w:asciiTheme="minorHAnsi" w:hAnsiTheme="minorHAnsi" w:cstheme="minorHAnsi"/>
          <w:sz w:val="24"/>
          <w:szCs w:val="24"/>
          <w:lang w:val="es-ES" w:eastAsia="ja-JP"/>
        </w:rPr>
        <w:t>UIT</w:t>
      </w:r>
      <w:r w:rsidRPr="0002491A">
        <w:rPr>
          <w:rFonts w:asciiTheme="minorHAnsi" w:hAnsiTheme="minorHAnsi" w:cstheme="minorHAnsi"/>
          <w:sz w:val="24"/>
          <w:szCs w:val="24"/>
          <w:lang w:val="es-ES" w:eastAsia="ja-JP"/>
        </w:rPr>
        <w:noBreakHyphen/>
        <w:t>R </w:t>
      </w:r>
      <w:hyperlink r:id="rId11" w:history="1">
        <w:r w:rsidRPr="0002491A">
          <w:rPr>
            <w:rFonts w:asciiTheme="minorHAnsi" w:hAnsiTheme="minorHAnsi" w:cstheme="minorHAnsi"/>
            <w:color w:val="0000FF"/>
            <w:sz w:val="24"/>
            <w:szCs w:val="24"/>
            <w:u w:val="single"/>
            <w:lang w:val="es-ES" w:eastAsia="ja-JP"/>
          </w:rPr>
          <w:t>BT.1206-1</w:t>
        </w:r>
      </w:hyperlink>
      <w:r w:rsidRPr="0002491A">
        <w:rPr>
          <w:rFonts w:asciiTheme="minorHAnsi" w:hAnsiTheme="minorHAnsi" w:cstheme="minorHAnsi"/>
          <w:sz w:val="24"/>
          <w:szCs w:val="24"/>
          <w:lang w:val="es-ES" w:eastAsia="ja-JP"/>
        </w:rPr>
        <w:t>.</w:t>
      </w:r>
    </w:p>
    <w:p w:rsidR="00F54D98" w:rsidRPr="0002491A" w:rsidRDefault="00F54D98" w:rsidP="00F54D98">
      <w:pPr>
        <w:pStyle w:val="Normalaftertitle"/>
        <w:tabs>
          <w:tab w:val="left" w:pos="7938"/>
        </w:tabs>
        <w:spacing w:before="720"/>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t>Proyecto de modificación de la Recomendación UIT-R SM.1879-1</w:t>
      </w:r>
      <w:r w:rsidRPr="0002491A">
        <w:rPr>
          <w:rFonts w:asciiTheme="minorHAnsi" w:hAnsiTheme="minorHAnsi" w:cstheme="minorHAnsi"/>
          <w:sz w:val="24"/>
          <w:szCs w:val="24"/>
          <w:lang w:val="es-ES"/>
        </w:rPr>
        <w:tab/>
        <w:t>Doc. 1/74(Rev.1)</w:t>
      </w:r>
    </w:p>
    <w:p w:rsidR="00F54D98" w:rsidRPr="0002491A" w:rsidRDefault="00F54D98" w:rsidP="00F54D98">
      <w:pPr>
        <w:pStyle w:val="Rectitle"/>
        <w:rPr>
          <w:rFonts w:asciiTheme="minorHAnsi" w:hAnsiTheme="minorHAnsi" w:cstheme="minorHAnsi"/>
          <w:szCs w:val="28"/>
          <w:lang w:val="es-ES"/>
        </w:rPr>
      </w:pPr>
      <w:r w:rsidRPr="0002491A">
        <w:rPr>
          <w:rFonts w:asciiTheme="minorHAnsi" w:hAnsiTheme="minorHAnsi" w:cstheme="minorHAnsi"/>
          <w:szCs w:val="28"/>
          <w:lang w:val="es-ES"/>
        </w:rPr>
        <w:t xml:space="preserve">Repercusión de los sistemas de telecomunicaciones de alta velocidad de datos por líneas de energía eléctrica por debajo de 30 MHz y entre 80 y 470 MHz </w:t>
      </w:r>
      <w:r w:rsidRPr="0002491A">
        <w:rPr>
          <w:rFonts w:asciiTheme="minorHAnsi" w:hAnsiTheme="minorHAnsi" w:cstheme="minorHAnsi"/>
          <w:szCs w:val="28"/>
          <w:lang w:val="es-ES"/>
        </w:rPr>
        <w:br/>
        <w:t>en los sistemas de radiocomunicaciones</w:t>
      </w:r>
    </w:p>
    <w:p w:rsidR="00F54D98" w:rsidRPr="0002491A" w:rsidRDefault="00F54D98" w:rsidP="00F54D98">
      <w:pPr>
        <w:spacing w:before="240"/>
        <w:rPr>
          <w:rFonts w:asciiTheme="minorHAnsi" w:hAnsiTheme="minorHAnsi" w:cstheme="minorHAnsi"/>
          <w:sz w:val="24"/>
          <w:szCs w:val="24"/>
          <w:lang w:val="es-ES"/>
        </w:rPr>
      </w:pPr>
      <w:r w:rsidRPr="0002491A">
        <w:rPr>
          <w:rFonts w:asciiTheme="minorHAnsi" w:hAnsiTheme="minorHAnsi" w:cstheme="minorHAnsi"/>
          <w:sz w:val="24"/>
          <w:szCs w:val="24"/>
          <w:lang w:val="es-ES"/>
        </w:rPr>
        <w:t>En esta modificación se tiene en cuenta nueva información relativa a la radiodifusión, la radiolocalización, la radionavegación aeronáutica y la radioastronomía, y amplía la gama de frecuencia de manera que abarque también 30-80 MHz.</w:t>
      </w:r>
    </w:p>
    <w:p w:rsidR="00F54D98" w:rsidRPr="0002491A" w:rsidRDefault="00F54D98" w:rsidP="00F54D98">
      <w:pPr>
        <w:pStyle w:val="Normalaftertitle"/>
        <w:tabs>
          <w:tab w:val="left" w:pos="7938"/>
        </w:tabs>
        <w:spacing w:before="720"/>
        <w:rPr>
          <w:rFonts w:asciiTheme="minorHAnsi" w:hAnsiTheme="minorHAnsi" w:cstheme="minorHAnsi"/>
          <w:sz w:val="24"/>
          <w:szCs w:val="24"/>
          <w:lang w:val="es-ES"/>
        </w:rPr>
      </w:pPr>
      <w:r w:rsidRPr="0002491A">
        <w:rPr>
          <w:rFonts w:asciiTheme="minorHAnsi" w:hAnsiTheme="minorHAnsi" w:cstheme="minorHAnsi"/>
          <w:sz w:val="24"/>
          <w:szCs w:val="24"/>
          <w:u w:val="single"/>
          <w:lang w:val="es-ES"/>
        </w:rPr>
        <w:t>Proyecto de modificación de la Recomendación UIT-R SM.1875</w:t>
      </w:r>
      <w:r w:rsidRPr="0002491A">
        <w:rPr>
          <w:rFonts w:asciiTheme="minorHAnsi" w:hAnsiTheme="minorHAnsi" w:cstheme="minorHAnsi"/>
          <w:sz w:val="24"/>
          <w:szCs w:val="24"/>
          <w:lang w:val="es-ES"/>
        </w:rPr>
        <w:tab/>
        <w:t>Doc. 1/78(Rev.1)</w:t>
      </w:r>
    </w:p>
    <w:p w:rsidR="00F54D98" w:rsidRPr="0002491A" w:rsidRDefault="00F54D98" w:rsidP="00F54D98">
      <w:pPr>
        <w:pStyle w:val="Rectitle"/>
        <w:rPr>
          <w:rFonts w:asciiTheme="minorHAnsi" w:hAnsiTheme="minorHAnsi" w:cstheme="minorHAnsi"/>
          <w:szCs w:val="28"/>
          <w:lang w:val="es-ES"/>
        </w:rPr>
      </w:pPr>
      <w:r w:rsidRPr="0002491A">
        <w:rPr>
          <w:rFonts w:asciiTheme="minorHAnsi" w:hAnsiTheme="minorHAnsi" w:cstheme="minorHAnsi"/>
          <w:szCs w:val="28"/>
          <w:lang w:val="es-ES"/>
        </w:rPr>
        <w:t xml:space="preserve">Mediciones de la cobertura de la DVB-T y verificación </w:t>
      </w:r>
      <w:r w:rsidRPr="0002491A">
        <w:rPr>
          <w:rFonts w:asciiTheme="minorHAnsi" w:hAnsiTheme="minorHAnsi" w:cstheme="minorHAnsi"/>
          <w:szCs w:val="28"/>
          <w:lang w:val="es-ES"/>
        </w:rPr>
        <w:br/>
        <w:t>de los criterios de planificación</w:t>
      </w:r>
    </w:p>
    <w:p w:rsidR="00F54D98" w:rsidRPr="0002491A" w:rsidRDefault="00F54D98" w:rsidP="00F54D98">
      <w:pPr>
        <w:spacing w:before="240"/>
        <w:rPr>
          <w:rFonts w:asciiTheme="minorHAnsi" w:hAnsiTheme="minorHAnsi" w:cstheme="minorHAnsi"/>
          <w:sz w:val="24"/>
          <w:szCs w:val="24"/>
          <w:lang w:val="es-ES"/>
        </w:rPr>
      </w:pPr>
      <w:r w:rsidRPr="0002491A">
        <w:rPr>
          <w:rFonts w:asciiTheme="minorHAnsi" w:hAnsiTheme="minorHAnsi" w:cstheme="minorHAnsi"/>
          <w:sz w:val="24"/>
          <w:szCs w:val="24"/>
          <w:lang w:val="es-ES"/>
        </w:rPr>
        <w:t>El objeto de esta modificación es actualizar los valores tomados anteriormente del Acuerdo GE06. Estos valores se han actualizado en una revisión de la Recomendación UIT-R P.1812 que ahora contiene los valores más recientes para la atenuación de los edifi</w:t>
      </w:r>
      <w:r w:rsidR="0002491A">
        <w:rPr>
          <w:rFonts w:asciiTheme="minorHAnsi" w:hAnsiTheme="minorHAnsi" w:cstheme="minorHAnsi"/>
          <w:sz w:val="24"/>
          <w:szCs w:val="24"/>
          <w:lang w:val="es-ES"/>
        </w:rPr>
        <w:t>cios y su desviación típica. Se </w:t>
      </w:r>
      <w:r w:rsidRPr="0002491A">
        <w:rPr>
          <w:rFonts w:asciiTheme="minorHAnsi" w:hAnsiTheme="minorHAnsi" w:cstheme="minorHAnsi"/>
          <w:sz w:val="24"/>
          <w:szCs w:val="24"/>
          <w:lang w:val="es-ES"/>
        </w:rPr>
        <w:t>propone un proyecto de modificación del Anexo 2 de la Recomendación UIT-R SM.1875 a fin de adaptar esta Recomendación a la Recomendación UIT</w:t>
      </w:r>
      <w:r w:rsidRPr="0002491A">
        <w:rPr>
          <w:rFonts w:asciiTheme="minorHAnsi" w:hAnsiTheme="minorHAnsi" w:cstheme="minorHAnsi"/>
          <w:sz w:val="24"/>
          <w:szCs w:val="24"/>
          <w:lang w:val="es-ES"/>
        </w:rPr>
        <w:noBreakHyphen/>
        <w:t>R P.1812-2.</w:t>
      </w:r>
    </w:p>
    <w:p w:rsidR="00F54D98" w:rsidRPr="0002491A" w:rsidRDefault="00F54D98" w:rsidP="00F54D98">
      <w:pPr>
        <w:rPr>
          <w:rFonts w:asciiTheme="minorHAnsi" w:hAnsiTheme="minorHAnsi" w:cstheme="minorHAnsi"/>
          <w:sz w:val="24"/>
          <w:szCs w:val="24"/>
          <w:lang w:val="es-ES"/>
        </w:rPr>
      </w:pPr>
    </w:p>
    <w:p w:rsidR="002509FF" w:rsidRPr="002509FF" w:rsidRDefault="002509FF" w:rsidP="002509FF">
      <w:pPr>
        <w:rPr>
          <w:rFonts w:asciiTheme="minorHAnsi" w:hAnsiTheme="minorHAnsi" w:cstheme="minorHAnsi"/>
          <w:sz w:val="24"/>
          <w:szCs w:val="24"/>
          <w:lang w:val="es-ES_tradnl"/>
        </w:rPr>
      </w:pPr>
    </w:p>
    <w:p w:rsidR="002509FF" w:rsidRPr="002509FF" w:rsidRDefault="002509FF" w:rsidP="002509FF">
      <w:pPr>
        <w:tabs>
          <w:tab w:val="left" w:pos="8080"/>
        </w:tabs>
        <w:rPr>
          <w:rFonts w:asciiTheme="minorHAnsi" w:hAnsiTheme="minorHAnsi" w:cstheme="minorHAnsi"/>
          <w:sz w:val="24"/>
          <w:szCs w:val="24"/>
          <w:lang w:val="es-ES_tradnl"/>
        </w:rPr>
      </w:pPr>
    </w:p>
    <w:p w:rsidR="002509FF" w:rsidRPr="002509FF" w:rsidRDefault="002509FF" w:rsidP="002509FF">
      <w:pPr>
        <w:pStyle w:val="Headingb"/>
        <w:spacing w:before="360" w:after="120"/>
        <w:jc w:val="center"/>
        <w:rPr>
          <w:lang w:val="es-ES_tradnl"/>
        </w:rPr>
      </w:pPr>
      <w:r w:rsidRPr="002509FF">
        <w:rPr>
          <w:lang w:val="es-ES_tradnl"/>
        </w:rPr>
        <w:t>________________</w:t>
      </w:r>
    </w:p>
    <w:p w:rsidR="002509FF" w:rsidRPr="002509FF" w:rsidRDefault="002509FF" w:rsidP="002509FF">
      <w:pPr>
        <w:spacing w:before="1418" w:line="240" w:lineRule="auto"/>
        <w:jc w:val="left"/>
        <w:rPr>
          <w:rFonts w:asciiTheme="minorHAnsi" w:hAnsiTheme="minorHAnsi" w:cstheme="minorHAnsi"/>
          <w:sz w:val="24"/>
          <w:szCs w:val="24"/>
          <w:lang w:val="es-ES_tradnl"/>
        </w:rPr>
      </w:pPr>
    </w:p>
    <w:sectPr w:rsidR="002509FF" w:rsidRPr="002509FF"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FF" w:rsidRDefault="002509FF">
      <w:r>
        <w:separator/>
      </w:r>
    </w:p>
  </w:endnote>
  <w:endnote w:type="continuationSeparator" w:id="0">
    <w:p w:rsidR="002509FF" w:rsidRDefault="0025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0B1B6B">
      <w:fldChar w:fldCharType="begin"/>
    </w:r>
    <w:r w:rsidR="000B1B6B" w:rsidRPr="000B1B6B">
      <w:rPr>
        <w:lang w:val="es-ES_tradnl"/>
        <w:rPrChange w:id="5" w:author="mostyn" w:date="2013-05-08T11:11:00Z">
          <w:rPr/>
        </w:rPrChange>
      </w:rPr>
      <w:instrText xml:space="preserve"> HYPERLINK "mailto:itumail@itu.int" </w:instrText>
    </w:r>
    <w:r w:rsidR="000B1B6B">
      <w:fldChar w:fldCharType="separate"/>
    </w:r>
    <w:r w:rsidRPr="00A96D3A">
      <w:rPr>
        <w:rStyle w:val="Hyperlink"/>
        <w:sz w:val="18"/>
        <w:szCs w:val="18"/>
        <w:lang w:val="es-ES"/>
      </w:rPr>
      <w:t>itumail@itu.int</w:t>
    </w:r>
    <w:r w:rsidR="000B1B6B">
      <w:rPr>
        <w:rStyle w:val="Hyperlink"/>
        <w:sz w:val="18"/>
        <w:szCs w:val="18"/>
        <w:lang w:val="es-ES"/>
      </w:rPr>
      <w:fldChar w:fldCharType="end"/>
    </w:r>
    <w:r w:rsidRPr="00A96D3A">
      <w:rPr>
        <w:sz w:val="18"/>
        <w:szCs w:val="18"/>
        <w:lang w:val="es-ES"/>
      </w:rPr>
      <w:t xml:space="preserve"> • </w:t>
    </w:r>
    <w:r w:rsidR="000B1B6B">
      <w:fldChar w:fldCharType="begin"/>
    </w:r>
    <w:r w:rsidR="000B1B6B" w:rsidRPr="000B1B6B">
      <w:rPr>
        <w:lang w:val="es-ES_tradnl"/>
        <w:rPrChange w:id="6" w:author="mostyn" w:date="2013-05-08T11:11:00Z">
          <w:rPr/>
        </w:rPrChange>
      </w:rPr>
      <w:instrText xml:space="preserve"> HYPERLINK "http://www.itu.int/en/pages/default.aspx" </w:instrText>
    </w:r>
    <w:r w:rsidR="000B1B6B">
      <w:fldChar w:fldCharType="separate"/>
    </w:r>
    <w:r w:rsidRPr="00A96D3A">
      <w:rPr>
        <w:rStyle w:val="Hyperlink"/>
        <w:sz w:val="18"/>
        <w:szCs w:val="18"/>
        <w:lang w:val="es-ES"/>
      </w:rPr>
      <w:t>www.itu.int</w:t>
    </w:r>
    <w:r w:rsidR="000B1B6B">
      <w:rPr>
        <w:rStyle w:val="Hyperlink"/>
        <w:sz w:val="18"/>
        <w:szCs w:val="18"/>
        <w:lang w:val="es-ES"/>
      </w:rPr>
      <w:fldChar w:fldCharType="end"/>
    </w:r>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FF" w:rsidRDefault="002509FF">
      <w:r>
        <w:t>____________________</w:t>
      </w:r>
    </w:p>
  </w:footnote>
  <w:footnote w:type="continuationSeparator" w:id="0">
    <w:p w:rsidR="002509FF" w:rsidRDefault="0025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r>
    <w:r w:rsidRPr="002B686E">
      <w:rPr>
        <w:sz w:val="18"/>
        <w:szCs w:val="18"/>
      </w:rPr>
      <w:t xml:space="preserve">– </w:t>
    </w:r>
    <w:r w:rsidR="001B42C9" w:rsidRPr="002B686E">
      <w:rPr>
        <w:rStyle w:val="PageNumber"/>
        <w:sz w:val="18"/>
        <w:szCs w:val="18"/>
      </w:rPr>
      <w:fldChar w:fldCharType="begin"/>
    </w:r>
    <w:r w:rsidRPr="002B686E">
      <w:rPr>
        <w:rStyle w:val="PageNumber"/>
        <w:sz w:val="18"/>
        <w:szCs w:val="18"/>
      </w:rPr>
      <w:instrText xml:space="preserve"> PAGE </w:instrText>
    </w:r>
    <w:r w:rsidR="001B42C9" w:rsidRPr="002B686E">
      <w:rPr>
        <w:rStyle w:val="PageNumber"/>
        <w:sz w:val="18"/>
        <w:szCs w:val="18"/>
      </w:rPr>
      <w:fldChar w:fldCharType="separate"/>
    </w:r>
    <w:r w:rsidR="002B686E">
      <w:rPr>
        <w:rStyle w:val="PageNumber"/>
        <w:noProof/>
        <w:sz w:val="18"/>
        <w:szCs w:val="18"/>
      </w:rPr>
      <w:t>4</w:t>
    </w:r>
    <w:r w:rsidR="001B42C9" w:rsidRPr="002B686E">
      <w:rPr>
        <w:rStyle w:val="PageNumber"/>
        <w:sz w:val="18"/>
        <w:szCs w:val="18"/>
      </w:rPr>
      <w:fldChar w:fldCharType="end"/>
    </w:r>
    <w:r w:rsidRPr="002B686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B686E" w:rsidRDefault="00E915AF">
    <w:pPr>
      <w:pStyle w:val="Header"/>
      <w:rPr>
        <w:iCs/>
        <w:sz w:val="18"/>
        <w:szCs w:val="18"/>
      </w:rPr>
    </w:pPr>
    <w:r w:rsidRPr="00591F7F">
      <w:rPr>
        <w:iCs/>
      </w:rPr>
      <w:tab/>
    </w:r>
    <w:r w:rsidRPr="00591F7F">
      <w:rPr>
        <w:iCs/>
      </w:rPr>
      <w:tab/>
    </w:r>
    <w:r w:rsidR="00591F7F" w:rsidRPr="002B686E">
      <w:rPr>
        <w:sz w:val="18"/>
        <w:szCs w:val="18"/>
      </w:rPr>
      <w:t xml:space="preserve">– </w:t>
    </w:r>
    <w:r w:rsidR="001B42C9" w:rsidRPr="002B686E">
      <w:rPr>
        <w:iCs/>
        <w:sz w:val="18"/>
        <w:szCs w:val="18"/>
      </w:rPr>
      <w:fldChar w:fldCharType="begin"/>
    </w:r>
    <w:r w:rsidRPr="002B686E">
      <w:rPr>
        <w:iCs/>
        <w:sz w:val="18"/>
        <w:szCs w:val="18"/>
      </w:rPr>
      <w:instrText xml:space="preserve"> PAGE  \* MERGEFORMAT </w:instrText>
    </w:r>
    <w:r w:rsidR="001B42C9" w:rsidRPr="002B686E">
      <w:rPr>
        <w:iCs/>
        <w:sz w:val="18"/>
        <w:szCs w:val="18"/>
      </w:rPr>
      <w:fldChar w:fldCharType="separate"/>
    </w:r>
    <w:r w:rsidR="002B686E">
      <w:rPr>
        <w:iCs/>
        <w:noProof/>
        <w:sz w:val="18"/>
        <w:szCs w:val="18"/>
      </w:rPr>
      <w:t>3</w:t>
    </w:r>
    <w:r w:rsidR="001B42C9" w:rsidRPr="002B686E">
      <w:rPr>
        <w:iCs/>
        <w:sz w:val="18"/>
        <w:szCs w:val="18"/>
      </w:rPr>
      <w:fldChar w:fldCharType="end"/>
    </w:r>
    <w:r w:rsidR="00591F7F" w:rsidRPr="002B686E">
      <w:rPr>
        <w:iCs/>
        <w:sz w:val="18"/>
        <w:szCs w:val="18"/>
      </w:rPr>
      <w:t xml:space="preserve"> </w:t>
    </w:r>
    <w:r w:rsidR="00591F7F" w:rsidRPr="002B686E">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509FF"/>
    <w:rsid w:val="00006A31"/>
    <w:rsid w:val="00006C82"/>
    <w:rsid w:val="00010E30"/>
    <w:rsid w:val="00015C76"/>
    <w:rsid w:val="0002491A"/>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1B6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307A"/>
    <w:rsid w:val="002302B3"/>
    <w:rsid w:val="00230C66"/>
    <w:rsid w:val="00235A29"/>
    <w:rsid w:val="00241526"/>
    <w:rsid w:val="002443A2"/>
    <w:rsid w:val="002509FF"/>
    <w:rsid w:val="00266E74"/>
    <w:rsid w:val="00283C3B"/>
    <w:rsid w:val="002861E6"/>
    <w:rsid w:val="00287D18"/>
    <w:rsid w:val="002A2618"/>
    <w:rsid w:val="002A5DD7"/>
    <w:rsid w:val="002B0CAC"/>
    <w:rsid w:val="002B686E"/>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7EF"/>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3CE0"/>
    <w:rsid w:val="00534372"/>
    <w:rsid w:val="00543DF8"/>
    <w:rsid w:val="00546101"/>
    <w:rsid w:val="00553DD7"/>
    <w:rsid w:val="005638CF"/>
    <w:rsid w:val="0056741E"/>
    <w:rsid w:val="0057325A"/>
    <w:rsid w:val="0057469A"/>
    <w:rsid w:val="00580814"/>
    <w:rsid w:val="00583A0B"/>
    <w:rsid w:val="00591F7F"/>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0F6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7072"/>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1795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B9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4D98"/>
    <w:rsid w:val="00F6184F"/>
    <w:rsid w:val="00F8310E"/>
    <w:rsid w:val="00F914DD"/>
    <w:rsid w:val="00FA2358"/>
    <w:rsid w:val="00FB2592"/>
    <w:rsid w:val="00FB2810"/>
    <w:rsid w:val="00FB5165"/>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2509FF"/>
    <w:pPr>
      <w:ind w:left="720"/>
      <w:contextualSpacing/>
    </w:pPr>
  </w:style>
  <w:style w:type="paragraph" w:customStyle="1" w:styleId="AnnexNotitle0">
    <w:name w:val="Annex_No &amp; title"/>
    <w:basedOn w:val="Normal"/>
    <w:next w:val="Normalaftertitle"/>
    <w:rsid w:val="002509FF"/>
    <w:pPr>
      <w:keepNext/>
      <w:keepLines/>
      <w:spacing w:before="480" w:line="240" w:lineRule="auto"/>
      <w:jc w:val="center"/>
    </w:pPr>
    <w:rPr>
      <w:rFonts w:ascii="Times New Roman" w:hAnsi="Times New Roman" w:cs="Times New Roman"/>
      <w:b/>
      <w:sz w:val="28"/>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2509FF"/>
    <w:pPr>
      <w:ind w:left="720"/>
      <w:contextualSpacing/>
    </w:pPr>
  </w:style>
  <w:style w:type="paragraph" w:customStyle="1" w:styleId="AnnexNotitle0">
    <w:name w:val="Annex_No &amp; title"/>
    <w:basedOn w:val="Normal"/>
    <w:next w:val="Normalaftertitle"/>
    <w:rsid w:val="002509FF"/>
    <w:pPr>
      <w:keepNext/>
      <w:keepLines/>
      <w:spacing w:before="480" w:line="240" w:lineRule="auto"/>
      <w:jc w:val="center"/>
    </w:pPr>
    <w:rPr>
      <w:rFonts w:ascii="Times New Roman" w:hAnsi="Times New Roman" w:cs="Times New Roman"/>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BT.1206/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12-SG01-C/en" TargetMode="External"/><Relationship Id="rId4" Type="http://schemas.microsoft.com/office/2007/relationships/stylesWithEffects" Target="stylesWithEffects.xml"/><Relationship Id="rId9" Type="http://schemas.openxmlformats.org/officeDocument/2006/relationships/hyperlink" Target="http://www.itu.int/rec/R-REC-SM/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4E14-2FE0-4007-A901-272B99DD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49</TotalTime>
  <Pages>4</Pages>
  <Words>1070</Words>
  <Characters>6458</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6</cp:revision>
  <cp:lastPrinted>2013-06-26T12:20:00Z</cp:lastPrinted>
  <dcterms:created xsi:type="dcterms:W3CDTF">2013-06-21T11:35:00Z</dcterms:created>
  <dcterms:modified xsi:type="dcterms:W3CDTF">2013-06-26T12:22:00Z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