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101"/>
        <w:gridCol w:w="5953"/>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0775B8" w:rsidTr="006160CB">
        <w:tc>
          <w:tcPr>
            <w:tcW w:w="7054" w:type="dxa"/>
            <w:gridSpan w:val="2"/>
            <w:shd w:val="clear" w:color="auto" w:fill="auto"/>
          </w:tcPr>
          <w:p w:rsidR="00E53DCE" w:rsidRPr="00DF392A" w:rsidRDefault="00E53DCE" w:rsidP="006160CB">
            <w:pPr>
              <w:spacing w:before="0"/>
              <w:jc w:val="left"/>
              <w:rPr>
                <w:sz w:val="24"/>
                <w:szCs w:val="24"/>
                <w:lang w:val="fr-CH"/>
              </w:rPr>
            </w:pPr>
            <w:r w:rsidRPr="00DF392A">
              <w:rPr>
                <w:sz w:val="24"/>
                <w:szCs w:val="24"/>
              </w:rPr>
              <w:t>Circulaire administrative</w:t>
            </w:r>
          </w:p>
          <w:p w:rsidR="00E53DCE" w:rsidRPr="00DF392A" w:rsidRDefault="00E53DCE" w:rsidP="0060083C">
            <w:pPr>
              <w:spacing w:before="0"/>
              <w:jc w:val="left"/>
              <w:rPr>
                <w:b/>
                <w:bCs/>
                <w:sz w:val="24"/>
                <w:szCs w:val="24"/>
                <w:lang w:val="fr-CH"/>
              </w:rPr>
            </w:pPr>
            <w:r w:rsidRPr="00DF392A">
              <w:rPr>
                <w:b/>
                <w:bCs/>
                <w:sz w:val="24"/>
                <w:szCs w:val="24"/>
                <w:lang w:val="fr-CH"/>
              </w:rPr>
              <w:t>CA</w:t>
            </w:r>
            <w:r w:rsidR="00CA6718" w:rsidRPr="00DF392A">
              <w:rPr>
                <w:b/>
                <w:bCs/>
                <w:sz w:val="24"/>
                <w:szCs w:val="24"/>
                <w:lang w:val="fr-CH"/>
              </w:rPr>
              <w:t>CE</w:t>
            </w:r>
            <w:r w:rsidRPr="00DF392A">
              <w:rPr>
                <w:b/>
                <w:bCs/>
                <w:sz w:val="24"/>
                <w:szCs w:val="24"/>
                <w:lang w:val="fr-CH"/>
              </w:rPr>
              <w:t>/</w:t>
            </w:r>
            <w:r w:rsidR="0060083C" w:rsidRPr="00DF392A">
              <w:rPr>
                <w:b/>
                <w:bCs/>
                <w:sz w:val="24"/>
                <w:szCs w:val="24"/>
                <w:lang w:val="fr-CH"/>
              </w:rPr>
              <w:t>616</w:t>
            </w:r>
          </w:p>
        </w:tc>
        <w:tc>
          <w:tcPr>
            <w:tcW w:w="2835" w:type="dxa"/>
            <w:shd w:val="clear" w:color="auto" w:fill="auto"/>
          </w:tcPr>
          <w:p w:rsidR="00E53DCE" w:rsidRPr="00DF392A" w:rsidRDefault="0060083C" w:rsidP="0060083C">
            <w:pPr>
              <w:spacing w:before="0"/>
              <w:jc w:val="right"/>
              <w:rPr>
                <w:sz w:val="24"/>
                <w:szCs w:val="24"/>
                <w:highlight w:val="yellow"/>
                <w:lang w:val="en-GB"/>
              </w:rPr>
            </w:pPr>
            <w:r w:rsidRPr="00DF392A">
              <w:rPr>
                <w:sz w:val="24"/>
                <w:szCs w:val="24"/>
              </w:rPr>
              <w:t xml:space="preserve">Le </w:t>
            </w:r>
            <w:sdt>
              <w:sdtPr>
                <w:rPr>
                  <w:rFonts w:cs="Arial"/>
                  <w:sz w:val="24"/>
                  <w:szCs w:val="24"/>
                </w:rPr>
                <w:alias w:val="Date"/>
                <w:tag w:val="Date"/>
                <w:id w:val="444659277"/>
                <w:placeholder>
                  <w:docPart w:val="D55190A227FF4CB7908A2B7C8930B48A"/>
                </w:placeholder>
                <w:date>
                  <w:dateFormat w:val="d MMMM yyyy"/>
                  <w:lid w:val="fr-FR"/>
                  <w:storeMappedDataAs w:val="date"/>
                  <w:calendar w:val="gregorian"/>
                </w:date>
              </w:sdtPr>
              <w:sdtEndPr/>
              <w:sdtContent>
                <w:r w:rsidRPr="00DF392A">
                  <w:rPr>
                    <w:rFonts w:cs="Arial"/>
                    <w:sz w:val="24"/>
                    <w:szCs w:val="24"/>
                  </w:rPr>
                  <w:t>28</w:t>
                </w:r>
                <w:r w:rsidR="00E53DCE" w:rsidRPr="00DF392A">
                  <w:rPr>
                    <w:rFonts w:cs="Arial"/>
                    <w:sz w:val="24"/>
                    <w:szCs w:val="24"/>
                  </w:rPr>
                  <w:t xml:space="preserve"> </w:t>
                </w:r>
                <w:r w:rsidRPr="00DF392A">
                  <w:rPr>
                    <w:rFonts w:cs="Arial"/>
                    <w:sz w:val="24"/>
                    <w:szCs w:val="24"/>
                  </w:rPr>
                  <w:t>juin</w:t>
                </w:r>
                <w:r w:rsidR="00E53DCE" w:rsidRPr="00DF392A">
                  <w:rPr>
                    <w:rFonts w:cs="Arial"/>
                    <w:sz w:val="24"/>
                    <w:szCs w:val="24"/>
                  </w:rPr>
                  <w:t xml:space="preserve"> 2013</w:t>
                </w:r>
              </w:sdtContent>
            </w:sdt>
          </w:p>
        </w:tc>
      </w:tr>
      <w:tr w:rsidR="00E53DCE" w:rsidRPr="003266ED" w:rsidTr="006160CB">
        <w:tc>
          <w:tcPr>
            <w:tcW w:w="9889" w:type="dxa"/>
            <w:gridSpan w:val="3"/>
            <w:shd w:val="clear" w:color="auto" w:fill="auto"/>
          </w:tcPr>
          <w:p w:rsidR="00E53DCE" w:rsidRPr="00DF392A" w:rsidRDefault="00E53DCE" w:rsidP="006160CB">
            <w:pPr>
              <w:spacing w:before="0"/>
              <w:jc w:val="left"/>
              <w:rPr>
                <w:rFonts w:cs="Arial"/>
                <w:sz w:val="24"/>
                <w:szCs w:val="24"/>
                <w:lang w:val="en-GB"/>
              </w:rPr>
            </w:pPr>
          </w:p>
        </w:tc>
      </w:tr>
      <w:tr w:rsidR="00E53DCE" w:rsidRPr="003266ED" w:rsidTr="006160CB">
        <w:tc>
          <w:tcPr>
            <w:tcW w:w="9889" w:type="dxa"/>
            <w:gridSpan w:val="3"/>
            <w:shd w:val="clear" w:color="auto" w:fill="auto"/>
          </w:tcPr>
          <w:p w:rsidR="00E53DCE" w:rsidRPr="00DF392A" w:rsidRDefault="00E53DCE" w:rsidP="006160CB">
            <w:pPr>
              <w:spacing w:before="0"/>
              <w:jc w:val="left"/>
              <w:rPr>
                <w:sz w:val="24"/>
                <w:szCs w:val="24"/>
              </w:rPr>
            </w:pPr>
          </w:p>
        </w:tc>
      </w:tr>
      <w:tr w:rsidR="00E53DCE" w:rsidRPr="00DF392A" w:rsidTr="006160CB">
        <w:tc>
          <w:tcPr>
            <w:tcW w:w="9889" w:type="dxa"/>
            <w:gridSpan w:val="3"/>
            <w:shd w:val="clear" w:color="auto" w:fill="auto"/>
          </w:tcPr>
          <w:p w:rsidR="00CA6718" w:rsidRPr="00DF392A" w:rsidRDefault="00CA6718" w:rsidP="00E50E5F">
            <w:pPr>
              <w:tabs>
                <w:tab w:val="left" w:pos="7513"/>
              </w:tabs>
              <w:spacing w:before="240"/>
              <w:jc w:val="left"/>
              <w:rPr>
                <w:b/>
                <w:sz w:val="24"/>
                <w:szCs w:val="24"/>
                <w:lang w:val="fr-CH"/>
              </w:rPr>
            </w:pPr>
            <w:r w:rsidRPr="00DF392A">
              <w:rPr>
                <w:b/>
                <w:sz w:val="24"/>
                <w:szCs w:val="24"/>
                <w:lang w:val="fr-CH"/>
              </w:rPr>
              <w:t xml:space="preserve">Aux Administrations des </w:t>
            </w:r>
            <w:r w:rsidR="00277119" w:rsidRPr="00DF392A">
              <w:rPr>
                <w:b/>
                <w:sz w:val="24"/>
                <w:szCs w:val="24"/>
                <w:lang w:val="fr-CH"/>
              </w:rPr>
              <w:t>Etats</w:t>
            </w:r>
            <w:r w:rsidRPr="00DF392A">
              <w:rPr>
                <w:b/>
                <w:sz w:val="24"/>
                <w:szCs w:val="24"/>
                <w:lang w:val="fr-CH"/>
              </w:rPr>
              <w:t xml:space="preserve"> Membres de l'UIT, aux Membres du Secteur</w:t>
            </w:r>
            <w:r w:rsidR="0063529E" w:rsidRPr="00DF392A">
              <w:rPr>
                <w:b/>
                <w:sz w:val="24"/>
                <w:szCs w:val="24"/>
                <w:lang w:val="fr-CH"/>
              </w:rPr>
              <w:t xml:space="preserve"> </w:t>
            </w:r>
            <w:r w:rsidRPr="00DF392A">
              <w:rPr>
                <w:b/>
                <w:sz w:val="24"/>
                <w:szCs w:val="24"/>
                <w:lang w:val="fr-CH"/>
              </w:rPr>
              <w:t>des radiocommunications</w:t>
            </w:r>
            <w:r w:rsidR="0060083C" w:rsidRPr="00DF392A">
              <w:rPr>
                <w:b/>
                <w:sz w:val="24"/>
                <w:szCs w:val="24"/>
                <w:lang w:val="fr-CH"/>
              </w:rPr>
              <w:t xml:space="preserve"> et</w:t>
            </w:r>
            <w:r w:rsidRPr="00DF392A">
              <w:rPr>
                <w:b/>
                <w:sz w:val="24"/>
                <w:szCs w:val="24"/>
                <w:lang w:val="fr-CH"/>
              </w:rPr>
              <w:t xml:space="preserve"> </w:t>
            </w:r>
            <w:r w:rsidRPr="00DF392A">
              <w:rPr>
                <w:b/>
                <w:bCs/>
                <w:sz w:val="24"/>
                <w:szCs w:val="24"/>
                <w:lang w:val="fr-CH"/>
              </w:rPr>
              <w:t>aux</w:t>
            </w:r>
            <w:r w:rsidRPr="00DF392A">
              <w:rPr>
                <w:b/>
                <w:sz w:val="24"/>
                <w:szCs w:val="24"/>
                <w:lang w:val="fr-CH"/>
              </w:rPr>
              <w:t xml:space="preserve"> </w:t>
            </w:r>
            <w:r w:rsidRPr="00DF392A">
              <w:rPr>
                <w:b/>
                <w:bCs/>
                <w:sz w:val="24"/>
                <w:szCs w:val="24"/>
                <w:lang w:val="fr-CH"/>
              </w:rPr>
              <w:t>Associés de l'UIT</w:t>
            </w:r>
            <w:r w:rsidRPr="00DF392A">
              <w:rPr>
                <w:b/>
                <w:bCs/>
                <w:sz w:val="24"/>
                <w:szCs w:val="24"/>
                <w:lang w:val="fr-CH"/>
              </w:rPr>
              <w:noBreakHyphen/>
              <w:t>R</w:t>
            </w:r>
            <w:r w:rsidRPr="00DF392A">
              <w:rPr>
                <w:b/>
                <w:sz w:val="24"/>
                <w:szCs w:val="24"/>
                <w:lang w:val="fr-CH"/>
              </w:rPr>
              <w:t xml:space="preserve"> participant aux travaux de la Commission</w:t>
            </w:r>
            <w:r w:rsidR="0063529E" w:rsidRPr="00DF392A">
              <w:rPr>
                <w:b/>
                <w:sz w:val="24"/>
                <w:szCs w:val="24"/>
                <w:lang w:val="fr-CH"/>
              </w:rPr>
              <w:t xml:space="preserve"> </w:t>
            </w:r>
            <w:r w:rsidRPr="00DF392A">
              <w:rPr>
                <w:b/>
                <w:sz w:val="24"/>
                <w:szCs w:val="24"/>
                <w:lang w:val="fr-CH"/>
              </w:rPr>
              <w:t>d'études </w:t>
            </w:r>
            <w:r w:rsidR="0060083C" w:rsidRPr="00DF392A">
              <w:rPr>
                <w:b/>
                <w:sz w:val="24"/>
                <w:szCs w:val="24"/>
                <w:lang w:val="fr-CH"/>
              </w:rPr>
              <w:t>1</w:t>
            </w:r>
            <w:r w:rsidRPr="00DF392A">
              <w:rPr>
                <w:b/>
                <w:sz w:val="24"/>
                <w:szCs w:val="24"/>
                <w:lang w:val="fr-CH"/>
              </w:rPr>
              <w:t xml:space="preserve"> des radiocommunications</w:t>
            </w:r>
          </w:p>
          <w:p w:rsidR="00E53DCE" w:rsidRPr="00DF392A" w:rsidRDefault="00E53DCE" w:rsidP="00CA6718">
            <w:pPr>
              <w:spacing w:before="0"/>
              <w:jc w:val="left"/>
              <w:rPr>
                <w:b/>
                <w:bCs/>
                <w:sz w:val="24"/>
                <w:szCs w:val="24"/>
                <w:lang w:val="fr-CH"/>
              </w:rPr>
            </w:pPr>
          </w:p>
        </w:tc>
      </w:tr>
      <w:tr w:rsidR="00E53DCE" w:rsidRPr="00DF392A" w:rsidTr="006160CB">
        <w:tc>
          <w:tcPr>
            <w:tcW w:w="9889" w:type="dxa"/>
            <w:gridSpan w:val="3"/>
            <w:shd w:val="clear" w:color="auto" w:fill="auto"/>
          </w:tcPr>
          <w:p w:rsidR="00E53DCE" w:rsidRPr="00DF392A" w:rsidRDefault="00E53DCE" w:rsidP="006160CB">
            <w:pPr>
              <w:spacing w:before="0"/>
              <w:jc w:val="left"/>
              <w:rPr>
                <w:sz w:val="24"/>
                <w:szCs w:val="24"/>
                <w:lang w:val="fr-CH"/>
              </w:rPr>
            </w:pPr>
          </w:p>
        </w:tc>
      </w:tr>
      <w:tr w:rsidR="00E53DCE" w:rsidRPr="00DF392A" w:rsidTr="006160CB">
        <w:tc>
          <w:tcPr>
            <w:tcW w:w="9889" w:type="dxa"/>
            <w:gridSpan w:val="3"/>
            <w:shd w:val="clear" w:color="auto" w:fill="auto"/>
          </w:tcPr>
          <w:p w:rsidR="00E53DCE" w:rsidRPr="00DF392A" w:rsidRDefault="00E53DCE" w:rsidP="006160CB">
            <w:pPr>
              <w:spacing w:before="0"/>
              <w:jc w:val="left"/>
              <w:rPr>
                <w:sz w:val="24"/>
                <w:szCs w:val="24"/>
                <w:lang w:val="fr-CH"/>
              </w:rPr>
            </w:pPr>
          </w:p>
        </w:tc>
      </w:tr>
      <w:tr w:rsidR="00E53DCE" w:rsidRPr="00DF392A" w:rsidTr="00403167">
        <w:tc>
          <w:tcPr>
            <w:tcW w:w="1101" w:type="dxa"/>
            <w:shd w:val="clear" w:color="auto" w:fill="auto"/>
          </w:tcPr>
          <w:p w:rsidR="00E53DCE" w:rsidRPr="00DF392A" w:rsidRDefault="00E53DCE" w:rsidP="006160CB">
            <w:pPr>
              <w:tabs>
                <w:tab w:val="clear" w:pos="1588"/>
                <w:tab w:val="left" w:pos="1560"/>
              </w:tabs>
              <w:spacing w:before="0"/>
              <w:jc w:val="left"/>
              <w:rPr>
                <w:sz w:val="24"/>
                <w:szCs w:val="24"/>
                <w:lang w:val="fr-CH"/>
              </w:rPr>
            </w:pPr>
            <w:r w:rsidRPr="00DF392A">
              <w:rPr>
                <w:sz w:val="24"/>
                <w:szCs w:val="24"/>
                <w:lang w:val="fr-CH"/>
              </w:rPr>
              <w:t>Sujet:</w:t>
            </w:r>
          </w:p>
        </w:tc>
        <w:tc>
          <w:tcPr>
            <w:tcW w:w="8788" w:type="dxa"/>
            <w:gridSpan w:val="2"/>
            <w:vMerge w:val="restart"/>
            <w:shd w:val="clear" w:color="auto" w:fill="auto"/>
          </w:tcPr>
          <w:p w:rsidR="00E53DCE" w:rsidRPr="00DF392A" w:rsidRDefault="00CA6718" w:rsidP="0060083C">
            <w:pPr>
              <w:tabs>
                <w:tab w:val="clear" w:pos="1588"/>
                <w:tab w:val="left" w:pos="1560"/>
              </w:tabs>
              <w:spacing w:before="0"/>
              <w:rPr>
                <w:b/>
                <w:bCs/>
                <w:sz w:val="24"/>
                <w:szCs w:val="24"/>
                <w:lang w:val="fr-CH"/>
              </w:rPr>
            </w:pPr>
            <w:r w:rsidRPr="00DF392A">
              <w:rPr>
                <w:b/>
                <w:bCs/>
                <w:sz w:val="24"/>
                <w:szCs w:val="24"/>
                <w:lang w:val="fr-CH"/>
              </w:rPr>
              <w:t xml:space="preserve">Commission d'études </w:t>
            </w:r>
            <w:r w:rsidR="0060083C" w:rsidRPr="00DF392A">
              <w:rPr>
                <w:b/>
                <w:bCs/>
                <w:sz w:val="24"/>
                <w:szCs w:val="24"/>
                <w:lang w:val="fr-CH"/>
              </w:rPr>
              <w:t>1</w:t>
            </w:r>
            <w:r w:rsidRPr="00DF392A">
              <w:rPr>
                <w:b/>
                <w:bCs/>
                <w:sz w:val="24"/>
                <w:szCs w:val="24"/>
                <w:lang w:val="fr-CH"/>
              </w:rPr>
              <w:t xml:space="preserve"> des radiocommunications</w:t>
            </w:r>
            <w:r w:rsidR="0060083C" w:rsidRPr="00DF392A">
              <w:rPr>
                <w:b/>
                <w:bCs/>
                <w:sz w:val="24"/>
                <w:szCs w:val="24"/>
                <w:lang w:val="fr-CH"/>
              </w:rPr>
              <w:t xml:space="preserve"> (Gestion du spectre)</w:t>
            </w:r>
          </w:p>
          <w:p w:rsidR="00CA6718" w:rsidRPr="00DF392A" w:rsidRDefault="0060083C" w:rsidP="00DF392A">
            <w:pPr>
              <w:pStyle w:val="enumlev2"/>
              <w:tabs>
                <w:tab w:val="clear" w:pos="1588"/>
              </w:tabs>
              <w:spacing w:before="240"/>
              <w:ind w:left="317" w:hanging="317"/>
              <w:jc w:val="left"/>
              <w:rPr>
                <w:b/>
                <w:bCs/>
                <w:sz w:val="24"/>
                <w:szCs w:val="24"/>
                <w:lang w:val="fr-CH"/>
              </w:rPr>
            </w:pPr>
            <w:r w:rsidRPr="00DF392A">
              <w:rPr>
                <w:b/>
                <w:bCs/>
                <w:sz w:val="24"/>
                <w:szCs w:val="24"/>
                <w:lang w:val="fr-CH"/>
              </w:rPr>
              <w:t>–</w:t>
            </w:r>
            <w:r w:rsidRPr="00DF392A">
              <w:rPr>
                <w:b/>
                <w:bCs/>
                <w:sz w:val="24"/>
                <w:szCs w:val="24"/>
                <w:lang w:val="fr-CH"/>
              </w:rPr>
              <w:tab/>
              <w:t>Proposition d'adoption d'un</w:t>
            </w:r>
            <w:r w:rsidR="00CA6718" w:rsidRPr="00DF392A">
              <w:rPr>
                <w:b/>
                <w:bCs/>
                <w:sz w:val="24"/>
                <w:szCs w:val="24"/>
                <w:lang w:val="fr-CH"/>
              </w:rPr>
              <w:t xml:space="preserve"> projet de nouvelle Recommandation UIT-R et de</w:t>
            </w:r>
            <w:r w:rsidRPr="00DF392A">
              <w:rPr>
                <w:b/>
                <w:bCs/>
                <w:sz w:val="24"/>
                <w:szCs w:val="24"/>
                <w:lang w:val="fr-CH"/>
              </w:rPr>
              <w:t xml:space="preserve"> six projets</w:t>
            </w:r>
            <w:r w:rsidR="00CA6718" w:rsidRPr="00DF392A">
              <w:rPr>
                <w:b/>
                <w:bCs/>
                <w:sz w:val="24"/>
                <w:szCs w:val="24"/>
                <w:lang w:val="fr-CH"/>
              </w:rPr>
              <w:t xml:space="preserve"> de Recommandation UIT-R révisée et approbation simultanée par correspondance de ces projets, conformé</w:t>
            </w:r>
            <w:r w:rsidR="00E50E5F" w:rsidRPr="00DF392A">
              <w:rPr>
                <w:b/>
                <w:bCs/>
                <w:sz w:val="24"/>
                <w:szCs w:val="24"/>
                <w:lang w:val="fr-CH"/>
              </w:rPr>
              <w:t xml:space="preserve">ment au § 10.3 de la Résolution </w:t>
            </w:r>
            <w:r w:rsidR="00CA6718" w:rsidRPr="00DF392A">
              <w:rPr>
                <w:b/>
                <w:bCs/>
                <w:sz w:val="24"/>
                <w:szCs w:val="24"/>
                <w:lang w:val="fr-CH"/>
              </w:rPr>
              <w:t>UIT</w:t>
            </w:r>
            <w:r w:rsidR="00E50E5F" w:rsidRPr="00DF392A">
              <w:rPr>
                <w:b/>
                <w:bCs/>
                <w:sz w:val="24"/>
                <w:szCs w:val="24"/>
                <w:lang w:val="fr-CH"/>
              </w:rPr>
              <w:noBreakHyphen/>
            </w:r>
            <w:r w:rsidR="00CA6718" w:rsidRPr="00DF392A">
              <w:rPr>
                <w:b/>
                <w:bCs/>
                <w:sz w:val="24"/>
                <w:szCs w:val="24"/>
                <w:lang w:val="fr-CH"/>
              </w:rPr>
              <w:t>R 1-6 (Procédure d'adoption et d'approbation simultanées par correspondance)</w:t>
            </w:r>
          </w:p>
        </w:tc>
      </w:tr>
      <w:tr w:rsidR="00E53DCE" w:rsidRPr="00DF392A" w:rsidTr="00403167">
        <w:tc>
          <w:tcPr>
            <w:tcW w:w="1101" w:type="dxa"/>
            <w:shd w:val="clear" w:color="auto" w:fill="auto"/>
          </w:tcPr>
          <w:p w:rsidR="00E53DCE" w:rsidRPr="00E50E5F" w:rsidRDefault="00E53DCE" w:rsidP="006160CB">
            <w:pPr>
              <w:tabs>
                <w:tab w:val="clear" w:pos="1588"/>
                <w:tab w:val="left" w:pos="1560"/>
              </w:tabs>
              <w:spacing w:before="0"/>
              <w:jc w:val="left"/>
              <w:rPr>
                <w:b/>
                <w:bCs/>
                <w:sz w:val="24"/>
                <w:szCs w:val="24"/>
                <w:lang w:val="fr-CH"/>
              </w:rPr>
            </w:pPr>
          </w:p>
        </w:tc>
        <w:tc>
          <w:tcPr>
            <w:tcW w:w="8788" w:type="dxa"/>
            <w:gridSpan w:val="2"/>
            <w:vMerge/>
            <w:shd w:val="clear" w:color="auto" w:fill="auto"/>
          </w:tcPr>
          <w:p w:rsidR="00E53DCE" w:rsidRPr="00E50E5F" w:rsidRDefault="00E53DCE" w:rsidP="006160CB">
            <w:pPr>
              <w:tabs>
                <w:tab w:val="clear" w:pos="1588"/>
                <w:tab w:val="left" w:pos="1560"/>
              </w:tabs>
              <w:spacing w:before="0"/>
              <w:rPr>
                <w:b/>
                <w:bCs/>
                <w:sz w:val="24"/>
                <w:szCs w:val="24"/>
                <w:lang w:val="fr-CH"/>
              </w:rPr>
            </w:pPr>
          </w:p>
        </w:tc>
      </w:tr>
      <w:tr w:rsidR="00E53DCE" w:rsidRPr="00DF392A" w:rsidTr="00403167">
        <w:tc>
          <w:tcPr>
            <w:tcW w:w="1101" w:type="dxa"/>
            <w:shd w:val="clear" w:color="auto" w:fill="auto"/>
          </w:tcPr>
          <w:p w:rsidR="00E53DCE" w:rsidRPr="00E50E5F" w:rsidRDefault="00E53DCE" w:rsidP="006160CB">
            <w:pPr>
              <w:tabs>
                <w:tab w:val="clear" w:pos="1588"/>
                <w:tab w:val="left" w:pos="1560"/>
              </w:tabs>
              <w:spacing w:before="0"/>
              <w:jc w:val="left"/>
              <w:rPr>
                <w:b/>
                <w:bCs/>
                <w:sz w:val="24"/>
                <w:szCs w:val="24"/>
                <w:lang w:val="fr-CH"/>
              </w:rPr>
            </w:pPr>
          </w:p>
        </w:tc>
        <w:tc>
          <w:tcPr>
            <w:tcW w:w="8788" w:type="dxa"/>
            <w:gridSpan w:val="2"/>
            <w:vMerge/>
            <w:shd w:val="clear" w:color="auto" w:fill="auto"/>
          </w:tcPr>
          <w:p w:rsidR="00E53DCE" w:rsidRPr="00E50E5F" w:rsidRDefault="00E53DCE" w:rsidP="006160CB">
            <w:pPr>
              <w:tabs>
                <w:tab w:val="clear" w:pos="1588"/>
                <w:tab w:val="left" w:pos="1560"/>
              </w:tabs>
              <w:spacing w:before="0"/>
              <w:rPr>
                <w:b/>
                <w:bCs/>
                <w:sz w:val="24"/>
                <w:szCs w:val="24"/>
                <w:lang w:val="fr-CH"/>
              </w:rPr>
            </w:pPr>
          </w:p>
        </w:tc>
      </w:tr>
      <w:tr w:rsidR="00E53DCE" w:rsidRPr="00DF392A" w:rsidTr="006160CB">
        <w:tc>
          <w:tcPr>
            <w:tcW w:w="9889" w:type="dxa"/>
            <w:gridSpan w:val="3"/>
            <w:shd w:val="clear" w:color="auto" w:fill="auto"/>
          </w:tcPr>
          <w:p w:rsidR="00E53DCE" w:rsidRPr="00E50E5F" w:rsidRDefault="00E53DCE" w:rsidP="00E53DCE">
            <w:pPr>
              <w:tabs>
                <w:tab w:val="clear" w:pos="1588"/>
                <w:tab w:val="left" w:pos="1560"/>
              </w:tabs>
              <w:spacing w:before="0"/>
              <w:jc w:val="left"/>
              <w:rPr>
                <w:sz w:val="24"/>
                <w:szCs w:val="24"/>
                <w:lang w:val="fr-CH"/>
              </w:rPr>
            </w:pPr>
          </w:p>
        </w:tc>
      </w:tr>
      <w:tr w:rsidR="00E53DCE" w:rsidRPr="00DF392A" w:rsidTr="006160CB">
        <w:tc>
          <w:tcPr>
            <w:tcW w:w="9889" w:type="dxa"/>
            <w:gridSpan w:val="3"/>
            <w:shd w:val="clear" w:color="auto" w:fill="auto"/>
          </w:tcPr>
          <w:p w:rsidR="00E53DCE" w:rsidRPr="00E50E5F" w:rsidRDefault="00E53DCE" w:rsidP="006160CB">
            <w:pPr>
              <w:spacing w:before="0"/>
              <w:jc w:val="left"/>
              <w:rPr>
                <w:b/>
                <w:bCs/>
                <w:sz w:val="24"/>
                <w:szCs w:val="24"/>
                <w:lang w:val="fr-CH"/>
              </w:rPr>
            </w:pPr>
          </w:p>
        </w:tc>
      </w:tr>
    </w:tbl>
    <w:p w:rsidR="004B2A1F" w:rsidRPr="00E50E5F" w:rsidRDefault="00277119">
      <w:pPr>
        <w:spacing w:before="600"/>
        <w:rPr>
          <w:sz w:val="24"/>
          <w:szCs w:val="24"/>
          <w:lang w:val="fr-CH"/>
        </w:rPr>
        <w:pPrChange w:id="0" w:author="mostyn" w:date="2013-05-09T12:44:00Z">
          <w:pPr>
            <w:spacing w:before="1000"/>
            <w:jc w:val="left"/>
          </w:pPr>
        </w:pPrChange>
      </w:pPr>
      <w:r>
        <w:rPr>
          <w:sz w:val="24"/>
          <w:szCs w:val="24"/>
          <w:lang w:val="fr-CH"/>
        </w:rPr>
        <w:t>A</w:t>
      </w:r>
      <w:r w:rsidR="004B2A1F" w:rsidRPr="00E50E5F">
        <w:rPr>
          <w:sz w:val="24"/>
          <w:szCs w:val="24"/>
          <w:lang w:val="fr-CH"/>
        </w:rPr>
        <w:t xml:space="preserve"> sa réunion tenue </w:t>
      </w:r>
      <w:r w:rsidR="0060083C" w:rsidRPr="00E50E5F">
        <w:rPr>
          <w:sz w:val="24"/>
          <w:szCs w:val="24"/>
          <w:lang w:val="fr-CH"/>
        </w:rPr>
        <w:t>le 12 juin</w:t>
      </w:r>
      <w:r w:rsidR="004B2A1F" w:rsidRPr="00E50E5F">
        <w:rPr>
          <w:sz w:val="24"/>
          <w:szCs w:val="24"/>
          <w:lang w:val="fr-CH"/>
        </w:rPr>
        <w:t xml:space="preserve"> 2013, la Commission d'études </w:t>
      </w:r>
      <w:r w:rsidR="0060083C" w:rsidRPr="00E50E5F">
        <w:rPr>
          <w:sz w:val="24"/>
          <w:szCs w:val="24"/>
          <w:lang w:val="fr-CH"/>
        </w:rPr>
        <w:t>1</w:t>
      </w:r>
      <w:r w:rsidR="004B2A1F" w:rsidRPr="00E50E5F">
        <w:rPr>
          <w:sz w:val="24"/>
          <w:szCs w:val="24"/>
          <w:lang w:val="fr-CH"/>
        </w:rPr>
        <w:t xml:space="preserve"> des radiocommunications a décidé de demander l'adoption par correspondance d</w:t>
      </w:r>
      <w:r w:rsidR="0060083C" w:rsidRPr="00E50E5F">
        <w:rPr>
          <w:sz w:val="24"/>
          <w:szCs w:val="24"/>
          <w:lang w:val="fr-CH"/>
        </w:rPr>
        <w:t>'un projet</w:t>
      </w:r>
      <w:r w:rsidR="004B2A1F" w:rsidRPr="00E50E5F">
        <w:rPr>
          <w:sz w:val="24"/>
          <w:szCs w:val="24"/>
          <w:lang w:val="fr-CH"/>
        </w:rPr>
        <w:t xml:space="preserve"> de nouvelle Recommandation </w:t>
      </w:r>
      <w:r>
        <w:rPr>
          <w:sz w:val="24"/>
          <w:szCs w:val="24"/>
          <w:lang w:val="fr-CH"/>
        </w:rPr>
        <w:t xml:space="preserve">UIT-R </w:t>
      </w:r>
      <w:r w:rsidR="004B2A1F" w:rsidRPr="00E50E5F">
        <w:rPr>
          <w:sz w:val="24"/>
          <w:szCs w:val="24"/>
          <w:lang w:val="fr-CH"/>
        </w:rPr>
        <w:t xml:space="preserve">et de </w:t>
      </w:r>
      <w:r w:rsidR="0060083C" w:rsidRPr="00E50E5F">
        <w:rPr>
          <w:sz w:val="24"/>
          <w:szCs w:val="24"/>
          <w:lang w:val="fr-CH"/>
        </w:rPr>
        <w:t>six</w:t>
      </w:r>
      <w:r w:rsidR="004B2A1F" w:rsidRPr="00E50E5F">
        <w:rPr>
          <w:sz w:val="24"/>
          <w:szCs w:val="24"/>
          <w:lang w:val="fr-CH"/>
        </w:rPr>
        <w:t xml:space="preserve"> projets de Recommandation </w:t>
      </w:r>
      <w:r>
        <w:rPr>
          <w:sz w:val="24"/>
          <w:szCs w:val="24"/>
          <w:lang w:val="fr-CH"/>
        </w:rPr>
        <w:t xml:space="preserve">UIT-R </w:t>
      </w:r>
      <w:r w:rsidR="004B2A1F" w:rsidRPr="00E50E5F">
        <w:rPr>
          <w:sz w:val="24"/>
          <w:szCs w:val="24"/>
          <w:lang w:val="fr-CH"/>
        </w:rPr>
        <w:t>révisée (§ 10.2.3 de la Résolution UIT-R 1-6) et a décidé en outre d'appliquer la procédure d'adoption et d'approbation simultanées par correspondance (PAAS), conformément au § 10.</w:t>
      </w:r>
      <w:r w:rsidR="0060083C" w:rsidRPr="00E50E5F">
        <w:rPr>
          <w:sz w:val="24"/>
          <w:szCs w:val="24"/>
          <w:lang w:val="fr-CH"/>
        </w:rPr>
        <w:t xml:space="preserve">3 de la Résolution UIT-R 1-6. Les </w:t>
      </w:r>
      <w:r w:rsidR="004B2A1F" w:rsidRPr="00E50E5F">
        <w:rPr>
          <w:sz w:val="24"/>
          <w:szCs w:val="24"/>
          <w:lang w:val="fr-CH"/>
        </w:rPr>
        <w:t>titres</w:t>
      </w:r>
      <w:r w:rsidR="0060083C" w:rsidRPr="00E50E5F">
        <w:rPr>
          <w:sz w:val="24"/>
          <w:szCs w:val="24"/>
          <w:lang w:val="fr-CH"/>
        </w:rPr>
        <w:t xml:space="preserve"> et résumé</w:t>
      </w:r>
      <w:r w:rsidR="004B2A1F" w:rsidRPr="00E50E5F">
        <w:rPr>
          <w:sz w:val="24"/>
          <w:szCs w:val="24"/>
          <w:lang w:val="fr-CH"/>
        </w:rPr>
        <w:t xml:space="preserve">s </w:t>
      </w:r>
      <w:r w:rsidR="0060083C" w:rsidRPr="00E50E5F">
        <w:rPr>
          <w:sz w:val="24"/>
          <w:szCs w:val="24"/>
          <w:lang w:val="fr-CH"/>
        </w:rPr>
        <w:t>des projet</w:t>
      </w:r>
      <w:r w:rsidR="004B2A1F" w:rsidRPr="00E50E5F">
        <w:rPr>
          <w:sz w:val="24"/>
          <w:szCs w:val="24"/>
          <w:lang w:val="fr-CH"/>
        </w:rPr>
        <w:t>s de Recommandation figurent dans l'Annexe</w:t>
      </w:r>
      <w:r w:rsidR="0060083C" w:rsidRPr="00E50E5F">
        <w:rPr>
          <w:sz w:val="24"/>
          <w:szCs w:val="24"/>
          <w:lang w:val="fr-CH"/>
        </w:rPr>
        <w:t xml:space="preserve"> </w:t>
      </w:r>
      <w:r w:rsidR="0003575B">
        <w:rPr>
          <w:sz w:val="24"/>
          <w:szCs w:val="24"/>
          <w:lang w:val="fr-CH"/>
        </w:rPr>
        <w:t>de la présente</w:t>
      </w:r>
      <w:r w:rsidR="0060083C" w:rsidRPr="00E50E5F">
        <w:rPr>
          <w:sz w:val="24"/>
          <w:szCs w:val="24"/>
          <w:lang w:val="fr-CH"/>
        </w:rPr>
        <w:t xml:space="preserve"> lettre</w:t>
      </w:r>
      <w:r w:rsidR="004B2A1F" w:rsidRPr="00E50E5F">
        <w:rPr>
          <w:sz w:val="24"/>
          <w:szCs w:val="24"/>
          <w:lang w:val="fr-CH"/>
        </w:rPr>
        <w:t>.</w:t>
      </w:r>
    </w:p>
    <w:p w:rsidR="004B2A1F" w:rsidRPr="00E50E5F" w:rsidRDefault="004B2A1F">
      <w:pPr>
        <w:rPr>
          <w:sz w:val="24"/>
          <w:szCs w:val="24"/>
          <w:lang w:val="fr-CH"/>
        </w:rPr>
        <w:pPrChange w:id="1" w:author="mostyn" w:date="2013-05-09T12:44:00Z">
          <w:pPr>
            <w:jc w:val="left"/>
          </w:pPr>
        </w:pPrChange>
      </w:pPr>
      <w:r w:rsidRPr="00E50E5F">
        <w:rPr>
          <w:sz w:val="24"/>
          <w:szCs w:val="24"/>
          <w:lang w:val="fr-CH"/>
        </w:rPr>
        <w:t xml:space="preserve">La période d'examen, de deux mois, se terminera le </w:t>
      </w:r>
      <w:r w:rsidR="0060083C" w:rsidRPr="00E50E5F">
        <w:rPr>
          <w:sz w:val="24"/>
          <w:szCs w:val="24"/>
          <w:u w:val="single"/>
          <w:lang w:val="fr-CH"/>
        </w:rPr>
        <w:t>28</w:t>
      </w:r>
      <w:r w:rsidRPr="00E50E5F">
        <w:rPr>
          <w:sz w:val="24"/>
          <w:szCs w:val="24"/>
          <w:u w:val="single"/>
          <w:lang w:val="fr-CH"/>
        </w:rPr>
        <w:t xml:space="preserve"> </w:t>
      </w:r>
      <w:r w:rsidR="0060083C" w:rsidRPr="00E50E5F">
        <w:rPr>
          <w:sz w:val="24"/>
          <w:szCs w:val="24"/>
          <w:u w:val="single"/>
          <w:lang w:val="fr-CH"/>
        </w:rPr>
        <w:t>août</w:t>
      </w:r>
      <w:r w:rsidRPr="00E50E5F">
        <w:rPr>
          <w:sz w:val="24"/>
          <w:szCs w:val="24"/>
          <w:u w:val="single"/>
          <w:lang w:val="fr-CH"/>
        </w:rPr>
        <w:t xml:space="preserve"> 2013</w:t>
      </w:r>
      <w:r w:rsidRPr="00E50E5F">
        <w:rPr>
          <w:sz w:val="24"/>
          <w:szCs w:val="24"/>
          <w:lang w:val="fr-CH"/>
        </w:rPr>
        <w:t xml:space="preserve">. Si, au cours de cette période, aucun </w:t>
      </w:r>
      <w:r w:rsidR="00277119">
        <w:rPr>
          <w:sz w:val="24"/>
          <w:szCs w:val="24"/>
          <w:lang w:val="fr-CH"/>
        </w:rPr>
        <w:t>E</w:t>
      </w:r>
      <w:r w:rsidR="00277119" w:rsidRPr="00E50E5F">
        <w:rPr>
          <w:sz w:val="24"/>
          <w:szCs w:val="24"/>
          <w:lang w:val="fr-CH"/>
        </w:rPr>
        <w:t>tat</w:t>
      </w:r>
      <w:r w:rsidRPr="00E50E5F">
        <w:rPr>
          <w:sz w:val="24"/>
          <w:szCs w:val="24"/>
          <w:lang w:val="fr-CH"/>
        </w:rPr>
        <w:t xml:space="preserve"> Membre ne soulève d'objection, les projet</w:t>
      </w:r>
      <w:r w:rsidR="0060083C" w:rsidRPr="00E50E5F">
        <w:rPr>
          <w:sz w:val="24"/>
          <w:szCs w:val="24"/>
          <w:lang w:val="fr-CH"/>
        </w:rPr>
        <w:t>s</w:t>
      </w:r>
      <w:r w:rsidRPr="00E50E5F">
        <w:rPr>
          <w:sz w:val="24"/>
          <w:szCs w:val="24"/>
          <w:lang w:val="fr-CH"/>
        </w:rPr>
        <w:t xml:space="preserve"> de Recommandation sont considérés</w:t>
      </w:r>
      <w:r w:rsidR="0060083C" w:rsidRPr="00E50E5F">
        <w:rPr>
          <w:sz w:val="24"/>
          <w:szCs w:val="24"/>
          <w:lang w:val="fr-CH"/>
        </w:rPr>
        <w:t xml:space="preserve"> comme adopté</w:t>
      </w:r>
      <w:r w:rsidRPr="00E50E5F">
        <w:rPr>
          <w:sz w:val="24"/>
          <w:szCs w:val="24"/>
          <w:lang w:val="fr-CH"/>
        </w:rPr>
        <w:t xml:space="preserve">s par la Commission d'études </w:t>
      </w:r>
      <w:r w:rsidR="0060083C" w:rsidRPr="00E50E5F">
        <w:rPr>
          <w:sz w:val="24"/>
          <w:szCs w:val="24"/>
          <w:lang w:val="fr-CH"/>
        </w:rPr>
        <w:t>1</w:t>
      </w:r>
      <w:r w:rsidRPr="00E50E5F">
        <w:rPr>
          <w:sz w:val="24"/>
          <w:szCs w:val="24"/>
          <w:lang w:val="fr-CH"/>
        </w:rPr>
        <w:t xml:space="preserve">. En outre, puisque la procédure PAAS est appliquée, l'adoption </w:t>
      </w:r>
      <w:r w:rsidR="0060083C" w:rsidRPr="00E50E5F">
        <w:rPr>
          <w:sz w:val="24"/>
          <w:szCs w:val="24"/>
          <w:lang w:val="fr-CH"/>
        </w:rPr>
        <w:t>des projet</w:t>
      </w:r>
      <w:r w:rsidRPr="00E50E5F">
        <w:rPr>
          <w:sz w:val="24"/>
          <w:szCs w:val="24"/>
          <w:lang w:val="fr-CH"/>
        </w:rPr>
        <w:t>s de Recommandation est considérée comme valant approbation.</w:t>
      </w:r>
    </w:p>
    <w:p w:rsidR="004B2A1F" w:rsidRPr="00E50E5F" w:rsidRDefault="004B2A1F">
      <w:pPr>
        <w:rPr>
          <w:sz w:val="24"/>
          <w:szCs w:val="24"/>
          <w:lang w:val="fr-CH"/>
        </w:rPr>
        <w:pPrChange w:id="2" w:author="mostyn" w:date="2013-05-09T12:44:00Z">
          <w:pPr>
            <w:jc w:val="left"/>
          </w:pPr>
        </w:pPrChange>
      </w:pPr>
      <w:r w:rsidRPr="00E50E5F">
        <w:rPr>
          <w:sz w:val="24"/>
          <w:szCs w:val="24"/>
          <w:lang w:val="fr-CH"/>
        </w:rPr>
        <w:t xml:space="preserve">Un </w:t>
      </w:r>
      <w:r w:rsidR="00277119">
        <w:rPr>
          <w:sz w:val="24"/>
          <w:szCs w:val="24"/>
          <w:lang w:val="fr-CH"/>
        </w:rPr>
        <w:t>E</w:t>
      </w:r>
      <w:r w:rsidR="00277119" w:rsidRPr="00E50E5F">
        <w:rPr>
          <w:sz w:val="24"/>
          <w:szCs w:val="24"/>
          <w:lang w:val="fr-CH"/>
        </w:rPr>
        <w:t>tat</w:t>
      </w:r>
      <w:r w:rsidRPr="00E50E5F">
        <w:rPr>
          <w:sz w:val="24"/>
          <w:szCs w:val="24"/>
          <w:lang w:val="fr-CH"/>
        </w:rPr>
        <w:t xml:space="preserve"> Membre qui soulève une objection au sujet de l'adoption d'un projet de Recommandation est prié d'informer le Directeur et le Président de la Commission d'études des raisons de cette objection.</w:t>
      </w:r>
    </w:p>
    <w:p w:rsidR="004B2A1F" w:rsidRPr="00E50E5F" w:rsidRDefault="004B2A1F" w:rsidP="00DF392A">
      <w:pPr>
        <w:rPr>
          <w:sz w:val="24"/>
          <w:szCs w:val="24"/>
          <w:lang w:val="fr-CH"/>
        </w:rPr>
      </w:pPr>
      <w:r w:rsidRPr="00E50E5F">
        <w:rPr>
          <w:sz w:val="24"/>
          <w:szCs w:val="24"/>
          <w:lang w:val="fr-CH"/>
        </w:rPr>
        <w:t xml:space="preserve">Après la date limite mentionnée ci-dessus, les résultats de la procédure PAAS seront communiqués dans une Circulaire administrative et les Recommandations approuvées </w:t>
      </w:r>
      <w:r w:rsidR="0060083C" w:rsidRPr="00E50E5F">
        <w:rPr>
          <w:sz w:val="24"/>
          <w:szCs w:val="24"/>
          <w:lang w:val="fr-CH"/>
        </w:rPr>
        <w:t>seront publiée</w:t>
      </w:r>
      <w:r w:rsidRPr="00E50E5F">
        <w:rPr>
          <w:sz w:val="24"/>
          <w:szCs w:val="24"/>
          <w:lang w:val="fr-CH"/>
        </w:rPr>
        <w:t>s dans les meilleurs délais (voir</w:t>
      </w:r>
      <w:r w:rsidR="0060083C" w:rsidRPr="00E50E5F">
        <w:rPr>
          <w:sz w:val="24"/>
          <w:szCs w:val="24"/>
          <w:lang w:val="fr-CH"/>
        </w:rPr>
        <w:t xml:space="preserve"> </w:t>
      </w:r>
      <w:hyperlink r:id="rId9" w:history="1">
        <w:r w:rsidR="0060083C" w:rsidRPr="00E50E5F">
          <w:rPr>
            <w:rStyle w:val="Hyperlink"/>
            <w:sz w:val="24"/>
            <w:szCs w:val="24"/>
            <w:lang w:val="fr-CH"/>
          </w:rPr>
          <w:t>http://www.itu.int/rec/R-REC-SM/fr</w:t>
        </w:r>
      </w:hyperlink>
      <w:r w:rsidRPr="00E50E5F">
        <w:rPr>
          <w:sz w:val="24"/>
          <w:szCs w:val="24"/>
          <w:lang w:val="fr-CH"/>
        </w:rPr>
        <w:t>).</w:t>
      </w:r>
    </w:p>
    <w:p w:rsidR="00EE1A57" w:rsidRPr="00E50E5F" w:rsidRDefault="00EE1A57" w:rsidP="00031E64">
      <w:pPr>
        <w:rPr>
          <w:rFonts w:asciiTheme="minorHAnsi" w:hAnsiTheme="minorHAnsi" w:cstheme="minorHAnsi"/>
          <w:sz w:val="24"/>
          <w:szCs w:val="24"/>
          <w:lang w:val="fr-CH"/>
        </w:rPr>
      </w:pPr>
    </w:p>
    <w:p w:rsidR="0060083C" w:rsidRPr="00E50E5F" w:rsidRDefault="0060083C">
      <w:pPr>
        <w:tabs>
          <w:tab w:val="clear" w:pos="794"/>
          <w:tab w:val="clear" w:pos="1191"/>
          <w:tab w:val="clear" w:pos="1588"/>
          <w:tab w:val="clear" w:pos="1985"/>
        </w:tabs>
        <w:overflowPunct/>
        <w:autoSpaceDE/>
        <w:autoSpaceDN/>
        <w:adjustRightInd/>
        <w:spacing w:before="0" w:line="240" w:lineRule="auto"/>
        <w:jc w:val="left"/>
        <w:textAlignment w:val="auto"/>
        <w:rPr>
          <w:sz w:val="24"/>
          <w:szCs w:val="24"/>
          <w:lang w:val="fr-CH"/>
        </w:rPr>
      </w:pPr>
      <w:r w:rsidRPr="00E50E5F">
        <w:rPr>
          <w:sz w:val="24"/>
          <w:szCs w:val="24"/>
          <w:lang w:val="fr-CH"/>
        </w:rPr>
        <w:br w:type="page"/>
      </w:r>
    </w:p>
    <w:p w:rsidR="0060083C" w:rsidRPr="00E50E5F" w:rsidRDefault="0060083C" w:rsidP="0060083C">
      <w:pPr>
        <w:rPr>
          <w:sz w:val="24"/>
          <w:szCs w:val="24"/>
          <w:lang w:val="fr-CH"/>
        </w:rPr>
      </w:pPr>
    </w:p>
    <w:p w:rsidR="004B2A1F" w:rsidRPr="00443571" w:rsidRDefault="004B2A1F">
      <w:pPr>
        <w:rPr>
          <w:sz w:val="24"/>
          <w:szCs w:val="24"/>
          <w:lang w:val="fr-CH"/>
        </w:rPr>
        <w:pPrChange w:id="3" w:author="mostyn" w:date="2013-05-09T12:44:00Z">
          <w:pPr>
            <w:jc w:val="left"/>
          </w:pPr>
        </w:pPrChange>
      </w:pPr>
      <w:r w:rsidRPr="00E50E5F">
        <w:rPr>
          <w:sz w:val="24"/>
          <w:szCs w:val="24"/>
          <w:lang w:val="fr-CH"/>
        </w:rPr>
        <w:t>Toute organisation membre de l'UIT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dans les meilleurs délais. La politique commune en matière de brevets de l'UIT</w:t>
      </w:r>
      <w:r w:rsidRPr="00E50E5F">
        <w:rPr>
          <w:sz w:val="24"/>
          <w:szCs w:val="24"/>
          <w:lang w:val="fr-CH"/>
        </w:rPr>
        <w:noBreakHyphen/>
        <w:t>T/UIT</w:t>
      </w:r>
      <w:r w:rsidRPr="00E50E5F">
        <w:rPr>
          <w:sz w:val="24"/>
          <w:szCs w:val="24"/>
          <w:lang w:val="fr-CH"/>
        </w:rPr>
        <w:noBreakHyphen/>
        <w:t>R/ISO/CEI est disponible à l'adresse:</w:t>
      </w:r>
      <w:r w:rsidR="00443571">
        <w:rPr>
          <w:sz w:val="24"/>
          <w:szCs w:val="24"/>
          <w:lang w:val="fr-CH"/>
        </w:rPr>
        <w:t xml:space="preserve"> </w:t>
      </w:r>
      <w:r w:rsidR="00443571" w:rsidRPr="00443571">
        <w:rPr>
          <w:sz w:val="24"/>
          <w:szCs w:val="24"/>
          <w:lang w:val="fr-CH"/>
        </w:rPr>
        <w:fldChar w:fldCharType="begin"/>
      </w:r>
      <w:r w:rsidR="00443571" w:rsidRPr="00443571">
        <w:rPr>
          <w:sz w:val="24"/>
          <w:szCs w:val="24"/>
          <w:lang w:val="fr-CH"/>
        </w:rPr>
        <w:instrText xml:space="preserve"> HYPERLINK "http://www.itu.int/en/ITU-T/ipr/Pages/policy.aspx" </w:instrText>
      </w:r>
      <w:r w:rsidR="00443571" w:rsidRPr="00443571">
        <w:rPr>
          <w:sz w:val="24"/>
          <w:szCs w:val="24"/>
          <w:lang w:val="fr-CH"/>
        </w:rPr>
        <w:fldChar w:fldCharType="separate"/>
      </w:r>
      <w:r w:rsidR="00443571" w:rsidRPr="00443571">
        <w:rPr>
          <w:rStyle w:val="Hyperlink"/>
          <w:sz w:val="24"/>
          <w:szCs w:val="24"/>
          <w:lang w:val="fr-CH"/>
        </w:rPr>
        <w:t>http://www.itu.int/en/ITU-T/ipr/Pages/policy.aspx</w:t>
      </w:r>
      <w:r w:rsidR="00443571" w:rsidRPr="00443571">
        <w:rPr>
          <w:sz w:val="24"/>
          <w:szCs w:val="24"/>
          <w:lang w:val="fr-CH"/>
        </w:rPr>
        <w:fldChar w:fldCharType="end"/>
      </w:r>
      <w:r w:rsidRPr="00443571">
        <w:rPr>
          <w:sz w:val="24"/>
          <w:szCs w:val="24"/>
          <w:lang w:val="fr-CH"/>
        </w:rPr>
        <w:t>.</w:t>
      </w:r>
    </w:p>
    <w:p w:rsidR="00031E64" w:rsidRPr="00E50E5F" w:rsidRDefault="00E53DCE" w:rsidP="004B2A1F">
      <w:pPr>
        <w:spacing w:before="1418" w:line="240" w:lineRule="auto"/>
        <w:jc w:val="left"/>
        <w:rPr>
          <w:sz w:val="24"/>
          <w:szCs w:val="24"/>
          <w:lang w:val="fr-FR"/>
        </w:rPr>
      </w:pPr>
      <w:r w:rsidRPr="00E50E5F">
        <w:rPr>
          <w:sz w:val="24"/>
          <w:szCs w:val="24"/>
          <w:lang w:val="fr-FR"/>
        </w:rPr>
        <w:t>François Rancy</w:t>
      </w:r>
      <w:r w:rsidRPr="00E50E5F">
        <w:rPr>
          <w:sz w:val="24"/>
          <w:szCs w:val="24"/>
          <w:lang w:val="fr-FR"/>
        </w:rPr>
        <w:br/>
        <w:t xml:space="preserve">Directeur </w:t>
      </w:r>
    </w:p>
    <w:p w:rsidR="004B2A1F" w:rsidRPr="00E50E5F" w:rsidRDefault="0060083C" w:rsidP="00E50E5F">
      <w:pPr>
        <w:spacing w:before="960"/>
        <w:jc w:val="left"/>
        <w:rPr>
          <w:bCs/>
          <w:sz w:val="24"/>
          <w:szCs w:val="24"/>
          <w:lang w:val="fr-CH"/>
        </w:rPr>
      </w:pPr>
      <w:r w:rsidRPr="00E50E5F">
        <w:rPr>
          <w:b/>
          <w:bCs/>
          <w:sz w:val="24"/>
          <w:szCs w:val="24"/>
          <w:lang w:val="fr-CH"/>
        </w:rPr>
        <w:t>Annexe</w:t>
      </w:r>
      <w:r w:rsidR="004B2A1F" w:rsidRPr="00E50E5F">
        <w:rPr>
          <w:b/>
          <w:bCs/>
          <w:sz w:val="24"/>
          <w:szCs w:val="24"/>
          <w:lang w:val="fr-CH"/>
        </w:rPr>
        <w:t>:</w:t>
      </w:r>
      <w:r w:rsidR="004B2A1F" w:rsidRPr="00E50E5F">
        <w:rPr>
          <w:b/>
          <w:bCs/>
          <w:sz w:val="24"/>
          <w:szCs w:val="24"/>
          <w:lang w:val="fr-CH"/>
        </w:rPr>
        <w:tab/>
      </w:r>
      <w:r w:rsidRPr="00E50E5F">
        <w:rPr>
          <w:b/>
          <w:bCs/>
          <w:sz w:val="24"/>
          <w:szCs w:val="24"/>
          <w:lang w:val="fr-CH"/>
        </w:rPr>
        <w:tab/>
      </w:r>
      <w:r w:rsidR="004B2A1F" w:rsidRPr="00E50E5F">
        <w:rPr>
          <w:bCs/>
          <w:sz w:val="24"/>
          <w:szCs w:val="24"/>
          <w:lang w:val="fr-CH"/>
        </w:rPr>
        <w:t>Titre</w:t>
      </w:r>
      <w:r w:rsidR="00E50E5F" w:rsidRPr="00E50E5F">
        <w:rPr>
          <w:bCs/>
          <w:sz w:val="24"/>
          <w:szCs w:val="24"/>
          <w:lang w:val="fr-CH"/>
        </w:rPr>
        <w:t>s et résumé</w:t>
      </w:r>
      <w:r w:rsidR="004B2A1F" w:rsidRPr="00E50E5F">
        <w:rPr>
          <w:bCs/>
          <w:sz w:val="24"/>
          <w:szCs w:val="24"/>
          <w:lang w:val="fr-CH"/>
        </w:rPr>
        <w:t xml:space="preserve">s </w:t>
      </w:r>
      <w:r w:rsidR="00E50E5F" w:rsidRPr="00E50E5F">
        <w:rPr>
          <w:bCs/>
          <w:sz w:val="24"/>
          <w:szCs w:val="24"/>
          <w:lang w:val="fr-CH"/>
        </w:rPr>
        <w:t>des projet</w:t>
      </w:r>
      <w:r w:rsidR="004B2A1F" w:rsidRPr="00E50E5F">
        <w:rPr>
          <w:bCs/>
          <w:sz w:val="24"/>
          <w:szCs w:val="24"/>
          <w:lang w:val="fr-CH"/>
        </w:rPr>
        <w:t>s de Recommandation</w:t>
      </w:r>
    </w:p>
    <w:p w:rsidR="004B2A1F" w:rsidRDefault="004B2A1F" w:rsidP="00E50E5F">
      <w:pPr>
        <w:spacing w:line="240" w:lineRule="auto"/>
        <w:ind w:left="1588" w:hanging="1588"/>
        <w:jc w:val="left"/>
        <w:rPr>
          <w:sz w:val="24"/>
          <w:szCs w:val="24"/>
          <w:lang w:val="fr-CH"/>
        </w:rPr>
      </w:pPr>
      <w:r w:rsidRPr="00E50E5F">
        <w:rPr>
          <w:b/>
          <w:bCs/>
          <w:sz w:val="24"/>
          <w:szCs w:val="24"/>
          <w:lang w:val="fr-CH"/>
        </w:rPr>
        <w:t>Documents:</w:t>
      </w:r>
      <w:r w:rsidRPr="00E50E5F">
        <w:rPr>
          <w:b/>
          <w:bCs/>
          <w:sz w:val="24"/>
          <w:szCs w:val="24"/>
          <w:lang w:val="fr-CH"/>
        </w:rPr>
        <w:tab/>
      </w:r>
      <w:r w:rsidR="0060083C" w:rsidRPr="00E50E5F">
        <w:rPr>
          <w:sz w:val="24"/>
          <w:szCs w:val="24"/>
          <w:lang w:val="fr-CH"/>
        </w:rPr>
        <w:t>Documents 1/63(R</w:t>
      </w:r>
      <w:r w:rsidR="00E50E5F" w:rsidRPr="00E50E5F">
        <w:rPr>
          <w:sz w:val="24"/>
          <w:szCs w:val="24"/>
          <w:lang w:val="fr-CH"/>
        </w:rPr>
        <w:t>é</w:t>
      </w:r>
      <w:r w:rsidR="0060083C" w:rsidRPr="00E50E5F">
        <w:rPr>
          <w:sz w:val="24"/>
          <w:szCs w:val="24"/>
          <w:lang w:val="fr-CH"/>
        </w:rPr>
        <w:t>v.1), 1/64(R</w:t>
      </w:r>
      <w:r w:rsidR="00E50E5F" w:rsidRPr="00E50E5F">
        <w:rPr>
          <w:sz w:val="24"/>
          <w:szCs w:val="24"/>
          <w:lang w:val="fr-CH"/>
        </w:rPr>
        <w:t>é</w:t>
      </w:r>
      <w:r w:rsidR="0060083C" w:rsidRPr="00E50E5F">
        <w:rPr>
          <w:sz w:val="24"/>
          <w:szCs w:val="24"/>
          <w:lang w:val="fr-CH"/>
        </w:rPr>
        <w:t>v.1), 1/67(R</w:t>
      </w:r>
      <w:r w:rsidR="00E50E5F" w:rsidRPr="00E50E5F">
        <w:rPr>
          <w:sz w:val="24"/>
          <w:szCs w:val="24"/>
          <w:lang w:val="fr-CH"/>
        </w:rPr>
        <w:t>é</w:t>
      </w:r>
      <w:r w:rsidR="0060083C" w:rsidRPr="00E50E5F">
        <w:rPr>
          <w:sz w:val="24"/>
          <w:szCs w:val="24"/>
          <w:lang w:val="fr-CH"/>
        </w:rPr>
        <w:t>v.1), 1/71(R</w:t>
      </w:r>
      <w:r w:rsidR="00E50E5F" w:rsidRPr="00E50E5F">
        <w:rPr>
          <w:sz w:val="24"/>
          <w:szCs w:val="24"/>
          <w:lang w:val="fr-CH"/>
        </w:rPr>
        <w:t>é</w:t>
      </w:r>
      <w:r w:rsidR="0060083C" w:rsidRPr="00E50E5F">
        <w:rPr>
          <w:sz w:val="24"/>
          <w:szCs w:val="24"/>
          <w:lang w:val="fr-CH"/>
        </w:rPr>
        <w:t>v.1), 1/74(R</w:t>
      </w:r>
      <w:r w:rsidR="00E50E5F" w:rsidRPr="00E50E5F">
        <w:rPr>
          <w:sz w:val="24"/>
          <w:szCs w:val="24"/>
          <w:lang w:val="fr-CH"/>
        </w:rPr>
        <w:t>é</w:t>
      </w:r>
      <w:r w:rsidR="0060083C" w:rsidRPr="00E50E5F">
        <w:rPr>
          <w:sz w:val="24"/>
          <w:szCs w:val="24"/>
          <w:lang w:val="fr-CH"/>
        </w:rPr>
        <w:t>v.1), 1/75(R</w:t>
      </w:r>
      <w:r w:rsidR="00E50E5F" w:rsidRPr="00E50E5F">
        <w:rPr>
          <w:sz w:val="24"/>
          <w:szCs w:val="24"/>
          <w:lang w:val="fr-CH"/>
        </w:rPr>
        <w:t>é</w:t>
      </w:r>
      <w:r w:rsidR="0060083C" w:rsidRPr="00E50E5F">
        <w:rPr>
          <w:sz w:val="24"/>
          <w:szCs w:val="24"/>
          <w:lang w:val="fr-CH"/>
        </w:rPr>
        <w:t>v.1), 1/78(R</w:t>
      </w:r>
      <w:r w:rsidR="00E50E5F" w:rsidRPr="00E50E5F">
        <w:rPr>
          <w:sz w:val="24"/>
          <w:szCs w:val="24"/>
          <w:lang w:val="fr-CH"/>
        </w:rPr>
        <w:t>é</w:t>
      </w:r>
      <w:r w:rsidR="0060083C" w:rsidRPr="00E50E5F">
        <w:rPr>
          <w:sz w:val="24"/>
          <w:szCs w:val="24"/>
          <w:lang w:val="fr-CH"/>
        </w:rPr>
        <w:t>v.1)</w:t>
      </w:r>
    </w:p>
    <w:p w:rsidR="00435F10" w:rsidRPr="00E50E5F" w:rsidRDefault="00435F10" w:rsidP="00403167">
      <w:pPr>
        <w:spacing w:line="240" w:lineRule="auto"/>
        <w:jc w:val="left"/>
        <w:rPr>
          <w:sz w:val="24"/>
          <w:szCs w:val="24"/>
          <w:lang w:val="fr-CH"/>
        </w:rPr>
      </w:pPr>
      <w:r w:rsidRPr="003A4ECB">
        <w:rPr>
          <w:sz w:val="24"/>
          <w:szCs w:val="24"/>
          <w:lang w:val="fr-CH"/>
        </w:rPr>
        <w:t>Ces documents sont disponibles sous forme électronique à l'adresse:</w:t>
      </w:r>
      <w:r>
        <w:rPr>
          <w:sz w:val="24"/>
          <w:szCs w:val="24"/>
          <w:lang w:val="fr-CH"/>
        </w:rPr>
        <w:t xml:space="preserve"> </w:t>
      </w:r>
      <w:r>
        <w:rPr>
          <w:sz w:val="24"/>
          <w:szCs w:val="24"/>
          <w:lang w:val="fr-CH"/>
        </w:rPr>
        <w:br/>
      </w:r>
      <w:hyperlink r:id="rId10" w:history="1">
        <w:r w:rsidR="00403167" w:rsidRPr="00B50EE0">
          <w:rPr>
            <w:rStyle w:val="Hyperlink"/>
            <w:sz w:val="24"/>
            <w:szCs w:val="24"/>
            <w:lang w:val="fr-CH"/>
          </w:rPr>
          <w:t>http://www.itu.int/md/R12-SG01-C/en</w:t>
        </w:r>
      </w:hyperlink>
    </w:p>
    <w:p w:rsidR="004B2A1F" w:rsidRPr="00435F10" w:rsidRDefault="004B2A1F" w:rsidP="0060083C">
      <w:pPr>
        <w:tabs>
          <w:tab w:val="left" w:pos="284"/>
          <w:tab w:val="left" w:pos="568"/>
        </w:tabs>
        <w:spacing w:before="720" w:after="120"/>
        <w:jc w:val="left"/>
        <w:rPr>
          <w:b/>
          <w:bCs/>
          <w:sz w:val="18"/>
          <w:szCs w:val="18"/>
          <w:lang w:val="fr-CH"/>
        </w:rPr>
      </w:pPr>
      <w:bookmarkStart w:id="4" w:name="ddistribution"/>
      <w:bookmarkEnd w:id="4"/>
      <w:r w:rsidRPr="00435F10">
        <w:rPr>
          <w:b/>
          <w:bCs/>
          <w:sz w:val="18"/>
          <w:szCs w:val="18"/>
          <w:lang w:val="fr-CH"/>
        </w:rPr>
        <w:t>Distribution:</w:t>
      </w:r>
    </w:p>
    <w:p w:rsidR="004B2A1F" w:rsidRPr="00435F10" w:rsidRDefault="004B2A1F" w:rsidP="00403167">
      <w:pPr>
        <w:tabs>
          <w:tab w:val="left" w:pos="284"/>
          <w:tab w:val="left" w:pos="568"/>
        </w:tabs>
        <w:spacing w:before="0" w:line="240" w:lineRule="auto"/>
        <w:jc w:val="left"/>
        <w:rPr>
          <w:sz w:val="18"/>
          <w:szCs w:val="18"/>
          <w:lang w:val="fr-CH"/>
        </w:rPr>
      </w:pPr>
      <w:r w:rsidRPr="00435F10">
        <w:rPr>
          <w:sz w:val="18"/>
          <w:szCs w:val="18"/>
          <w:lang w:val="fr-CH"/>
        </w:rPr>
        <w:t>–</w:t>
      </w:r>
      <w:r w:rsidRPr="00435F10">
        <w:rPr>
          <w:sz w:val="18"/>
          <w:szCs w:val="18"/>
          <w:lang w:val="fr-CH"/>
        </w:rPr>
        <w:tab/>
        <w:t xml:space="preserve">Administrations des </w:t>
      </w:r>
      <w:r w:rsidR="00277119" w:rsidRPr="00435F10">
        <w:rPr>
          <w:sz w:val="18"/>
          <w:szCs w:val="18"/>
          <w:lang w:val="fr-CH"/>
        </w:rPr>
        <w:t>Etats</w:t>
      </w:r>
      <w:r w:rsidRPr="00435F10">
        <w:rPr>
          <w:sz w:val="18"/>
          <w:szCs w:val="18"/>
          <w:lang w:val="fr-CH"/>
        </w:rPr>
        <w:t xml:space="preserve"> Membres de l'UIT et Membres du Secteur des radiocommunications participant aux travaux de la </w:t>
      </w:r>
      <w:r w:rsidRPr="00435F10">
        <w:rPr>
          <w:sz w:val="18"/>
          <w:szCs w:val="18"/>
          <w:lang w:val="fr-CH"/>
        </w:rPr>
        <w:tab/>
        <w:t xml:space="preserve">Commission d'études </w:t>
      </w:r>
      <w:r w:rsidR="0060083C" w:rsidRPr="00435F10">
        <w:rPr>
          <w:sz w:val="18"/>
          <w:szCs w:val="18"/>
          <w:lang w:val="fr-CH"/>
        </w:rPr>
        <w:t>1</w:t>
      </w:r>
      <w:r w:rsidRPr="00435F10">
        <w:rPr>
          <w:sz w:val="18"/>
          <w:szCs w:val="18"/>
          <w:lang w:val="fr-CH"/>
        </w:rPr>
        <w:t xml:space="preserve"> des radiocommunications</w:t>
      </w:r>
      <w:r w:rsidRPr="00435F10">
        <w:rPr>
          <w:sz w:val="18"/>
          <w:szCs w:val="18"/>
          <w:lang w:val="fr-CH"/>
        </w:rPr>
        <w:br/>
        <w:t>–</w:t>
      </w:r>
      <w:r w:rsidRPr="00435F10">
        <w:rPr>
          <w:sz w:val="18"/>
          <w:szCs w:val="18"/>
          <w:lang w:val="fr-CH"/>
        </w:rPr>
        <w:tab/>
        <w:t xml:space="preserve">Associés de l'UIT-R participant aux travaux de la Commission d'études </w:t>
      </w:r>
      <w:r w:rsidR="0060083C" w:rsidRPr="00435F10">
        <w:rPr>
          <w:sz w:val="18"/>
          <w:szCs w:val="18"/>
          <w:lang w:val="fr-CH"/>
        </w:rPr>
        <w:t>1</w:t>
      </w:r>
      <w:r w:rsidRPr="00435F10">
        <w:rPr>
          <w:sz w:val="18"/>
          <w:szCs w:val="18"/>
          <w:lang w:val="fr-CH"/>
        </w:rPr>
        <w:t xml:space="preserve"> des radiocommunications</w:t>
      </w:r>
      <w:r w:rsidR="0060083C" w:rsidRPr="00435F10">
        <w:rPr>
          <w:sz w:val="18"/>
          <w:szCs w:val="18"/>
          <w:lang w:val="fr-CH"/>
        </w:rPr>
        <w:br/>
      </w:r>
      <w:r w:rsidRPr="00435F10">
        <w:rPr>
          <w:sz w:val="18"/>
          <w:szCs w:val="18"/>
          <w:lang w:val="fr-CH"/>
        </w:rPr>
        <w:t>–</w:t>
      </w:r>
      <w:r w:rsidRPr="00435F10">
        <w:rPr>
          <w:sz w:val="18"/>
          <w:szCs w:val="18"/>
          <w:lang w:val="fr-CH"/>
        </w:rPr>
        <w:tab/>
        <w:t>Présidents et Vice</w:t>
      </w:r>
      <w:r w:rsidRPr="00435F10">
        <w:rPr>
          <w:sz w:val="18"/>
          <w:szCs w:val="18"/>
          <w:lang w:val="fr-CH"/>
        </w:rPr>
        <w:noBreakHyphen/>
        <w:t xml:space="preserve">Présidents des Commissions d'études des radiocommunications et de la Commission spéciale chargée </w:t>
      </w:r>
      <w:r w:rsidR="00F95AA0" w:rsidRPr="00435F10">
        <w:rPr>
          <w:sz w:val="18"/>
          <w:szCs w:val="18"/>
          <w:lang w:val="fr-CH"/>
        </w:rPr>
        <w:br/>
      </w:r>
      <w:r w:rsidRPr="00435F10">
        <w:rPr>
          <w:sz w:val="18"/>
          <w:szCs w:val="18"/>
          <w:lang w:val="fr-CH"/>
        </w:rPr>
        <w:tab/>
        <w:t>d'examiner les questions réglementaires et de procédure</w:t>
      </w:r>
      <w:r w:rsidRPr="00435F10">
        <w:rPr>
          <w:sz w:val="18"/>
          <w:szCs w:val="18"/>
          <w:lang w:val="fr-CH"/>
        </w:rPr>
        <w:br/>
        <w:t>–</w:t>
      </w:r>
      <w:r w:rsidRPr="00435F10">
        <w:rPr>
          <w:sz w:val="18"/>
          <w:szCs w:val="18"/>
          <w:lang w:val="fr-CH"/>
        </w:rPr>
        <w:tab/>
        <w:t>Président et Vice</w:t>
      </w:r>
      <w:r w:rsidRPr="00435F10">
        <w:rPr>
          <w:sz w:val="18"/>
          <w:szCs w:val="18"/>
          <w:lang w:val="fr-CH"/>
        </w:rPr>
        <w:noBreakHyphen/>
        <w:t>Présidents de la Réunion de préparation à la Conférence</w:t>
      </w:r>
      <w:r w:rsidRPr="00435F10">
        <w:rPr>
          <w:sz w:val="18"/>
          <w:szCs w:val="18"/>
          <w:lang w:val="fr-CH"/>
        </w:rPr>
        <w:br/>
        <w:t>–</w:t>
      </w:r>
      <w:r w:rsidRPr="00435F10">
        <w:rPr>
          <w:sz w:val="18"/>
          <w:szCs w:val="18"/>
          <w:lang w:val="fr-CH"/>
        </w:rPr>
        <w:tab/>
        <w:t>Membres du Comité du Règlement des radiocommunications</w:t>
      </w:r>
      <w:r w:rsidRPr="00435F10">
        <w:rPr>
          <w:sz w:val="18"/>
          <w:szCs w:val="18"/>
          <w:lang w:val="fr-CH"/>
        </w:rPr>
        <w:br/>
        <w:t>–</w:t>
      </w:r>
      <w:r w:rsidRPr="00435F10">
        <w:rPr>
          <w:sz w:val="18"/>
          <w:szCs w:val="18"/>
          <w:lang w:val="fr-CH"/>
        </w:rPr>
        <w:tab/>
        <w:t xml:space="preserve">Secrétaire général de l'UIT, Directeur du Bureau de la normalisation des télécommunications, Directeur du Bureau de </w:t>
      </w:r>
      <w:r w:rsidRPr="00435F10">
        <w:rPr>
          <w:sz w:val="18"/>
          <w:szCs w:val="18"/>
          <w:lang w:val="fr-CH"/>
        </w:rPr>
        <w:tab/>
        <w:t>développement des télécommunications</w:t>
      </w:r>
    </w:p>
    <w:p w:rsidR="00F95AA0" w:rsidRDefault="00F95AA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lang w:val="fr-CH"/>
        </w:rPr>
      </w:pPr>
      <w:r>
        <w:rPr>
          <w:rFonts w:asciiTheme="minorHAnsi" w:hAnsiTheme="minorHAnsi" w:cstheme="minorHAnsi"/>
          <w:sz w:val="24"/>
          <w:szCs w:val="24"/>
          <w:lang w:val="fr-CH"/>
        </w:rPr>
        <w:br w:type="page"/>
      </w:r>
    </w:p>
    <w:p w:rsidR="00EC435D" w:rsidRPr="00DF392A" w:rsidRDefault="00EC435D" w:rsidP="00EC435D">
      <w:pPr>
        <w:pStyle w:val="AnnexNotitle0"/>
        <w:spacing w:before="240"/>
        <w:rPr>
          <w:rFonts w:asciiTheme="minorHAnsi" w:hAnsiTheme="minorHAnsi" w:cstheme="minorHAnsi"/>
          <w:sz w:val="24"/>
          <w:szCs w:val="24"/>
          <w:lang w:val="fr-CH"/>
        </w:rPr>
      </w:pPr>
      <w:r w:rsidRPr="00DF392A">
        <w:rPr>
          <w:rFonts w:asciiTheme="minorHAnsi" w:hAnsiTheme="minorHAnsi" w:cstheme="minorHAnsi"/>
          <w:sz w:val="24"/>
          <w:szCs w:val="24"/>
          <w:lang w:val="fr-CH"/>
        </w:rPr>
        <w:lastRenderedPageBreak/>
        <w:t>Anne</w:t>
      </w:r>
      <w:bookmarkStart w:id="5" w:name="_GoBack"/>
      <w:bookmarkEnd w:id="5"/>
      <w:r w:rsidRPr="00DF392A">
        <w:rPr>
          <w:rFonts w:asciiTheme="minorHAnsi" w:hAnsiTheme="minorHAnsi" w:cstheme="minorHAnsi"/>
          <w:sz w:val="24"/>
          <w:szCs w:val="24"/>
          <w:lang w:val="fr-CH"/>
        </w:rPr>
        <w:t>xe</w:t>
      </w:r>
    </w:p>
    <w:p w:rsidR="00EC435D" w:rsidRPr="00DF392A" w:rsidRDefault="00EC435D" w:rsidP="00CA781A">
      <w:pPr>
        <w:pStyle w:val="AnnexNotitle0"/>
        <w:spacing w:before="240"/>
        <w:rPr>
          <w:rFonts w:asciiTheme="minorHAnsi" w:hAnsiTheme="minorHAnsi" w:cstheme="minorHAnsi"/>
          <w:sz w:val="24"/>
          <w:szCs w:val="24"/>
          <w:lang w:val="fr-CH"/>
        </w:rPr>
      </w:pPr>
      <w:r w:rsidRPr="00DF392A">
        <w:rPr>
          <w:rFonts w:asciiTheme="minorHAnsi" w:hAnsiTheme="minorHAnsi" w:cstheme="minorHAnsi"/>
          <w:sz w:val="24"/>
          <w:szCs w:val="24"/>
          <w:lang w:val="fr-CH"/>
        </w:rPr>
        <w:t>Titres et résumés des projets de Recommandation</w:t>
      </w:r>
    </w:p>
    <w:p w:rsidR="00EC435D" w:rsidRPr="00DF392A" w:rsidRDefault="00EC435D" w:rsidP="00CA781A">
      <w:pPr>
        <w:pStyle w:val="Normalaftertitle"/>
        <w:tabs>
          <w:tab w:val="left" w:pos="7938"/>
        </w:tabs>
        <w:spacing w:before="600" w:line="240" w:lineRule="auto"/>
        <w:rPr>
          <w:rFonts w:asciiTheme="minorHAnsi" w:hAnsiTheme="minorHAnsi" w:cstheme="minorHAnsi"/>
          <w:sz w:val="24"/>
          <w:szCs w:val="24"/>
          <w:lang w:val="fr-CH"/>
        </w:rPr>
      </w:pPr>
      <w:r w:rsidRPr="00DF392A">
        <w:rPr>
          <w:rFonts w:asciiTheme="minorHAnsi" w:hAnsiTheme="minorHAnsi" w:cstheme="minorHAnsi"/>
          <w:sz w:val="24"/>
          <w:szCs w:val="24"/>
          <w:u w:val="single"/>
          <w:lang w:val="fr-CH"/>
        </w:rPr>
        <w:t>Projet de nouvelle Recommandation UIT-R SM.[SPEC_MON_EVOLUTION]</w:t>
      </w:r>
      <w:r w:rsidRPr="00DF392A">
        <w:rPr>
          <w:rFonts w:asciiTheme="minorHAnsi" w:hAnsiTheme="minorHAnsi" w:cstheme="minorHAnsi"/>
          <w:sz w:val="24"/>
          <w:szCs w:val="24"/>
          <w:lang w:val="fr-CH"/>
        </w:rPr>
        <w:tab/>
        <w:t>Doc. 1/75(Rév.1)</w:t>
      </w:r>
    </w:p>
    <w:p w:rsidR="00EC435D" w:rsidRDefault="00EC435D" w:rsidP="00EC435D">
      <w:pPr>
        <w:pStyle w:val="Rectitle"/>
        <w:rPr>
          <w:rFonts w:eastAsia="Batang"/>
          <w:sz w:val="24"/>
          <w:szCs w:val="24"/>
          <w:lang w:val="fr-CH"/>
        </w:rPr>
      </w:pPr>
      <w:r w:rsidRPr="006076D9">
        <w:rPr>
          <w:lang w:val="fr-CH" w:eastAsia="ko-KR"/>
        </w:rPr>
        <w:t xml:space="preserve">Evolution du contrôle </w:t>
      </w:r>
      <w:r>
        <w:rPr>
          <w:lang w:val="fr-CH" w:eastAsia="ko-KR"/>
        </w:rPr>
        <w:t>du spectre</w:t>
      </w:r>
    </w:p>
    <w:p w:rsidR="00EC435D" w:rsidRPr="00EC435D" w:rsidRDefault="00EC435D" w:rsidP="00DF392A">
      <w:pPr>
        <w:pStyle w:val="Normalaftertitle"/>
        <w:spacing w:before="240"/>
        <w:rPr>
          <w:rFonts w:asciiTheme="minorHAnsi" w:hAnsiTheme="minorHAnsi" w:cstheme="minorHAnsi"/>
          <w:sz w:val="24"/>
          <w:szCs w:val="24"/>
          <w:lang w:val="fr-CH"/>
        </w:rPr>
      </w:pPr>
      <w:r w:rsidRPr="00EC435D">
        <w:rPr>
          <w:rFonts w:asciiTheme="minorHAnsi" w:hAnsiTheme="minorHAnsi" w:cstheme="minorHAnsi"/>
          <w:sz w:val="24"/>
          <w:szCs w:val="24"/>
          <w:lang w:val="fr-CH"/>
        </w:rPr>
        <w:t>Cette Recommandation contient une brève présentation de l'évolution du contrôle du spectre et indique les spécifications et les techniques qu'il est recommandé d'utiliser pour prendre en charge l'évolution du contrôle du spectre.</w:t>
      </w:r>
    </w:p>
    <w:p w:rsidR="00EC435D" w:rsidRPr="00EC435D" w:rsidRDefault="00EC435D" w:rsidP="00CA781A">
      <w:pPr>
        <w:spacing w:before="120"/>
        <w:rPr>
          <w:lang w:val="fr-CH"/>
        </w:rPr>
      </w:pPr>
    </w:p>
    <w:p w:rsidR="00EC435D" w:rsidRPr="00EC435D" w:rsidRDefault="00EC435D" w:rsidP="00CA781A">
      <w:pPr>
        <w:pStyle w:val="Normalaftertitle"/>
        <w:tabs>
          <w:tab w:val="left" w:pos="7938"/>
        </w:tabs>
        <w:spacing w:before="240" w:line="240" w:lineRule="auto"/>
        <w:rPr>
          <w:rFonts w:asciiTheme="minorHAnsi" w:hAnsiTheme="minorHAnsi" w:cstheme="minorHAnsi"/>
          <w:sz w:val="24"/>
          <w:szCs w:val="24"/>
          <w:lang w:val="fr-CH"/>
        </w:rPr>
      </w:pPr>
      <w:r w:rsidRPr="00EC435D">
        <w:rPr>
          <w:rFonts w:asciiTheme="minorHAnsi" w:hAnsiTheme="minorHAnsi" w:cstheme="minorHAnsi"/>
          <w:sz w:val="24"/>
          <w:szCs w:val="24"/>
          <w:u w:val="single"/>
          <w:lang w:val="fr-CH"/>
        </w:rPr>
        <w:t>Projet de révision de la Recommandation UIT-R SM.1837</w:t>
      </w:r>
      <w:r w:rsidRPr="00EC435D">
        <w:rPr>
          <w:rFonts w:asciiTheme="minorHAnsi" w:hAnsiTheme="minorHAnsi" w:cstheme="minorHAnsi"/>
          <w:sz w:val="24"/>
          <w:szCs w:val="24"/>
          <w:lang w:val="fr-CH"/>
        </w:rPr>
        <w:tab/>
        <w:t>Doc. 1/63(Rév.1)</w:t>
      </w:r>
    </w:p>
    <w:p w:rsidR="00EC435D" w:rsidRPr="006076D9" w:rsidRDefault="00EC435D" w:rsidP="00CA781A">
      <w:pPr>
        <w:pStyle w:val="Rectitle"/>
        <w:rPr>
          <w:lang w:val="fr-CH" w:eastAsia="ko-KR"/>
        </w:rPr>
      </w:pPr>
      <w:r w:rsidRPr="006076D9">
        <w:rPr>
          <w:lang w:val="fr-CH" w:eastAsia="ko-KR"/>
        </w:rPr>
        <w:t>Procédure d'essai pour mesurer le niveau</w:t>
      </w:r>
      <w:r>
        <w:rPr>
          <w:lang w:val="fr-CH" w:eastAsia="ko-KR"/>
        </w:rPr>
        <w:t xml:space="preserve"> </w:t>
      </w:r>
      <w:r w:rsidRPr="006076D9">
        <w:rPr>
          <w:lang w:val="fr-CH" w:eastAsia="ko-KR"/>
        </w:rPr>
        <w:t>du point d'interc</w:t>
      </w:r>
      <w:r>
        <w:rPr>
          <w:lang w:val="fr-CH" w:eastAsia="ko-KR"/>
        </w:rPr>
        <w:t xml:space="preserve">eption de troisième ordre (IP3) </w:t>
      </w:r>
      <w:r w:rsidRPr="006076D9">
        <w:rPr>
          <w:lang w:val="fr-CH" w:eastAsia="ko-KR"/>
        </w:rPr>
        <w:t>des récepteurs de contrôle des émissions</w:t>
      </w:r>
    </w:p>
    <w:p w:rsidR="00EC435D" w:rsidRPr="00EC435D" w:rsidRDefault="00EC435D" w:rsidP="00DF392A">
      <w:pPr>
        <w:pStyle w:val="Normalaftertitle"/>
        <w:spacing w:before="240"/>
        <w:rPr>
          <w:sz w:val="24"/>
          <w:szCs w:val="24"/>
          <w:lang w:val="fr-CH"/>
        </w:rPr>
      </w:pPr>
      <w:r w:rsidRPr="00EC435D">
        <w:rPr>
          <w:sz w:val="24"/>
          <w:szCs w:val="24"/>
          <w:lang w:val="fr-CH"/>
        </w:rPr>
        <w:t xml:space="preserve">L'objet de cette révision est de présenter quelques brèves explications assorties d'exemples, afin de faciliter le choix de la </w:t>
      </w:r>
      <w:r w:rsidRPr="00EC435D">
        <w:rPr>
          <w:i/>
          <w:sz w:val="24"/>
          <w:szCs w:val="24"/>
          <w:lang w:val="fr-CH"/>
        </w:rPr>
        <w:t>condition</w:t>
      </w:r>
      <w:r w:rsidRPr="00EC435D">
        <w:rPr>
          <w:sz w:val="24"/>
          <w:szCs w:val="24"/>
          <w:lang w:val="fr-CH"/>
        </w:rPr>
        <w:t xml:space="preserve"> qu'il convient d'appliquer pour mesurer le niveau du point d'interception de troisième ordre (IP3) des récepteurs de contrôle des émissions.</w:t>
      </w:r>
    </w:p>
    <w:p w:rsidR="00EC435D" w:rsidRPr="000B12F9" w:rsidRDefault="00EC435D" w:rsidP="00CA781A">
      <w:pPr>
        <w:spacing w:before="120"/>
        <w:rPr>
          <w:lang w:val="fr-CH"/>
        </w:rPr>
      </w:pPr>
    </w:p>
    <w:p w:rsidR="00EC435D" w:rsidRPr="00EC435D" w:rsidRDefault="00EC435D" w:rsidP="00CA781A">
      <w:pPr>
        <w:pStyle w:val="Normalaftertitle"/>
        <w:tabs>
          <w:tab w:val="left" w:pos="7938"/>
        </w:tabs>
        <w:spacing w:before="240" w:line="240" w:lineRule="auto"/>
        <w:rPr>
          <w:sz w:val="24"/>
          <w:szCs w:val="28"/>
          <w:lang w:val="fr-CH"/>
        </w:rPr>
      </w:pPr>
      <w:r w:rsidRPr="00EC435D">
        <w:rPr>
          <w:rFonts w:asciiTheme="minorHAnsi" w:hAnsiTheme="minorHAnsi" w:cstheme="minorHAnsi"/>
          <w:sz w:val="24"/>
          <w:szCs w:val="28"/>
          <w:u w:val="single"/>
          <w:lang w:val="fr-CH"/>
        </w:rPr>
        <w:t>Projet de révision de la Recommandation UIT</w:t>
      </w:r>
      <w:r w:rsidRPr="00EC435D">
        <w:rPr>
          <w:sz w:val="24"/>
          <w:szCs w:val="28"/>
          <w:u w:val="single"/>
          <w:lang w:val="fr-CH"/>
        </w:rPr>
        <w:t>-R SM.1537</w:t>
      </w:r>
      <w:r w:rsidRPr="00EC435D">
        <w:rPr>
          <w:sz w:val="24"/>
          <w:szCs w:val="28"/>
          <w:lang w:val="fr-CH"/>
        </w:rPr>
        <w:tab/>
        <w:t>Doc. 1/64(Rév.1)</w:t>
      </w:r>
    </w:p>
    <w:p w:rsidR="00EC435D" w:rsidRPr="006076D9" w:rsidRDefault="00EC435D" w:rsidP="00EC435D">
      <w:pPr>
        <w:pStyle w:val="Rectitle"/>
        <w:rPr>
          <w:lang w:val="fr-CH" w:eastAsia="ko-KR"/>
        </w:rPr>
      </w:pPr>
      <w:r w:rsidRPr="006076D9">
        <w:rPr>
          <w:lang w:val="fr-CH" w:eastAsia="ko-KR"/>
        </w:rPr>
        <w:t xml:space="preserve">Automatisation et intégration de systèmes de contrôle </w:t>
      </w:r>
      <w:r>
        <w:rPr>
          <w:lang w:val="fr-CH" w:eastAsia="ko-KR"/>
        </w:rPr>
        <w:br/>
      </w:r>
      <w:r w:rsidRPr="006076D9">
        <w:rPr>
          <w:lang w:val="fr-CH" w:eastAsia="ko-KR"/>
        </w:rPr>
        <w:t xml:space="preserve">du spectre avec gestion automatisée du spectre </w:t>
      </w:r>
    </w:p>
    <w:p w:rsidR="00EC435D" w:rsidRPr="00EC435D" w:rsidRDefault="00EC435D" w:rsidP="00DF392A">
      <w:pPr>
        <w:pStyle w:val="Normalaftertitle"/>
        <w:spacing w:before="240"/>
        <w:rPr>
          <w:sz w:val="24"/>
          <w:szCs w:val="24"/>
          <w:lang w:val="fr-CH"/>
        </w:rPr>
      </w:pPr>
      <w:r w:rsidRPr="00EC435D">
        <w:rPr>
          <w:sz w:val="24"/>
          <w:szCs w:val="24"/>
          <w:lang w:val="fr-CH"/>
        </w:rPr>
        <w:t>La Recommandation UIT-R SM.1537 a été élaborée en 2000. Depuis, les progrès techniques ont permis de mettre au point une fonctionnalité additionnelle, qui peut faire partie des systèmes automatisés et intégrés de contrôle du spectre qui intègrent une gestion automatisée du spectre. L'objet de cette révision est de présenter cette fonctionnalité supplémentaire.</w:t>
      </w:r>
    </w:p>
    <w:p w:rsidR="00EC435D" w:rsidRPr="00EC435D" w:rsidRDefault="00EC435D" w:rsidP="00CA781A">
      <w:pPr>
        <w:spacing w:before="120"/>
        <w:rPr>
          <w:sz w:val="24"/>
          <w:szCs w:val="24"/>
          <w:lang w:val="fr-CH"/>
        </w:rPr>
      </w:pPr>
    </w:p>
    <w:p w:rsidR="00EC435D" w:rsidRPr="00EC435D" w:rsidRDefault="00EC435D" w:rsidP="00CA781A">
      <w:pPr>
        <w:pStyle w:val="Normalaftertitle"/>
        <w:tabs>
          <w:tab w:val="left" w:pos="7938"/>
        </w:tabs>
        <w:spacing w:before="240" w:line="240" w:lineRule="auto"/>
        <w:rPr>
          <w:rFonts w:asciiTheme="minorHAnsi" w:hAnsiTheme="minorHAnsi" w:cstheme="minorHAnsi"/>
          <w:sz w:val="24"/>
          <w:szCs w:val="28"/>
          <w:lang w:val="fr-CH"/>
        </w:rPr>
      </w:pPr>
      <w:r w:rsidRPr="00EC435D">
        <w:rPr>
          <w:rFonts w:asciiTheme="minorHAnsi" w:hAnsiTheme="minorHAnsi" w:cstheme="minorHAnsi"/>
          <w:sz w:val="24"/>
          <w:szCs w:val="28"/>
          <w:u w:val="single"/>
          <w:lang w:val="fr-CH"/>
        </w:rPr>
        <w:t>Projet de révision de la Recommandation UIT-R SM.1370-1</w:t>
      </w:r>
      <w:r w:rsidRPr="00EC435D">
        <w:rPr>
          <w:rFonts w:asciiTheme="minorHAnsi" w:hAnsiTheme="minorHAnsi" w:cstheme="minorHAnsi"/>
          <w:sz w:val="24"/>
          <w:szCs w:val="28"/>
          <w:lang w:val="fr-CH"/>
        </w:rPr>
        <w:tab/>
        <w:t>Doc. 1/67(Rév.1)</w:t>
      </w:r>
    </w:p>
    <w:p w:rsidR="00EC435D" w:rsidRPr="006076D9" w:rsidRDefault="00EC435D" w:rsidP="00EC435D">
      <w:pPr>
        <w:pStyle w:val="Rectitle"/>
        <w:rPr>
          <w:lang w:val="fr-CH" w:eastAsia="ko-KR"/>
        </w:rPr>
      </w:pPr>
      <w:r w:rsidRPr="006076D9">
        <w:rPr>
          <w:lang w:val="fr-CH" w:eastAsia="ko-KR"/>
        </w:rPr>
        <w:t xml:space="preserve">Directives de conception pour la réalisation des systèmes </w:t>
      </w:r>
      <w:r>
        <w:rPr>
          <w:lang w:val="fr-CH" w:eastAsia="ko-KR"/>
        </w:rPr>
        <w:br/>
      </w:r>
      <w:r w:rsidRPr="006076D9">
        <w:rPr>
          <w:lang w:val="fr-CH" w:eastAsia="ko-KR"/>
        </w:rPr>
        <w:t>évolués de</w:t>
      </w:r>
      <w:r>
        <w:rPr>
          <w:lang w:val="fr-CH" w:eastAsia="ko-KR"/>
        </w:rPr>
        <w:t xml:space="preserve"> gestion automatisée du spectre</w:t>
      </w:r>
    </w:p>
    <w:p w:rsidR="00EC435D" w:rsidRPr="00EC435D" w:rsidRDefault="00EC435D" w:rsidP="00DF392A">
      <w:pPr>
        <w:pStyle w:val="Normalaftertitle"/>
        <w:spacing w:before="240"/>
        <w:rPr>
          <w:sz w:val="24"/>
          <w:szCs w:val="24"/>
          <w:lang w:val="fr-CH"/>
        </w:rPr>
      </w:pPr>
      <w:r w:rsidRPr="00EC435D">
        <w:rPr>
          <w:sz w:val="24"/>
          <w:szCs w:val="24"/>
          <w:lang w:val="fr-CH"/>
        </w:rPr>
        <w:t>Les systèmes automatisés de gestion du spectre ayant évolué depuis 2001, cette révision a pour objet de refléter les modifications pertinentes apportées aux Résolutions de la CMR, aux publications et logiciels de l'UIT, au Règlement des radiocommunications, aux Manuels, aux Recommandations et Rapports de l'UIT-R, au système SMS4DC et à la Circulaire BR IFIC. Cette révision porte sur les avancées en ce qui concerne la réglementation de la gestion du spectre, le processus d'approbation et les outils d'ingénierie, et tient également compte des progrès récents dans le domaine du matériel, des logiciels et des réseaux. Les informations redondantes, qui figurent également dans d'autres publications de la CE 1, ont été supprimées.</w:t>
      </w:r>
    </w:p>
    <w:p w:rsidR="00EC435D" w:rsidRPr="00EC435D" w:rsidRDefault="00EC435D" w:rsidP="00EC435D">
      <w:pPr>
        <w:pStyle w:val="Normalaftertitle"/>
        <w:keepNext/>
        <w:keepLines/>
        <w:tabs>
          <w:tab w:val="left" w:pos="7938"/>
        </w:tabs>
        <w:spacing w:line="240" w:lineRule="auto"/>
        <w:rPr>
          <w:rFonts w:asciiTheme="minorHAnsi" w:hAnsiTheme="minorHAnsi" w:cstheme="minorHAnsi"/>
          <w:sz w:val="24"/>
          <w:szCs w:val="28"/>
          <w:lang w:val="fr-CH"/>
        </w:rPr>
      </w:pPr>
      <w:r w:rsidRPr="00EC435D">
        <w:rPr>
          <w:rFonts w:asciiTheme="minorHAnsi" w:hAnsiTheme="minorHAnsi" w:cstheme="minorHAnsi"/>
          <w:sz w:val="24"/>
          <w:szCs w:val="28"/>
          <w:u w:val="single"/>
          <w:lang w:val="fr-CH"/>
        </w:rPr>
        <w:lastRenderedPageBreak/>
        <w:t>Projet de modification de la Recommandation UIT-R SM.1541-4</w:t>
      </w:r>
      <w:r w:rsidRPr="00EC435D">
        <w:rPr>
          <w:rFonts w:asciiTheme="minorHAnsi" w:hAnsiTheme="minorHAnsi" w:cstheme="minorHAnsi"/>
          <w:sz w:val="24"/>
          <w:szCs w:val="28"/>
          <w:lang w:val="fr-CH"/>
        </w:rPr>
        <w:tab/>
        <w:t>Doc. 1/71(Rév.1)</w:t>
      </w:r>
    </w:p>
    <w:p w:rsidR="00EC435D" w:rsidRPr="009C65AA" w:rsidRDefault="00EC435D" w:rsidP="00EC435D">
      <w:pPr>
        <w:pStyle w:val="Rectitle"/>
        <w:rPr>
          <w:lang w:val="fr-CH" w:eastAsia="ko-KR"/>
        </w:rPr>
      </w:pPr>
      <w:r w:rsidRPr="009C65AA">
        <w:rPr>
          <w:lang w:val="fr-CH" w:eastAsia="ko-KR"/>
        </w:rPr>
        <w:t xml:space="preserve">Rayonnements non désirés dans le domaine </w:t>
      </w:r>
      <w:r w:rsidRPr="009C65AA">
        <w:rPr>
          <w:lang w:val="fr-CH" w:eastAsia="ko-KR"/>
        </w:rPr>
        <w:br/>
        <w:t>des émissions hors bande</w:t>
      </w:r>
    </w:p>
    <w:p w:rsidR="00EC435D" w:rsidRPr="00EC435D" w:rsidRDefault="00EC435D" w:rsidP="00CA781A">
      <w:pPr>
        <w:pStyle w:val="Normalaftertitle"/>
        <w:keepNext/>
        <w:keepLines/>
        <w:spacing w:before="240"/>
        <w:rPr>
          <w:sz w:val="32"/>
          <w:szCs w:val="32"/>
          <w:lang w:val="fr-CH" w:eastAsia="ja-JP"/>
        </w:rPr>
      </w:pPr>
      <w:r w:rsidRPr="00EC435D">
        <w:rPr>
          <w:sz w:val="24"/>
          <w:szCs w:val="24"/>
          <w:lang w:val="fr-CH"/>
        </w:rPr>
        <w:t>L'objet de cette modification est d'ajouter une référence à la Recommandation UIT</w:t>
      </w:r>
      <w:r w:rsidRPr="00EC435D">
        <w:rPr>
          <w:sz w:val="24"/>
          <w:szCs w:val="24"/>
          <w:lang w:val="fr-CH" w:eastAsia="ja-JP"/>
        </w:rPr>
        <w:noBreakHyphen/>
      </w:r>
      <w:r w:rsidRPr="00EC435D">
        <w:rPr>
          <w:rFonts w:hint="eastAsia"/>
          <w:sz w:val="24"/>
          <w:szCs w:val="24"/>
          <w:lang w:val="fr-CH" w:eastAsia="ja-JP"/>
        </w:rPr>
        <w:t>R</w:t>
      </w:r>
      <w:r w:rsidRPr="00EC435D">
        <w:rPr>
          <w:sz w:val="24"/>
          <w:szCs w:val="24"/>
          <w:lang w:val="fr-CH" w:eastAsia="ja-JP"/>
        </w:rPr>
        <w:t> </w:t>
      </w:r>
      <w:hyperlink r:id="rId11" w:history="1">
        <w:r w:rsidRPr="00EC435D">
          <w:rPr>
            <w:rStyle w:val="Hyperlink"/>
            <w:rFonts w:hint="eastAsia"/>
            <w:sz w:val="24"/>
            <w:szCs w:val="28"/>
            <w:lang w:val="fr-CH" w:eastAsia="ja-JP"/>
          </w:rPr>
          <w:t>BT.1206</w:t>
        </w:r>
        <w:r w:rsidRPr="00EC435D">
          <w:rPr>
            <w:rStyle w:val="Hyperlink"/>
            <w:sz w:val="24"/>
            <w:szCs w:val="28"/>
            <w:lang w:val="fr-CH" w:eastAsia="ja-JP"/>
          </w:rPr>
          <w:t>-1</w:t>
        </w:r>
      </w:hyperlink>
      <w:r w:rsidRPr="00EC435D">
        <w:rPr>
          <w:sz w:val="24"/>
          <w:szCs w:val="24"/>
          <w:lang w:val="fr-CH"/>
        </w:rPr>
        <w:t xml:space="preserve"> dans l'Annexe 4</w:t>
      </w:r>
      <w:r w:rsidRPr="00EC435D">
        <w:rPr>
          <w:sz w:val="32"/>
          <w:szCs w:val="32"/>
          <w:lang w:val="fr-CH" w:eastAsia="ja-JP"/>
        </w:rPr>
        <w:t>.</w:t>
      </w:r>
    </w:p>
    <w:p w:rsidR="00EC435D" w:rsidRPr="00EC435D" w:rsidRDefault="00EC435D" w:rsidP="00EC435D">
      <w:pPr>
        <w:rPr>
          <w:sz w:val="24"/>
          <w:szCs w:val="24"/>
          <w:lang w:val="fr-CH" w:eastAsia="ja-JP"/>
        </w:rPr>
      </w:pPr>
    </w:p>
    <w:p w:rsidR="00EC435D" w:rsidRPr="00EC435D" w:rsidRDefault="00EC435D" w:rsidP="00EC435D">
      <w:pPr>
        <w:pStyle w:val="Normalaftertitle"/>
        <w:keepNext/>
        <w:keepLines/>
        <w:tabs>
          <w:tab w:val="left" w:pos="7938"/>
        </w:tabs>
        <w:spacing w:line="240" w:lineRule="auto"/>
        <w:rPr>
          <w:rFonts w:asciiTheme="minorHAnsi" w:hAnsiTheme="minorHAnsi" w:cstheme="minorHAnsi"/>
          <w:sz w:val="24"/>
          <w:szCs w:val="28"/>
          <w:lang w:val="fr-CH"/>
        </w:rPr>
      </w:pPr>
      <w:r w:rsidRPr="00EC435D">
        <w:rPr>
          <w:rFonts w:asciiTheme="minorHAnsi" w:hAnsiTheme="minorHAnsi" w:cstheme="minorHAnsi"/>
          <w:sz w:val="24"/>
          <w:szCs w:val="28"/>
          <w:u w:val="single"/>
          <w:lang w:val="fr-CH"/>
        </w:rPr>
        <w:t>Projet de modification de la Recommandation UIT-R SM.1879-1</w:t>
      </w:r>
      <w:r w:rsidRPr="00EC435D">
        <w:rPr>
          <w:rFonts w:asciiTheme="minorHAnsi" w:hAnsiTheme="minorHAnsi" w:cstheme="minorHAnsi"/>
          <w:sz w:val="24"/>
          <w:szCs w:val="28"/>
          <w:lang w:val="fr-CH"/>
        </w:rPr>
        <w:tab/>
        <w:t>Doc. 1/74(Rév.1)</w:t>
      </w:r>
    </w:p>
    <w:p w:rsidR="00EC435D" w:rsidRPr="009C65AA" w:rsidRDefault="00EC435D" w:rsidP="00EC435D">
      <w:pPr>
        <w:pStyle w:val="Rectitle"/>
        <w:rPr>
          <w:lang w:val="fr-CH" w:eastAsia="ko-KR"/>
        </w:rPr>
      </w:pPr>
      <w:r w:rsidRPr="009C65AA">
        <w:rPr>
          <w:lang w:val="fr-CH" w:eastAsia="ko-KR"/>
        </w:rPr>
        <w:t xml:space="preserve">Incidence des systèmes de télécommunication à courants porteurs </w:t>
      </w:r>
      <w:r>
        <w:rPr>
          <w:lang w:val="fr-CH" w:eastAsia="ko-KR"/>
        </w:rPr>
        <w:br/>
      </w:r>
      <w:r w:rsidRPr="009C65AA">
        <w:rPr>
          <w:lang w:val="fr-CH" w:eastAsia="ko-KR"/>
        </w:rPr>
        <w:t xml:space="preserve">en ligne à haut débit sur les systèmes de radiocommunication </w:t>
      </w:r>
      <w:r>
        <w:rPr>
          <w:lang w:val="fr-CH" w:eastAsia="ko-KR"/>
        </w:rPr>
        <w:br/>
      </w:r>
      <w:r w:rsidRPr="009C65AA">
        <w:rPr>
          <w:lang w:val="fr-CH" w:eastAsia="ko-KR"/>
        </w:rPr>
        <w:t>fonctionnant au-dessous de 30 MHz et entre 80 et 470 MHz</w:t>
      </w:r>
    </w:p>
    <w:p w:rsidR="00EC435D" w:rsidRPr="00EC435D" w:rsidRDefault="00EC435D" w:rsidP="00CA781A">
      <w:pPr>
        <w:pStyle w:val="Normalaftertitle"/>
        <w:keepNext/>
        <w:keepLines/>
        <w:spacing w:before="240"/>
        <w:rPr>
          <w:sz w:val="24"/>
          <w:szCs w:val="24"/>
          <w:lang w:val="fr-CH"/>
        </w:rPr>
      </w:pPr>
      <w:r w:rsidRPr="00EC435D">
        <w:rPr>
          <w:sz w:val="24"/>
          <w:szCs w:val="24"/>
          <w:lang w:val="fr-CH"/>
        </w:rPr>
        <w:t>Cette modification a pour objet de tenir compte des nouveautés concernant la radiodiffusion, la radiolocalisation, la radionavigation aéronautique et la radioastronomie, et de couvrir également la gamme 30</w:t>
      </w:r>
      <w:r w:rsidRPr="00EC435D">
        <w:rPr>
          <w:sz w:val="24"/>
          <w:szCs w:val="24"/>
          <w:lang w:val="fr-CH"/>
        </w:rPr>
        <w:noBreakHyphen/>
        <w:t>80 MHz.</w:t>
      </w:r>
    </w:p>
    <w:p w:rsidR="00EC435D" w:rsidRPr="00EC435D" w:rsidRDefault="00EC435D" w:rsidP="00EC435D">
      <w:pPr>
        <w:rPr>
          <w:sz w:val="24"/>
          <w:szCs w:val="24"/>
          <w:lang w:val="fr-CH"/>
        </w:rPr>
      </w:pPr>
    </w:p>
    <w:p w:rsidR="00EC435D" w:rsidRPr="00EC435D" w:rsidRDefault="00EC435D" w:rsidP="00EC435D">
      <w:pPr>
        <w:pStyle w:val="Normalaftertitle"/>
        <w:keepNext/>
        <w:keepLines/>
        <w:tabs>
          <w:tab w:val="left" w:pos="7938"/>
        </w:tabs>
        <w:spacing w:line="240" w:lineRule="auto"/>
        <w:rPr>
          <w:rFonts w:asciiTheme="minorHAnsi" w:hAnsiTheme="minorHAnsi" w:cstheme="minorHAnsi"/>
          <w:sz w:val="24"/>
          <w:szCs w:val="28"/>
          <w:lang w:val="fr-CH"/>
        </w:rPr>
      </w:pPr>
      <w:r w:rsidRPr="00EC435D">
        <w:rPr>
          <w:rFonts w:asciiTheme="minorHAnsi" w:hAnsiTheme="minorHAnsi" w:cstheme="minorHAnsi"/>
          <w:sz w:val="24"/>
          <w:szCs w:val="28"/>
          <w:u w:val="single"/>
          <w:lang w:val="fr-CH"/>
        </w:rPr>
        <w:t>Projet de modification de la Recommandation UIT-R SM.1875</w:t>
      </w:r>
      <w:r w:rsidRPr="00EC435D">
        <w:rPr>
          <w:rFonts w:asciiTheme="minorHAnsi" w:hAnsiTheme="minorHAnsi" w:cstheme="minorHAnsi"/>
          <w:sz w:val="24"/>
          <w:szCs w:val="28"/>
          <w:lang w:val="fr-CH"/>
        </w:rPr>
        <w:tab/>
        <w:t>Doc. 1/78(Rév.1)</w:t>
      </w:r>
    </w:p>
    <w:p w:rsidR="00EC435D" w:rsidRPr="009C65AA" w:rsidRDefault="00EC435D" w:rsidP="00EC435D">
      <w:pPr>
        <w:pStyle w:val="Rectitle"/>
        <w:rPr>
          <w:lang w:val="fr-CH" w:eastAsia="ko-KR"/>
        </w:rPr>
      </w:pPr>
      <w:r w:rsidRPr="009C65AA">
        <w:rPr>
          <w:lang w:val="fr-CH" w:eastAsia="ko-KR"/>
        </w:rPr>
        <w:t xml:space="preserve">Mesures de la couverture DVB-T et vérification </w:t>
      </w:r>
      <w:r w:rsidR="00CA781A">
        <w:rPr>
          <w:lang w:val="fr-CH" w:eastAsia="ko-KR"/>
        </w:rPr>
        <w:br/>
      </w:r>
      <w:r w:rsidRPr="009C65AA">
        <w:rPr>
          <w:lang w:val="fr-CH" w:eastAsia="ko-KR"/>
        </w:rPr>
        <w:t>des critères de planification</w:t>
      </w:r>
    </w:p>
    <w:p w:rsidR="00EC435D" w:rsidRPr="00EC435D" w:rsidRDefault="00EC435D" w:rsidP="00CA781A">
      <w:pPr>
        <w:pStyle w:val="Normalaftertitle"/>
        <w:keepNext/>
        <w:keepLines/>
        <w:spacing w:before="240"/>
        <w:rPr>
          <w:sz w:val="24"/>
          <w:szCs w:val="24"/>
          <w:lang w:val="fr-CH"/>
        </w:rPr>
      </w:pPr>
      <w:r w:rsidRPr="00EC435D">
        <w:rPr>
          <w:sz w:val="24"/>
          <w:szCs w:val="24"/>
          <w:lang w:val="fr-CH" w:eastAsia="zh-CN"/>
        </w:rPr>
        <w:t>L'objectif de cette modification est de mettre à jour les valeurs qui étaient reprises de l'Accord GE06. Ces valeurs ont été mises à jour dans le cadre d'une révision de la Recommandation UIT-R P.1812, qui contient désormais les valeurs les plus récentes pour l'affaiblissement dû à la pénétration dans les bâtiments et leur écart type. Il est proposé de</w:t>
      </w:r>
      <w:r w:rsidRPr="00EC435D">
        <w:rPr>
          <w:sz w:val="24"/>
          <w:szCs w:val="24"/>
          <w:lang w:val="fr-CH"/>
        </w:rPr>
        <w:t xml:space="preserve"> modifier l'Annexe 2 de la Recommandation UIT-R SM.1875 pour harmoniser cette Recommandation avec la Recommandation UIT-R P.1812-2.</w:t>
      </w:r>
    </w:p>
    <w:p w:rsidR="00EC435D" w:rsidRDefault="00EC435D" w:rsidP="00EC435D">
      <w:pPr>
        <w:rPr>
          <w:lang w:val="fr-CH"/>
        </w:rPr>
      </w:pPr>
    </w:p>
    <w:p w:rsidR="00F95AA0" w:rsidRPr="00F95AA0" w:rsidRDefault="00F95AA0" w:rsidP="00F95AA0">
      <w:pPr>
        <w:tabs>
          <w:tab w:val="left" w:pos="7513"/>
        </w:tabs>
        <w:jc w:val="center"/>
        <w:rPr>
          <w:rFonts w:asciiTheme="minorHAnsi" w:hAnsiTheme="minorHAnsi" w:cstheme="minorHAnsi"/>
          <w:sz w:val="24"/>
          <w:szCs w:val="24"/>
          <w:lang w:val="fr-CH"/>
        </w:rPr>
      </w:pPr>
    </w:p>
    <w:p w:rsidR="00F95AA0" w:rsidRPr="00F95AA0" w:rsidRDefault="00F95AA0" w:rsidP="00F95AA0">
      <w:pPr>
        <w:tabs>
          <w:tab w:val="left" w:pos="7513"/>
        </w:tabs>
        <w:jc w:val="center"/>
        <w:rPr>
          <w:rFonts w:asciiTheme="minorHAnsi" w:hAnsiTheme="minorHAnsi" w:cstheme="minorHAnsi"/>
          <w:sz w:val="24"/>
          <w:szCs w:val="24"/>
          <w:lang w:val="fr-CH"/>
        </w:rPr>
      </w:pPr>
    </w:p>
    <w:p w:rsidR="00F95AA0" w:rsidRPr="00AB79D1" w:rsidRDefault="00F95AA0" w:rsidP="00F95AA0">
      <w:pPr>
        <w:jc w:val="center"/>
        <w:rPr>
          <w:lang w:val="fr-CH"/>
        </w:rPr>
      </w:pPr>
      <w:r>
        <w:t>______________</w:t>
      </w:r>
    </w:p>
    <w:p w:rsidR="004B2A1F" w:rsidRPr="004B2A1F" w:rsidRDefault="004B2A1F" w:rsidP="004B2A1F">
      <w:pPr>
        <w:spacing w:before="1418" w:line="240" w:lineRule="auto"/>
        <w:jc w:val="left"/>
        <w:rPr>
          <w:rFonts w:asciiTheme="minorHAnsi" w:hAnsiTheme="minorHAnsi" w:cstheme="minorHAnsi"/>
          <w:sz w:val="24"/>
          <w:szCs w:val="24"/>
          <w:lang w:val="fr-CH"/>
        </w:rPr>
      </w:pPr>
    </w:p>
    <w:sectPr w:rsidR="004B2A1F" w:rsidRPr="004B2A1F"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718" w:rsidRDefault="00CA6718">
      <w:r>
        <w:separator/>
      </w:r>
    </w:p>
  </w:endnote>
  <w:endnote w:type="continuationSeparator" w:id="0">
    <w:p w:rsidR="00CA6718" w:rsidRDefault="00CA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r w:rsidR="004557E0">
      <w:fldChar w:fldCharType="begin"/>
    </w:r>
    <w:r w:rsidR="004557E0" w:rsidRPr="004557E0">
      <w:rPr>
        <w:lang w:val="fr-CH"/>
        <w:rPrChange w:id="6" w:author="mostyn" w:date="2013-05-09T12:44:00Z">
          <w:rPr/>
        </w:rPrChange>
      </w:rPr>
      <w:instrText xml:space="preserve"> HYPERLINK "mailto:itumail@itu.int" </w:instrText>
    </w:r>
    <w:r w:rsidR="004557E0">
      <w:fldChar w:fldCharType="separate"/>
    </w:r>
    <w:r w:rsidRPr="00E53DCE">
      <w:rPr>
        <w:rStyle w:val="Hyperlink"/>
        <w:sz w:val="18"/>
        <w:szCs w:val="18"/>
        <w:lang w:val="fr-FR"/>
      </w:rPr>
      <w:t>itumail@itu.int</w:t>
    </w:r>
    <w:r w:rsidR="004557E0">
      <w:rPr>
        <w:rStyle w:val="Hyperlink"/>
        <w:sz w:val="18"/>
        <w:szCs w:val="18"/>
        <w:lang w:val="fr-FR"/>
      </w:rPr>
      <w:fldChar w:fldCharType="end"/>
    </w:r>
    <w:r w:rsidRPr="00E53DCE">
      <w:rPr>
        <w:sz w:val="18"/>
        <w:szCs w:val="18"/>
        <w:lang w:val="fr-FR"/>
      </w:rPr>
      <w:t xml:space="preserve"> • </w:t>
    </w:r>
    <w:r w:rsidR="004557E0">
      <w:fldChar w:fldCharType="begin"/>
    </w:r>
    <w:r w:rsidR="004557E0" w:rsidRPr="004557E0">
      <w:rPr>
        <w:lang w:val="fr-CH"/>
        <w:rPrChange w:id="7" w:author="mostyn" w:date="2013-05-09T12:44:00Z">
          <w:rPr/>
        </w:rPrChange>
      </w:rPr>
      <w:instrText xml:space="preserve"> HYPERLINK "http://www.itu.int/en/pages/default.aspx" </w:instrText>
    </w:r>
    <w:r w:rsidR="004557E0">
      <w:fldChar w:fldCharType="separate"/>
    </w:r>
    <w:r w:rsidRPr="00E53DCE">
      <w:rPr>
        <w:rStyle w:val="Hyperlink"/>
        <w:sz w:val="18"/>
        <w:szCs w:val="18"/>
        <w:lang w:val="fr-FR"/>
      </w:rPr>
      <w:t>www.itu.int</w:t>
    </w:r>
    <w:r w:rsidR="004557E0">
      <w:rPr>
        <w:rStyle w:val="Hyperlink"/>
        <w:sz w:val="18"/>
        <w:szCs w:val="18"/>
        <w:lang w:val="fr-FR"/>
      </w:rPr>
      <w:fldChar w:fldCharType="end"/>
    </w:r>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718" w:rsidRDefault="00CA6718">
      <w:r>
        <w:t>____________________</w:t>
      </w:r>
    </w:p>
  </w:footnote>
  <w:footnote w:type="continuationSeparator" w:id="0">
    <w:p w:rsidR="00CA6718" w:rsidRDefault="00CA6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DF392A" w:rsidRDefault="00E915AF">
    <w:pPr>
      <w:pStyle w:val="Header"/>
      <w:rPr>
        <w:sz w:val="18"/>
        <w:szCs w:val="18"/>
      </w:rPr>
    </w:pPr>
    <w:r>
      <w:tab/>
    </w:r>
    <w:r>
      <w:tab/>
    </w:r>
    <w:r w:rsidRPr="00DF392A">
      <w:rPr>
        <w:sz w:val="18"/>
        <w:szCs w:val="18"/>
      </w:rPr>
      <w:t xml:space="preserve">– </w:t>
    </w:r>
    <w:r w:rsidR="001B42C9" w:rsidRPr="00DF392A">
      <w:rPr>
        <w:rStyle w:val="PageNumber"/>
        <w:sz w:val="18"/>
        <w:szCs w:val="18"/>
      </w:rPr>
      <w:fldChar w:fldCharType="begin"/>
    </w:r>
    <w:r w:rsidRPr="00DF392A">
      <w:rPr>
        <w:rStyle w:val="PageNumber"/>
        <w:sz w:val="18"/>
        <w:szCs w:val="18"/>
      </w:rPr>
      <w:instrText xml:space="preserve"> PAGE </w:instrText>
    </w:r>
    <w:r w:rsidR="001B42C9" w:rsidRPr="00DF392A">
      <w:rPr>
        <w:rStyle w:val="PageNumber"/>
        <w:sz w:val="18"/>
        <w:szCs w:val="18"/>
      </w:rPr>
      <w:fldChar w:fldCharType="separate"/>
    </w:r>
    <w:r w:rsidR="00DF392A">
      <w:rPr>
        <w:rStyle w:val="PageNumber"/>
        <w:noProof/>
        <w:sz w:val="18"/>
        <w:szCs w:val="18"/>
      </w:rPr>
      <w:t>4</w:t>
    </w:r>
    <w:r w:rsidR="001B42C9" w:rsidRPr="00DF392A">
      <w:rPr>
        <w:rStyle w:val="PageNumber"/>
        <w:sz w:val="18"/>
        <w:szCs w:val="18"/>
      </w:rPr>
      <w:fldChar w:fldCharType="end"/>
    </w:r>
    <w:r w:rsidRPr="00DF392A">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DF392A" w:rsidRDefault="00E915AF" w:rsidP="0060083C">
    <w:pPr>
      <w:pStyle w:val="Header"/>
      <w:rPr>
        <w:iCs/>
        <w:sz w:val="18"/>
        <w:szCs w:val="18"/>
      </w:rPr>
    </w:pPr>
    <w:r w:rsidRPr="0060083C">
      <w:rPr>
        <w:iCs/>
      </w:rPr>
      <w:tab/>
    </w:r>
    <w:r w:rsidRPr="0060083C">
      <w:rPr>
        <w:iCs/>
      </w:rPr>
      <w:tab/>
    </w:r>
    <w:r w:rsidR="0060083C" w:rsidRPr="00DF392A">
      <w:rPr>
        <w:sz w:val="18"/>
        <w:szCs w:val="18"/>
      </w:rPr>
      <w:t>–</w:t>
    </w:r>
    <w:r w:rsidR="0060083C" w:rsidRPr="00DF392A">
      <w:rPr>
        <w:iCs/>
        <w:sz w:val="18"/>
        <w:szCs w:val="18"/>
      </w:rPr>
      <w:t xml:space="preserve"> </w:t>
    </w:r>
    <w:r w:rsidR="001B42C9" w:rsidRPr="00DF392A">
      <w:rPr>
        <w:iCs/>
        <w:sz w:val="18"/>
        <w:szCs w:val="18"/>
      </w:rPr>
      <w:fldChar w:fldCharType="begin"/>
    </w:r>
    <w:r w:rsidRPr="00DF392A">
      <w:rPr>
        <w:iCs/>
        <w:sz w:val="18"/>
        <w:szCs w:val="18"/>
      </w:rPr>
      <w:instrText xml:space="preserve"> PAGE  \* MERGEFORMAT </w:instrText>
    </w:r>
    <w:r w:rsidR="001B42C9" w:rsidRPr="00DF392A">
      <w:rPr>
        <w:iCs/>
        <w:sz w:val="18"/>
        <w:szCs w:val="18"/>
      </w:rPr>
      <w:fldChar w:fldCharType="separate"/>
    </w:r>
    <w:r w:rsidR="00DF392A">
      <w:rPr>
        <w:iCs/>
        <w:noProof/>
        <w:sz w:val="18"/>
        <w:szCs w:val="18"/>
      </w:rPr>
      <w:t>3</w:t>
    </w:r>
    <w:r w:rsidR="001B42C9" w:rsidRPr="00DF392A">
      <w:rPr>
        <w:iCs/>
        <w:sz w:val="18"/>
        <w:szCs w:val="18"/>
      </w:rPr>
      <w:fldChar w:fldCharType="end"/>
    </w:r>
    <w:r w:rsidR="0060083C" w:rsidRPr="00DF392A">
      <w:rPr>
        <w:iCs/>
        <w:sz w:val="18"/>
        <w:szCs w:val="18"/>
      </w:rPr>
      <w:t xml:space="preserve"> </w:t>
    </w:r>
    <w:r w:rsidR="0060083C" w:rsidRPr="00DF392A">
      <w:rP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7C98C78" wp14:editId="7A1EA43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CA6718"/>
    <w:rsid w:val="00006A31"/>
    <w:rsid w:val="00006C82"/>
    <w:rsid w:val="00010E30"/>
    <w:rsid w:val="00015C76"/>
    <w:rsid w:val="00026CF8"/>
    <w:rsid w:val="00030BD7"/>
    <w:rsid w:val="00031E64"/>
    <w:rsid w:val="00034340"/>
    <w:rsid w:val="0003575B"/>
    <w:rsid w:val="00035CB3"/>
    <w:rsid w:val="00045A8D"/>
    <w:rsid w:val="0005167A"/>
    <w:rsid w:val="00054E5D"/>
    <w:rsid w:val="00070258"/>
    <w:rsid w:val="0007323C"/>
    <w:rsid w:val="000775B8"/>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1777C"/>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7119"/>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0AF1"/>
    <w:rsid w:val="003E504F"/>
    <w:rsid w:val="003E78D6"/>
    <w:rsid w:val="00400573"/>
    <w:rsid w:val="004007A3"/>
    <w:rsid w:val="00403167"/>
    <w:rsid w:val="00406D71"/>
    <w:rsid w:val="004326DB"/>
    <w:rsid w:val="00435F10"/>
    <w:rsid w:val="0043682E"/>
    <w:rsid w:val="00443571"/>
    <w:rsid w:val="00447ECB"/>
    <w:rsid w:val="004557E0"/>
    <w:rsid w:val="004623F7"/>
    <w:rsid w:val="00480F51"/>
    <w:rsid w:val="00481124"/>
    <w:rsid w:val="004815EB"/>
    <w:rsid w:val="00487569"/>
    <w:rsid w:val="00496864"/>
    <w:rsid w:val="00496920"/>
    <w:rsid w:val="004A4496"/>
    <w:rsid w:val="004B11AB"/>
    <w:rsid w:val="004B2A1F"/>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083C"/>
    <w:rsid w:val="00602D53"/>
    <w:rsid w:val="006047E5"/>
    <w:rsid w:val="0063529E"/>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95881"/>
    <w:rsid w:val="00C9670B"/>
    <w:rsid w:val="00CA3F44"/>
    <w:rsid w:val="00CA4E58"/>
    <w:rsid w:val="00CA6718"/>
    <w:rsid w:val="00CA781A"/>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DF392A"/>
    <w:rsid w:val="00E01059"/>
    <w:rsid w:val="00E04C86"/>
    <w:rsid w:val="00E17344"/>
    <w:rsid w:val="00E20F30"/>
    <w:rsid w:val="00E2189C"/>
    <w:rsid w:val="00E25BB1"/>
    <w:rsid w:val="00E27BBA"/>
    <w:rsid w:val="00E30E3F"/>
    <w:rsid w:val="00E35E8F"/>
    <w:rsid w:val="00E428AB"/>
    <w:rsid w:val="00E438E8"/>
    <w:rsid w:val="00E453A3"/>
    <w:rsid w:val="00E50E5F"/>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35D"/>
    <w:rsid w:val="00EC4A96"/>
    <w:rsid w:val="00EE03A0"/>
    <w:rsid w:val="00EE1A57"/>
    <w:rsid w:val="00F424BF"/>
    <w:rsid w:val="00F44FC3"/>
    <w:rsid w:val="00F46107"/>
    <w:rsid w:val="00F468C5"/>
    <w:rsid w:val="00F52F39"/>
    <w:rsid w:val="00F6184F"/>
    <w:rsid w:val="00F8310E"/>
    <w:rsid w:val="00F914DD"/>
    <w:rsid w:val="00F95AA0"/>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
    <w:uiPriority w:val="99"/>
    <w:rsid w:val="00F95AA0"/>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uiPriority w:val="99"/>
    <w:locked/>
    <w:rsid w:val="00F95AA0"/>
    <w:rPr>
      <w:b/>
      <w:sz w:val="24"/>
      <w:szCs w:val="22"/>
      <w:lang w:val="en-US" w:eastAsia="en-US"/>
    </w:rPr>
  </w:style>
  <w:style w:type="character" w:styleId="FollowedHyperlink">
    <w:name w:val="FollowedHyperlink"/>
    <w:basedOn w:val="DefaultParagraphFont"/>
    <w:rsid w:val="0060083C"/>
    <w:rPr>
      <w:color w:val="800080" w:themeColor="followedHyperlink"/>
      <w:u w:val="single"/>
    </w:rPr>
  </w:style>
  <w:style w:type="character" w:customStyle="1" w:styleId="RectitleChar">
    <w:name w:val="Rec_title Char"/>
    <w:link w:val="Rectitle"/>
    <w:rsid w:val="00EC435D"/>
    <w:rPr>
      <w:b/>
      <w:sz w:val="28"/>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
    <w:uiPriority w:val="99"/>
    <w:rsid w:val="00F95AA0"/>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uiPriority w:val="99"/>
    <w:locked/>
    <w:rsid w:val="00F95AA0"/>
    <w:rPr>
      <w:b/>
      <w:sz w:val="24"/>
      <w:szCs w:val="22"/>
      <w:lang w:val="en-US" w:eastAsia="en-US"/>
    </w:rPr>
  </w:style>
  <w:style w:type="character" w:styleId="FollowedHyperlink">
    <w:name w:val="FollowedHyperlink"/>
    <w:basedOn w:val="DefaultParagraphFont"/>
    <w:rsid w:val="0060083C"/>
    <w:rPr>
      <w:color w:val="800080" w:themeColor="followedHyperlink"/>
      <w:u w:val="single"/>
    </w:rPr>
  </w:style>
  <w:style w:type="character" w:customStyle="1" w:styleId="RectitleChar">
    <w:name w:val="Rec_title Char"/>
    <w:link w:val="Rectitle"/>
    <w:rsid w:val="00EC435D"/>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rec/R-REC-BT.1206/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md/R12-SG01-C/en" TargetMode="External"/><Relationship Id="rId4" Type="http://schemas.microsoft.com/office/2007/relationships/stylesWithEffects" Target="stylesWithEffects.xml"/><Relationship Id="rId9" Type="http://schemas.openxmlformats.org/officeDocument/2006/relationships/hyperlink" Target="http://www.itu.int/rec/R-REC-SM/f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5190A227FF4CB7908A2B7C8930B48A"/>
        <w:category>
          <w:name w:val="General"/>
          <w:gallery w:val="placeholder"/>
        </w:category>
        <w:types>
          <w:type w:val="bbPlcHdr"/>
        </w:types>
        <w:behaviors>
          <w:behavior w:val="content"/>
        </w:behaviors>
        <w:guid w:val="{7273433B-6B0A-47F9-98CB-0823C53F2129}"/>
      </w:docPartPr>
      <w:docPartBody>
        <w:p w:rsidR="00E40FC6" w:rsidRDefault="00E40FC6">
          <w:pPr>
            <w:pStyle w:val="D55190A227FF4CB7908A2B7C8930B48A"/>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FC6"/>
    <w:rsid w:val="00E40F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55190A227FF4CB7908A2B7C8930B48A">
    <w:name w:val="D55190A227FF4CB7908A2B7C8930B48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55190A227FF4CB7908A2B7C8930B48A">
    <w:name w:val="D55190A227FF4CB7908A2B7C8930B4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D9449-861E-4823-823A-EFA043070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Template>
  <TotalTime>49</TotalTime>
  <Pages>4</Pages>
  <Words>1011</Words>
  <Characters>6508</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7504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Fernandez Virginia</cp:lastModifiedBy>
  <cp:revision>6</cp:revision>
  <cp:lastPrinted>2013-06-26T12:24:00Z</cp:lastPrinted>
  <dcterms:created xsi:type="dcterms:W3CDTF">2013-06-21T11:19:00Z</dcterms:created>
  <dcterms:modified xsi:type="dcterms:W3CDTF">2013-06-26T12:24:00Z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