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0775B8" w:rsidTr="006160CB">
        <w:tc>
          <w:tcPr>
            <w:tcW w:w="7054" w:type="dxa"/>
            <w:gridSpan w:val="2"/>
            <w:shd w:val="clear" w:color="auto" w:fill="auto"/>
          </w:tcPr>
          <w:p w:rsidR="00E53DCE" w:rsidRPr="00FE6FB1" w:rsidRDefault="00E53DCE" w:rsidP="006160CB">
            <w:pPr>
              <w:spacing w:before="0"/>
              <w:jc w:val="left"/>
              <w:rPr>
                <w:sz w:val="24"/>
                <w:szCs w:val="24"/>
                <w:lang w:val="fr-CH"/>
              </w:rPr>
            </w:pPr>
            <w:r>
              <w:t>Circulaire administrative</w:t>
            </w:r>
          </w:p>
          <w:p w:rsidR="00E53DCE" w:rsidRPr="006C53F8" w:rsidRDefault="00E53DCE" w:rsidP="006160CB">
            <w:pPr>
              <w:spacing w:before="0"/>
              <w:jc w:val="left"/>
              <w:rPr>
                <w:b/>
                <w:bCs/>
                <w:sz w:val="24"/>
                <w:szCs w:val="24"/>
                <w:lang w:val="fr-CH"/>
              </w:rPr>
            </w:pPr>
            <w:r>
              <w:rPr>
                <w:b/>
                <w:bCs/>
                <w:sz w:val="24"/>
                <w:szCs w:val="24"/>
                <w:lang w:val="fr-CH"/>
              </w:rPr>
              <w:t>CA</w:t>
            </w:r>
            <w:r w:rsidR="00CA6718">
              <w:rPr>
                <w:b/>
                <w:bCs/>
                <w:sz w:val="24"/>
                <w:szCs w:val="24"/>
                <w:lang w:val="fr-CH"/>
              </w:rPr>
              <w:t>CE</w:t>
            </w:r>
            <w:r w:rsidRPr="006C53F8">
              <w:rPr>
                <w:b/>
                <w:bCs/>
                <w:sz w:val="24"/>
                <w:szCs w:val="24"/>
                <w:lang w:val="fr-CH"/>
              </w:rPr>
              <w:t>/</w:t>
            </w:r>
            <w:r w:rsidR="00963FA3">
              <w:rPr>
                <w:b/>
                <w:bCs/>
                <w:sz w:val="24"/>
                <w:szCs w:val="24"/>
                <w:lang w:val="fr-CH"/>
              </w:rPr>
              <w:t>611</w:t>
            </w:r>
          </w:p>
        </w:tc>
        <w:tc>
          <w:tcPr>
            <w:tcW w:w="2835" w:type="dxa"/>
            <w:shd w:val="clear" w:color="auto" w:fill="auto"/>
          </w:tcPr>
          <w:p w:rsidR="00E53DCE" w:rsidRPr="003A4ECB" w:rsidRDefault="003A4ECB" w:rsidP="00963FA3">
            <w:pPr>
              <w:spacing w:before="0"/>
              <w:jc w:val="right"/>
              <w:rPr>
                <w:sz w:val="24"/>
                <w:szCs w:val="24"/>
                <w:highlight w:val="yellow"/>
                <w:lang w:val="en-GB"/>
              </w:rPr>
            </w:pPr>
            <w:r w:rsidRPr="003A4ECB">
              <w:rPr>
                <w:sz w:val="24"/>
                <w:szCs w:val="24"/>
              </w:rPr>
              <w:t>L</w:t>
            </w:r>
            <w:r w:rsidR="00963FA3" w:rsidRPr="003A4ECB">
              <w:rPr>
                <w:sz w:val="24"/>
                <w:szCs w:val="24"/>
              </w:rPr>
              <w:t>e 16 m</w:t>
            </w:r>
            <w:bookmarkStart w:id="0" w:name="_GoBack"/>
            <w:bookmarkEnd w:id="0"/>
            <w:r w:rsidR="00963FA3" w:rsidRPr="003A4ECB">
              <w:rPr>
                <w:sz w:val="24"/>
                <w:szCs w:val="24"/>
              </w:rPr>
              <w:t>ai 2013</w:t>
            </w:r>
          </w:p>
        </w:tc>
      </w:tr>
      <w:tr w:rsidR="00E53DCE" w:rsidRPr="003266ED" w:rsidTr="006160CB">
        <w:tc>
          <w:tcPr>
            <w:tcW w:w="9889" w:type="dxa"/>
            <w:gridSpan w:val="3"/>
            <w:shd w:val="clear" w:color="auto" w:fill="auto"/>
          </w:tcPr>
          <w:p w:rsidR="00E53DCE" w:rsidRPr="003266ED" w:rsidRDefault="00E53DCE" w:rsidP="006160CB">
            <w:pPr>
              <w:spacing w:before="0"/>
              <w:jc w:val="left"/>
              <w:rPr>
                <w:rFonts w:cs="Arial"/>
                <w:sz w:val="24"/>
                <w:szCs w:val="24"/>
                <w:lang w:val="en-GB"/>
              </w:rPr>
            </w:pPr>
          </w:p>
        </w:tc>
      </w:tr>
      <w:tr w:rsidR="00E53DCE" w:rsidRPr="003266ED" w:rsidTr="006160CB">
        <w:tc>
          <w:tcPr>
            <w:tcW w:w="9889" w:type="dxa"/>
            <w:gridSpan w:val="3"/>
            <w:shd w:val="clear" w:color="auto" w:fill="auto"/>
          </w:tcPr>
          <w:p w:rsidR="00E53DCE" w:rsidRPr="003266ED" w:rsidRDefault="00E53DCE" w:rsidP="006160CB">
            <w:pPr>
              <w:spacing w:before="0"/>
              <w:jc w:val="left"/>
              <w:rPr>
                <w:sz w:val="24"/>
                <w:szCs w:val="24"/>
              </w:rPr>
            </w:pPr>
          </w:p>
        </w:tc>
      </w:tr>
      <w:tr w:rsidR="00E53DCE" w:rsidRPr="009A30D4" w:rsidTr="006160CB">
        <w:tc>
          <w:tcPr>
            <w:tcW w:w="9889" w:type="dxa"/>
            <w:gridSpan w:val="3"/>
            <w:shd w:val="clear" w:color="auto" w:fill="auto"/>
          </w:tcPr>
          <w:p w:rsidR="00CA6718" w:rsidRPr="003A4ECB" w:rsidRDefault="00CA6718" w:rsidP="0011777C">
            <w:pPr>
              <w:tabs>
                <w:tab w:val="left" w:pos="7513"/>
              </w:tabs>
              <w:spacing w:before="240"/>
              <w:jc w:val="left"/>
              <w:rPr>
                <w:b/>
                <w:sz w:val="24"/>
                <w:szCs w:val="24"/>
                <w:lang w:val="fr-CH"/>
              </w:rPr>
            </w:pPr>
            <w:r w:rsidRPr="003A4ECB">
              <w:rPr>
                <w:b/>
                <w:sz w:val="24"/>
                <w:szCs w:val="24"/>
                <w:lang w:val="fr-CH"/>
              </w:rPr>
              <w:t>Aux Administrations des Etats Membres de l'UIT, aux Membres du Secteur</w:t>
            </w:r>
            <w:r w:rsidR="0063529E" w:rsidRPr="003A4ECB">
              <w:rPr>
                <w:b/>
                <w:sz w:val="24"/>
                <w:szCs w:val="24"/>
                <w:lang w:val="fr-CH"/>
              </w:rPr>
              <w:t xml:space="preserve"> </w:t>
            </w:r>
            <w:r w:rsidR="00780C5B" w:rsidRPr="003A4ECB">
              <w:rPr>
                <w:b/>
                <w:sz w:val="24"/>
                <w:szCs w:val="24"/>
                <w:lang w:val="fr-CH"/>
              </w:rPr>
              <w:t>des radiocommunications et</w:t>
            </w:r>
            <w:r w:rsidR="003A4ECB">
              <w:rPr>
                <w:b/>
                <w:sz w:val="24"/>
                <w:szCs w:val="24"/>
                <w:lang w:val="fr-CH"/>
              </w:rPr>
              <w:t xml:space="preserve"> </w:t>
            </w:r>
            <w:r w:rsidRPr="003A4ECB">
              <w:rPr>
                <w:b/>
                <w:bCs/>
                <w:sz w:val="24"/>
                <w:szCs w:val="24"/>
                <w:lang w:val="fr-CH"/>
              </w:rPr>
              <w:t>aux</w:t>
            </w:r>
            <w:r w:rsidRPr="003A4ECB">
              <w:rPr>
                <w:b/>
                <w:sz w:val="24"/>
                <w:szCs w:val="24"/>
                <w:lang w:val="fr-CH"/>
              </w:rPr>
              <w:t xml:space="preserve"> </w:t>
            </w:r>
            <w:r w:rsidRPr="003A4ECB">
              <w:rPr>
                <w:b/>
                <w:bCs/>
                <w:sz w:val="24"/>
                <w:szCs w:val="24"/>
                <w:lang w:val="fr-CH"/>
              </w:rPr>
              <w:t>Associés de l'UIT</w:t>
            </w:r>
            <w:r w:rsidRPr="003A4ECB">
              <w:rPr>
                <w:b/>
                <w:bCs/>
                <w:sz w:val="24"/>
                <w:szCs w:val="24"/>
                <w:lang w:val="fr-CH"/>
              </w:rPr>
              <w:noBreakHyphen/>
              <w:t>R</w:t>
            </w:r>
            <w:r w:rsidRPr="003A4ECB">
              <w:rPr>
                <w:b/>
                <w:sz w:val="24"/>
                <w:szCs w:val="24"/>
                <w:lang w:val="fr-CH"/>
              </w:rPr>
              <w:t xml:space="preserve"> participant aux travaux de la Commission</w:t>
            </w:r>
            <w:r w:rsidR="0063529E" w:rsidRPr="003A4ECB">
              <w:rPr>
                <w:b/>
                <w:sz w:val="24"/>
                <w:szCs w:val="24"/>
                <w:lang w:val="fr-CH"/>
              </w:rPr>
              <w:t xml:space="preserve"> </w:t>
            </w:r>
            <w:r w:rsidR="00963FA3" w:rsidRPr="003A4ECB">
              <w:rPr>
                <w:b/>
                <w:sz w:val="24"/>
                <w:szCs w:val="24"/>
                <w:lang w:val="fr-CH"/>
              </w:rPr>
              <w:t>d'études 6</w:t>
            </w:r>
            <w:r w:rsidRPr="003A4ECB">
              <w:rPr>
                <w:b/>
                <w:sz w:val="24"/>
                <w:szCs w:val="24"/>
                <w:lang w:val="fr-CH"/>
              </w:rPr>
              <w:t xml:space="preserve"> des radiocommunications</w:t>
            </w:r>
          </w:p>
          <w:p w:rsidR="00E53DCE" w:rsidRPr="00EE1A57" w:rsidRDefault="00E53DCE" w:rsidP="00CA6718">
            <w:pPr>
              <w:spacing w:before="0"/>
              <w:jc w:val="left"/>
              <w:rPr>
                <w:b/>
                <w:bCs/>
                <w:sz w:val="24"/>
                <w:szCs w:val="24"/>
                <w:lang w:val="fr-CH"/>
              </w:rPr>
            </w:pPr>
          </w:p>
        </w:tc>
      </w:tr>
      <w:tr w:rsidR="00E53DCE" w:rsidRPr="009A30D4" w:rsidTr="006160CB">
        <w:tc>
          <w:tcPr>
            <w:tcW w:w="9889" w:type="dxa"/>
            <w:gridSpan w:val="3"/>
            <w:shd w:val="clear" w:color="auto" w:fill="auto"/>
          </w:tcPr>
          <w:p w:rsidR="00E53DCE" w:rsidRPr="00EE1A57" w:rsidRDefault="00E53DCE" w:rsidP="006160CB">
            <w:pPr>
              <w:spacing w:before="0"/>
              <w:jc w:val="left"/>
              <w:rPr>
                <w:sz w:val="24"/>
                <w:szCs w:val="24"/>
                <w:lang w:val="fr-CH"/>
              </w:rPr>
            </w:pPr>
          </w:p>
        </w:tc>
      </w:tr>
      <w:tr w:rsidR="00E53DCE" w:rsidRPr="009A30D4" w:rsidTr="006160CB">
        <w:tc>
          <w:tcPr>
            <w:tcW w:w="9889" w:type="dxa"/>
            <w:gridSpan w:val="3"/>
            <w:shd w:val="clear" w:color="auto" w:fill="auto"/>
          </w:tcPr>
          <w:p w:rsidR="00E53DCE" w:rsidRPr="00EE1A57" w:rsidRDefault="00E53DCE" w:rsidP="006160CB">
            <w:pPr>
              <w:spacing w:before="0"/>
              <w:jc w:val="left"/>
              <w:rPr>
                <w:sz w:val="24"/>
                <w:szCs w:val="24"/>
                <w:lang w:val="fr-CH"/>
              </w:rPr>
            </w:pPr>
          </w:p>
        </w:tc>
      </w:tr>
      <w:tr w:rsidR="00E53DCE" w:rsidRPr="009A30D4" w:rsidTr="006160CB">
        <w:tc>
          <w:tcPr>
            <w:tcW w:w="1526" w:type="dxa"/>
            <w:shd w:val="clear" w:color="auto" w:fill="auto"/>
          </w:tcPr>
          <w:p w:rsidR="00E53DCE" w:rsidRPr="003A4ECB" w:rsidRDefault="00E53DCE" w:rsidP="006160CB">
            <w:pPr>
              <w:tabs>
                <w:tab w:val="clear" w:pos="1588"/>
                <w:tab w:val="left" w:pos="1560"/>
              </w:tabs>
              <w:spacing w:before="0"/>
              <w:jc w:val="left"/>
              <w:rPr>
                <w:sz w:val="24"/>
                <w:szCs w:val="24"/>
                <w:lang w:val="fr-CH"/>
              </w:rPr>
            </w:pPr>
            <w:r w:rsidRPr="003A4ECB">
              <w:rPr>
                <w:sz w:val="24"/>
                <w:szCs w:val="24"/>
                <w:lang w:val="fr-CH"/>
              </w:rPr>
              <w:t>Sujet:</w:t>
            </w:r>
          </w:p>
        </w:tc>
        <w:tc>
          <w:tcPr>
            <w:tcW w:w="8363" w:type="dxa"/>
            <w:gridSpan w:val="2"/>
            <w:vMerge w:val="restart"/>
            <w:shd w:val="clear" w:color="auto" w:fill="auto"/>
          </w:tcPr>
          <w:p w:rsidR="00E53DCE" w:rsidRPr="003A4ECB" w:rsidRDefault="00CA6718" w:rsidP="0067110B">
            <w:pPr>
              <w:tabs>
                <w:tab w:val="clear" w:pos="1588"/>
                <w:tab w:val="left" w:pos="1560"/>
              </w:tabs>
              <w:spacing w:before="0"/>
              <w:rPr>
                <w:b/>
                <w:bCs/>
                <w:sz w:val="24"/>
                <w:szCs w:val="24"/>
                <w:lang w:val="fr-CH"/>
              </w:rPr>
            </w:pPr>
            <w:r w:rsidRPr="003A4ECB">
              <w:rPr>
                <w:b/>
                <w:bCs/>
                <w:sz w:val="24"/>
                <w:szCs w:val="24"/>
                <w:lang w:val="fr-CH"/>
              </w:rPr>
              <w:t xml:space="preserve">Commission d'études </w:t>
            </w:r>
            <w:r w:rsidR="00963FA3" w:rsidRPr="003A4ECB">
              <w:rPr>
                <w:b/>
                <w:bCs/>
                <w:sz w:val="24"/>
                <w:szCs w:val="24"/>
                <w:lang w:val="fr-CH"/>
              </w:rPr>
              <w:t xml:space="preserve">6 </w:t>
            </w:r>
            <w:r w:rsidRPr="003A4ECB">
              <w:rPr>
                <w:b/>
                <w:bCs/>
                <w:sz w:val="24"/>
                <w:szCs w:val="24"/>
                <w:lang w:val="fr-CH"/>
              </w:rPr>
              <w:t>des radiocommunications</w:t>
            </w:r>
            <w:r w:rsidR="00963FA3" w:rsidRPr="003A4ECB">
              <w:rPr>
                <w:b/>
                <w:bCs/>
                <w:sz w:val="24"/>
                <w:szCs w:val="24"/>
                <w:lang w:val="fr-CH"/>
              </w:rPr>
              <w:t xml:space="preserve"> (Service de radiodiffusion)</w:t>
            </w:r>
          </w:p>
          <w:p w:rsidR="00CA6718" w:rsidRPr="003A4ECB" w:rsidRDefault="00CA6718" w:rsidP="0067110B">
            <w:pPr>
              <w:pStyle w:val="enumlev2"/>
              <w:tabs>
                <w:tab w:val="clear" w:pos="1588"/>
              </w:tabs>
              <w:ind w:left="317" w:hanging="317"/>
              <w:rPr>
                <w:b/>
                <w:bCs/>
                <w:sz w:val="24"/>
                <w:szCs w:val="24"/>
                <w:lang w:val="fr-CH"/>
              </w:rPr>
            </w:pPr>
            <w:r w:rsidRPr="003A4ECB">
              <w:rPr>
                <w:b/>
                <w:bCs/>
                <w:sz w:val="24"/>
                <w:szCs w:val="24"/>
                <w:lang w:val="fr-CH"/>
              </w:rPr>
              <w:t>–</w:t>
            </w:r>
            <w:r w:rsidRPr="003A4ECB">
              <w:rPr>
                <w:b/>
                <w:bCs/>
                <w:sz w:val="24"/>
                <w:szCs w:val="24"/>
                <w:lang w:val="fr-CH"/>
              </w:rPr>
              <w:tab/>
              <w:t xml:space="preserve">Proposition d'adoption de </w:t>
            </w:r>
            <w:r w:rsidR="00963FA3" w:rsidRPr="003A4ECB">
              <w:rPr>
                <w:b/>
                <w:bCs/>
                <w:sz w:val="24"/>
                <w:szCs w:val="24"/>
                <w:lang w:val="fr-CH"/>
              </w:rPr>
              <w:t xml:space="preserve">4 </w:t>
            </w:r>
            <w:r w:rsidR="006358DD">
              <w:rPr>
                <w:b/>
                <w:bCs/>
                <w:sz w:val="24"/>
                <w:szCs w:val="24"/>
                <w:lang w:val="fr-CH"/>
              </w:rPr>
              <w:t>projets</w:t>
            </w:r>
            <w:r w:rsidRPr="003A4ECB">
              <w:rPr>
                <w:b/>
                <w:bCs/>
                <w:sz w:val="24"/>
                <w:szCs w:val="24"/>
                <w:lang w:val="fr-CH"/>
              </w:rPr>
              <w:t xml:space="preserve"> de nouvelle Recommandation UIT-R et approbation simultanée par correspondance de ces projets, conformément au § 10.3 de la Résolution UIT-R 1-6 (Procédure d'adoption et d'approbation simultanées par correspondance)</w:t>
            </w:r>
          </w:p>
          <w:p w:rsidR="00CA6718" w:rsidRPr="00CA6718" w:rsidRDefault="00CA6718" w:rsidP="0067110B">
            <w:pPr>
              <w:pStyle w:val="enumlev2"/>
              <w:ind w:left="317" w:hanging="317"/>
              <w:rPr>
                <w:b/>
                <w:bCs/>
                <w:sz w:val="24"/>
                <w:szCs w:val="24"/>
                <w:lang w:val="fr-CH"/>
              </w:rPr>
            </w:pPr>
            <w:r w:rsidRPr="003A4ECB">
              <w:rPr>
                <w:b/>
                <w:bCs/>
                <w:sz w:val="24"/>
                <w:szCs w:val="24"/>
                <w:lang w:val="fr-CH"/>
              </w:rPr>
              <w:t>–</w:t>
            </w:r>
            <w:r w:rsidR="004B2A1F" w:rsidRPr="003A4ECB">
              <w:rPr>
                <w:b/>
                <w:bCs/>
                <w:sz w:val="24"/>
                <w:szCs w:val="24"/>
                <w:lang w:val="fr-CH"/>
              </w:rPr>
              <w:tab/>
            </w:r>
            <w:r w:rsidRPr="003A4ECB">
              <w:rPr>
                <w:b/>
                <w:bCs/>
                <w:sz w:val="24"/>
                <w:szCs w:val="24"/>
                <w:lang w:val="fr-CH"/>
              </w:rPr>
              <w:t xml:space="preserve">Proposition de suppression de </w:t>
            </w:r>
            <w:r w:rsidR="00963FA3" w:rsidRPr="003A4ECB">
              <w:rPr>
                <w:b/>
                <w:bCs/>
                <w:sz w:val="24"/>
                <w:szCs w:val="24"/>
                <w:lang w:val="fr-CH"/>
              </w:rPr>
              <w:t>2 Recommandations</w:t>
            </w:r>
            <w:r w:rsidRPr="003A4ECB">
              <w:rPr>
                <w:b/>
                <w:bCs/>
                <w:sz w:val="24"/>
                <w:szCs w:val="24"/>
                <w:lang w:val="fr-CH"/>
              </w:rPr>
              <w:t xml:space="preserve"> UIT-R</w:t>
            </w:r>
          </w:p>
        </w:tc>
      </w:tr>
      <w:tr w:rsidR="00E53DCE" w:rsidRPr="009A30D4" w:rsidTr="006160CB">
        <w:tc>
          <w:tcPr>
            <w:tcW w:w="1526" w:type="dxa"/>
            <w:shd w:val="clear" w:color="auto" w:fill="auto"/>
          </w:tcPr>
          <w:p w:rsidR="00E53DCE" w:rsidRPr="00CA6718"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CA6718" w:rsidRDefault="00E53DCE" w:rsidP="006160CB">
            <w:pPr>
              <w:tabs>
                <w:tab w:val="clear" w:pos="1588"/>
                <w:tab w:val="left" w:pos="1560"/>
              </w:tabs>
              <w:spacing w:before="0"/>
              <w:rPr>
                <w:b/>
                <w:bCs/>
                <w:sz w:val="24"/>
                <w:szCs w:val="24"/>
                <w:lang w:val="fr-CH"/>
              </w:rPr>
            </w:pPr>
          </w:p>
        </w:tc>
      </w:tr>
      <w:tr w:rsidR="00E53DCE" w:rsidRPr="009A30D4" w:rsidTr="006160CB">
        <w:tc>
          <w:tcPr>
            <w:tcW w:w="1526" w:type="dxa"/>
            <w:shd w:val="clear" w:color="auto" w:fill="auto"/>
          </w:tcPr>
          <w:p w:rsidR="00E53DCE" w:rsidRPr="00CA6718"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CA6718" w:rsidRDefault="00E53DCE" w:rsidP="006160CB">
            <w:pPr>
              <w:tabs>
                <w:tab w:val="clear" w:pos="1588"/>
                <w:tab w:val="left" w:pos="1560"/>
              </w:tabs>
              <w:spacing w:before="0"/>
              <w:rPr>
                <w:b/>
                <w:bCs/>
                <w:sz w:val="24"/>
                <w:szCs w:val="24"/>
                <w:lang w:val="fr-CH"/>
              </w:rPr>
            </w:pPr>
          </w:p>
        </w:tc>
      </w:tr>
      <w:tr w:rsidR="00E53DCE" w:rsidRPr="009A30D4" w:rsidTr="006160CB">
        <w:tc>
          <w:tcPr>
            <w:tcW w:w="9889" w:type="dxa"/>
            <w:gridSpan w:val="3"/>
            <w:shd w:val="clear" w:color="auto" w:fill="auto"/>
          </w:tcPr>
          <w:p w:rsidR="00E53DCE" w:rsidRPr="00CA6718" w:rsidRDefault="00E53DCE" w:rsidP="00E53DCE">
            <w:pPr>
              <w:tabs>
                <w:tab w:val="clear" w:pos="1588"/>
                <w:tab w:val="left" w:pos="1560"/>
              </w:tabs>
              <w:spacing w:before="0"/>
              <w:jc w:val="left"/>
              <w:rPr>
                <w:sz w:val="24"/>
                <w:szCs w:val="24"/>
                <w:lang w:val="fr-CH"/>
              </w:rPr>
            </w:pPr>
          </w:p>
        </w:tc>
      </w:tr>
      <w:tr w:rsidR="00E53DCE" w:rsidRPr="009A30D4" w:rsidTr="006160CB">
        <w:tc>
          <w:tcPr>
            <w:tcW w:w="9889" w:type="dxa"/>
            <w:gridSpan w:val="3"/>
            <w:shd w:val="clear" w:color="auto" w:fill="auto"/>
          </w:tcPr>
          <w:p w:rsidR="00E53DCE" w:rsidRPr="00CA6718" w:rsidRDefault="00E53DCE" w:rsidP="006160CB">
            <w:pPr>
              <w:spacing w:before="0"/>
              <w:jc w:val="left"/>
              <w:rPr>
                <w:b/>
                <w:bCs/>
                <w:sz w:val="24"/>
                <w:szCs w:val="24"/>
                <w:lang w:val="fr-CH"/>
              </w:rPr>
            </w:pPr>
          </w:p>
        </w:tc>
      </w:tr>
    </w:tbl>
    <w:p w:rsidR="004B2A1F" w:rsidRPr="000D2D6E" w:rsidRDefault="004B2A1F" w:rsidP="00595D2B">
      <w:pPr>
        <w:spacing w:before="840"/>
        <w:rPr>
          <w:sz w:val="24"/>
          <w:szCs w:val="24"/>
          <w:lang w:val="fr-CH"/>
        </w:rPr>
      </w:pPr>
      <w:r w:rsidRPr="000D2D6E">
        <w:rPr>
          <w:sz w:val="24"/>
          <w:szCs w:val="24"/>
          <w:lang w:val="fr-CH"/>
        </w:rPr>
        <w:t xml:space="preserve">A sa réunion tenue </w:t>
      </w:r>
      <w:r w:rsidR="00342037" w:rsidRPr="000D2D6E">
        <w:rPr>
          <w:sz w:val="24"/>
          <w:szCs w:val="24"/>
          <w:lang w:val="fr-CH"/>
        </w:rPr>
        <w:t xml:space="preserve">le 26 avril </w:t>
      </w:r>
      <w:r w:rsidRPr="000D2D6E">
        <w:rPr>
          <w:sz w:val="24"/>
          <w:szCs w:val="24"/>
          <w:lang w:val="fr-CH"/>
        </w:rPr>
        <w:t xml:space="preserve">2013, la Commission d'études </w:t>
      </w:r>
      <w:r w:rsidR="00342037" w:rsidRPr="000D2D6E">
        <w:rPr>
          <w:sz w:val="24"/>
          <w:szCs w:val="24"/>
          <w:lang w:val="fr-CH"/>
        </w:rPr>
        <w:t>6</w:t>
      </w:r>
      <w:r w:rsidRPr="000D2D6E">
        <w:rPr>
          <w:sz w:val="24"/>
          <w:szCs w:val="24"/>
          <w:lang w:val="fr-CH"/>
        </w:rPr>
        <w:t xml:space="preserve"> des radiocommunications a décidé de demander l'adoption par correspondance de </w:t>
      </w:r>
      <w:r w:rsidR="00342037" w:rsidRPr="000D2D6E">
        <w:rPr>
          <w:sz w:val="24"/>
          <w:szCs w:val="24"/>
          <w:lang w:val="fr-CH"/>
        </w:rPr>
        <w:t>4 projets</w:t>
      </w:r>
      <w:r w:rsidRPr="000D2D6E">
        <w:rPr>
          <w:sz w:val="24"/>
          <w:szCs w:val="24"/>
          <w:lang w:val="fr-CH"/>
        </w:rPr>
        <w:t xml:space="preserve"> de nouvelle Recommandation</w:t>
      </w:r>
      <w:r w:rsidR="00641867" w:rsidRPr="000D2D6E">
        <w:rPr>
          <w:sz w:val="24"/>
          <w:szCs w:val="24"/>
          <w:lang w:val="fr-CH"/>
        </w:rPr>
        <w:t xml:space="preserve"> UIT</w:t>
      </w:r>
      <w:r w:rsidR="00641867" w:rsidRPr="000D2D6E">
        <w:rPr>
          <w:sz w:val="24"/>
          <w:szCs w:val="24"/>
          <w:lang w:val="fr-CH"/>
        </w:rPr>
        <w:noBreakHyphen/>
        <w:t xml:space="preserve">R </w:t>
      </w:r>
      <w:r w:rsidRPr="000D2D6E">
        <w:rPr>
          <w:sz w:val="24"/>
          <w:szCs w:val="24"/>
          <w:lang w:val="fr-CH"/>
        </w:rPr>
        <w:t xml:space="preserve">(§ 10.2.3 de la Résolution UIT-R 1-6) et a décidé en outre d'appliquer la procédure d'adoption et d'approbation simultanées par correspondance (PAAS), conformément au § 10.3 </w:t>
      </w:r>
      <w:r w:rsidR="00342037" w:rsidRPr="000D2D6E">
        <w:rPr>
          <w:sz w:val="24"/>
          <w:szCs w:val="24"/>
          <w:lang w:val="fr-CH"/>
        </w:rPr>
        <w:t>de la Résolution UIT-R 1-6. Les  titres et résumés</w:t>
      </w:r>
      <w:r w:rsidR="00641867" w:rsidRPr="000D2D6E">
        <w:rPr>
          <w:sz w:val="24"/>
          <w:szCs w:val="24"/>
          <w:lang w:val="fr-CH"/>
        </w:rPr>
        <w:t xml:space="preserve"> des projets</w:t>
      </w:r>
      <w:r w:rsidRPr="000D2D6E">
        <w:rPr>
          <w:sz w:val="24"/>
          <w:szCs w:val="24"/>
          <w:lang w:val="fr-CH"/>
        </w:rPr>
        <w:t xml:space="preserve"> de Recommandation figurent dans l'Annexe 1. Par ailleurs, la Commission d'études a proposé la suppression de </w:t>
      </w:r>
      <w:r w:rsidR="00342037" w:rsidRPr="000D2D6E">
        <w:rPr>
          <w:sz w:val="24"/>
          <w:szCs w:val="24"/>
          <w:lang w:val="fr-CH"/>
        </w:rPr>
        <w:t xml:space="preserve">2 </w:t>
      </w:r>
      <w:r w:rsidRPr="000D2D6E">
        <w:rPr>
          <w:sz w:val="24"/>
          <w:szCs w:val="24"/>
          <w:lang w:val="fr-CH"/>
        </w:rPr>
        <w:t>Recommandations dont la liste est donnée dans l'Annexe 2.</w:t>
      </w:r>
    </w:p>
    <w:p w:rsidR="004B2A1F" w:rsidRPr="000D2D6E" w:rsidRDefault="004B2A1F" w:rsidP="0067110B">
      <w:pPr>
        <w:rPr>
          <w:sz w:val="24"/>
          <w:szCs w:val="24"/>
          <w:lang w:val="fr-CH"/>
        </w:rPr>
      </w:pPr>
      <w:r w:rsidRPr="000D2D6E">
        <w:rPr>
          <w:sz w:val="24"/>
          <w:szCs w:val="24"/>
          <w:lang w:val="fr-CH"/>
        </w:rPr>
        <w:t xml:space="preserve">La période d'examen, de deux mois, se terminera le </w:t>
      </w:r>
      <w:r w:rsidR="00342037" w:rsidRPr="000D2D6E">
        <w:rPr>
          <w:sz w:val="24"/>
          <w:szCs w:val="24"/>
          <w:u w:val="single"/>
          <w:lang w:val="fr-CH"/>
        </w:rPr>
        <w:t>16 juillet</w:t>
      </w:r>
      <w:r w:rsidRPr="000D2D6E">
        <w:rPr>
          <w:sz w:val="24"/>
          <w:szCs w:val="24"/>
          <w:u w:val="single"/>
          <w:lang w:val="fr-CH"/>
        </w:rPr>
        <w:t xml:space="preserve"> 2013</w:t>
      </w:r>
      <w:r w:rsidRPr="000D2D6E">
        <w:rPr>
          <w:sz w:val="24"/>
          <w:szCs w:val="24"/>
          <w:lang w:val="fr-CH"/>
        </w:rPr>
        <w:t>. Si, au cours de cette période, aucun Etat Me</w:t>
      </w:r>
      <w:r w:rsidR="00342037" w:rsidRPr="000D2D6E">
        <w:rPr>
          <w:sz w:val="24"/>
          <w:szCs w:val="24"/>
          <w:lang w:val="fr-CH"/>
        </w:rPr>
        <w:t xml:space="preserve">mbre ne soulève d'objection, les projets de Recommandation sont considérés comme adoptés </w:t>
      </w:r>
      <w:r w:rsidRPr="000D2D6E">
        <w:rPr>
          <w:sz w:val="24"/>
          <w:szCs w:val="24"/>
          <w:lang w:val="fr-CH"/>
        </w:rPr>
        <w:t xml:space="preserve">par la Commission d'études </w:t>
      </w:r>
      <w:r w:rsidR="00342037" w:rsidRPr="000D2D6E">
        <w:rPr>
          <w:sz w:val="24"/>
          <w:szCs w:val="24"/>
          <w:lang w:val="fr-CH"/>
        </w:rPr>
        <w:t>6</w:t>
      </w:r>
      <w:r w:rsidRPr="000D2D6E">
        <w:rPr>
          <w:sz w:val="24"/>
          <w:szCs w:val="24"/>
          <w:lang w:val="fr-CH"/>
        </w:rPr>
        <w:t xml:space="preserve">. En outre, puisque la procédure PAAS est appliquée, l'adoption </w:t>
      </w:r>
      <w:r w:rsidR="00342037" w:rsidRPr="000D2D6E">
        <w:rPr>
          <w:sz w:val="24"/>
          <w:szCs w:val="24"/>
          <w:lang w:val="fr-CH"/>
        </w:rPr>
        <w:t>des projets</w:t>
      </w:r>
      <w:r w:rsidRPr="000D2D6E">
        <w:rPr>
          <w:sz w:val="24"/>
          <w:szCs w:val="24"/>
          <w:lang w:val="fr-CH"/>
        </w:rPr>
        <w:t xml:space="preserve"> de Recommandation </w:t>
      </w:r>
      <w:r w:rsidR="002E5959">
        <w:rPr>
          <w:sz w:val="24"/>
          <w:szCs w:val="24"/>
          <w:lang w:val="fr-CH"/>
        </w:rPr>
        <w:t xml:space="preserve">et la proposition de suppression de deux Recommandations </w:t>
      </w:r>
      <w:r w:rsidRPr="000D2D6E">
        <w:rPr>
          <w:sz w:val="24"/>
          <w:szCs w:val="24"/>
          <w:lang w:val="fr-CH"/>
        </w:rPr>
        <w:t>est considérée comme valant approbation.</w:t>
      </w:r>
    </w:p>
    <w:p w:rsidR="004B2A1F" w:rsidRPr="000D2D6E" w:rsidRDefault="004B2A1F" w:rsidP="0067110B">
      <w:pPr>
        <w:rPr>
          <w:sz w:val="24"/>
          <w:szCs w:val="24"/>
          <w:lang w:val="fr-CH"/>
        </w:rPr>
      </w:pPr>
      <w:r w:rsidRPr="000D2D6E">
        <w:rPr>
          <w:sz w:val="24"/>
          <w:szCs w:val="24"/>
          <w:lang w:val="fr-CH"/>
        </w:rPr>
        <w:t>Un Etat Membre qui soulève une objection au sujet de l'adoption d'un projet de Recommandation est prié d'informer le Directeur et le Président de la Commission d'études des raisons de cette objection.</w:t>
      </w:r>
    </w:p>
    <w:p w:rsidR="004B2A1F" w:rsidRPr="000D2D6E" w:rsidRDefault="004B2A1F" w:rsidP="0067110B">
      <w:pPr>
        <w:rPr>
          <w:sz w:val="24"/>
          <w:szCs w:val="24"/>
          <w:lang w:val="fr-CH"/>
        </w:rPr>
      </w:pPr>
      <w:r w:rsidRPr="000D2D6E">
        <w:rPr>
          <w:sz w:val="24"/>
          <w:szCs w:val="24"/>
          <w:lang w:val="fr-CH"/>
        </w:rPr>
        <w:t>Après la date limite mentionnée ci-dessus, les résultats de la procédure PAAS seront communiqués dans une Circula</w:t>
      </w:r>
      <w:r w:rsidR="003A4ECB">
        <w:rPr>
          <w:sz w:val="24"/>
          <w:szCs w:val="24"/>
          <w:lang w:val="fr-CH"/>
        </w:rPr>
        <w:t>ire administrative (CACE) et les Recommandations approuvées seront publiées</w:t>
      </w:r>
      <w:r w:rsidRPr="000D2D6E">
        <w:rPr>
          <w:sz w:val="24"/>
          <w:szCs w:val="24"/>
          <w:lang w:val="fr-CH"/>
        </w:rPr>
        <w:t xml:space="preserve"> dans les meilleurs délais (voir </w:t>
      </w:r>
      <w:r w:rsidR="0011777C" w:rsidRPr="000D2D6E">
        <w:fldChar w:fldCharType="begin"/>
      </w:r>
      <w:r w:rsidR="0011777C" w:rsidRPr="000D2D6E">
        <w:rPr>
          <w:sz w:val="24"/>
          <w:szCs w:val="24"/>
          <w:lang w:val="fr-CH"/>
          <w:rPrChange w:id="1" w:author="mostyn" w:date="2013-05-08T11:11:00Z">
            <w:rPr/>
          </w:rPrChange>
        </w:rPr>
        <w:instrText xml:space="preserve"> HYPERLINK "http://www.itu.int/pub/R-REC" </w:instrText>
      </w:r>
      <w:r w:rsidR="0011777C" w:rsidRPr="000D2D6E">
        <w:fldChar w:fldCharType="separate"/>
      </w:r>
      <w:r w:rsidRPr="000D2D6E">
        <w:rPr>
          <w:rStyle w:val="Hyperlink"/>
          <w:sz w:val="24"/>
          <w:szCs w:val="24"/>
          <w:lang w:val="fr-CH"/>
        </w:rPr>
        <w:t>http://www.itu.int/pub/R-REC</w:t>
      </w:r>
      <w:r w:rsidR="0011777C" w:rsidRPr="000D2D6E">
        <w:rPr>
          <w:rStyle w:val="Hyperlink"/>
          <w:sz w:val="24"/>
          <w:szCs w:val="24"/>
          <w:lang w:val="fr-CH"/>
        </w:rPr>
        <w:fldChar w:fldCharType="end"/>
      </w:r>
      <w:r w:rsidRPr="000D2D6E">
        <w:rPr>
          <w:sz w:val="24"/>
          <w:szCs w:val="24"/>
          <w:lang w:val="fr-CH"/>
        </w:rPr>
        <w:t>).</w:t>
      </w:r>
    </w:p>
    <w:p w:rsidR="002A5DD7" w:rsidRPr="00CA6718" w:rsidRDefault="002A5DD7" w:rsidP="00031E64">
      <w:pPr>
        <w:rPr>
          <w:rFonts w:asciiTheme="minorHAnsi" w:hAnsiTheme="minorHAnsi" w:cstheme="minorHAnsi"/>
          <w:sz w:val="24"/>
          <w:szCs w:val="24"/>
          <w:lang w:val="fr-CH"/>
        </w:rPr>
      </w:pPr>
    </w:p>
    <w:p w:rsidR="00EE1A57" w:rsidRPr="00CA6718" w:rsidRDefault="00EE1A57" w:rsidP="00031E64">
      <w:pPr>
        <w:rPr>
          <w:rFonts w:asciiTheme="minorHAnsi" w:hAnsiTheme="minorHAnsi" w:cstheme="minorHAnsi"/>
          <w:sz w:val="24"/>
          <w:szCs w:val="24"/>
          <w:lang w:val="fr-CH"/>
        </w:rPr>
      </w:pPr>
    </w:p>
    <w:p w:rsidR="004B2A1F" w:rsidRPr="000D2D6E" w:rsidRDefault="004B2A1F" w:rsidP="0067110B">
      <w:pPr>
        <w:rPr>
          <w:sz w:val="24"/>
          <w:szCs w:val="24"/>
          <w:lang w:val="fr-CH"/>
        </w:rPr>
      </w:pPr>
      <w:r w:rsidRPr="000D2D6E">
        <w:rPr>
          <w:sz w:val="24"/>
          <w:szCs w:val="24"/>
          <w:lang w:val="fr-CH"/>
        </w:rPr>
        <w:lastRenderedPageBreak/>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l'UIT</w:t>
      </w:r>
      <w:r w:rsidRPr="000D2D6E">
        <w:rPr>
          <w:sz w:val="24"/>
          <w:szCs w:val="24"/>
          <w:lang w:val="fr-CH"/>
        </w:rPr>
        <w:noBreakHyphen/>
        <w:t>T/UIT</w:t>
      </w:r>
      <w:r w:rsidRPr="000D2D6E">
        <w:rPr>
          <w:sz w:val="24"/>
          <w:szCs w:val="24"/>
          <w:lang w:val="fr-CH"/>
        </w:rPr>
        <w:noBreakHyphen/>
        <w:t>R/ISO/CEI est disponible à l'adresse:</w:t>
      </w:r>
      <w:r w:rsidRPr="000D2D6E">
        <w:rPr>
          <w:sz w:val="24"/>
          <w:szCs w:val="24"/>
          <w:lang w:val="fr-CH"/>
        </w:rPr>
        <w:br/>
      </w:r>
      <w:r w:rsidR="0011777C" w:rsidRPr="000D2D6E">
        <w:fldChar w:fldCharType="begin"/>
      </w:r>
      <w:r w:rsidR="0011777C" w:rsidRPr="000D2D6E">
        <w:rPr>
          <w:sz w:val="24"/>
          <w:szCs w:val="24"/>
          <w:lang w:val="fr-CH"/>
          <w:rPrChange w:id="2" w:author="mostyn" w:date="2013-05-08T11:11:00Z">
            <w:rPr/>
          </w:rPrChange>
        </w:rPr>
        <w:instrText xml:space="preserve"> HYPERLINK "http://www.itu.int/ITU-T/dbase/patent/patent-policy.html" </w:instrText>
      </w:r>
      <w:r w:rsidR="0011777C" w:rsidRPr="000D2D6E">
        <w:fldChar w:fldCharType="separate"/>
      </w:r>
      <w:r w:rsidRPr="000D2D6E">
        <w:rPr>
          <w:rStyle w:val="Hyperlink"/>
          <w:sz w:val="24"/>
          <w:szCs w:val="24"/>
          <w:lang w:val="fr-CH"/>
        </w:rPr>
        <w:t>http://www.itu.int/ITU-T/dbase/patent/patent-policy.html</w:t>
      </w:r>
      <w:r w:rsidR="0011777C" w:rsidRPr="000D2D6E">
        <w:rPr>
          <w:rStyle w:val="Hyperlink"/>
          <w:sz w:val="24"/>
          <w:szCs w:val="24"/>
          <w:lang w:val="fr-CH"/>
        </w:rPr>
        <w:fldChar w:fldCharType="end"/>
      </w:r>
      <w:r w:rsidRPr="000D2D6E">
        <w:rPr>
          <w:sz w:val="24"/>
          <w:szCs w:val="24"/>
          <w:lang w:val="fr-CH"/>
        </w:rPr>
        <w:t>.</w:t>
      </w:r>
    </w:p>
    <w:p w:rsidR="004B2A1F" w:rsidRPr="000D2D6E" w:rsidRDefault="004B2A1F" w:rsidP="0067110B">
      <w:pPr>
        <w:keepNext/>
        <w:keepLines/>
        <w:spacing w:after="600"/>
        <w:rPr>
          <w:sz w:val="24"/>
          <w:szCs w:val="24"/>
          <w:lang w:val="fr-CH"/>
        </w:rPr>
      </w:pPr>
      <w:r w:rsidRPr="000D2D6E">
        <w:rPr>
          <w:sz w:val="24"/>
          <w:szCs w:val="24"/>
          <w:lang w:val="fr-CH"/>
        </w:rPr>
        <w:t>Veuillez agréer, Madame, Monsieur, l'assurance de ma considération distinguée.</w:t>
      </w:r>
    </w:p>
    <w:p w:rsidR="00031E64" w:rsidRPr="000D2D6E" w:rsidRDefault="00E53DCE" w:rsidP="004B2A1F">
      <w:pPr>
        <w:spacing w:before="1418" w:line="240" w:lineRule="auto"/>
        <w:jc w:val="left"/>
        <w:rPr>
          <w:sz w:val="24"/>
          <w:szCs w:val="24"/>
          <w:lang w:val="fr-FR"/>
        </w:rPr>
      </w:pPr>
      <w:r w:rsidRPr="000D2D6E">
        <w:rPr>
          <w:sz w:val="24"/>
          <w:szCs w:val="24"/>
          <w:lang w:val="fr-FR"/>
        </w:rPr>
        <w:t>François Rancy</w:t>
      </w:r>
      <w:r w:rsidRPr="000D2D6E">
        <w:rPr>
          <w:sz w:val="24"/>
          <w:szCs w:val="24"/>
          <w:lang w:val="fr-FR"/>
        </w:rPr>
        <w:br/>
        <w:t xml:space="preserve">Directeur </w:t>
      </w:r>
    </w:p>
    <w:p w:rsidR="004B2A1F" w:rsidRPr="004B2A1F" w:rsidRDefault="004B2A1F" w:rsidP="004B2A1F">
      <w:pPr>
        <w:spacing w:before="2040"/>
        <w:jc w:val="left"/>
        <w:rPr>
          <w:bCs/>
          <w:lang w:val="fr-CH"/>
        </w:rPr>
      </w:pPr>
      <w:r w:rsidRPr="000D2D6E">
        <w:rPr>
          <w:b/>
          <w:bCs/>
          <w:sz w:val="24"/>
          <w:szCs w:val="24"/>
          <w:lang w:val="fr-CH"/>
        </w:rPr>
        <w:t>Annexe 1:</w:t>
      </w:r>
      <w:r w:rsidRPr="000D2D6E">
        <w:rPr>
          <w:b/>
          <w:bCs/>
          <w:sz w:val="24"/>
          <w:szCs w:val="24"/>
          <w:lang w:val="fr-CH"/>
        </w:rPr>
        <w:tab/>
      </w:r>
      <w:r w:rsidR="00963FA3" w:rsidRPr="000D2D6E">
        <w:rPr>
          <w:bCs/>
          <w:sz w:val="24"/>
          <w:szCs w:val="24"/>
          <w:lang w:val="fr-CH"/>
        </w:rPr>
        <w:t>Titres et résumés des projets</w:t>
      </w:r>
      <w:r w:rsidRPr="000D2D6E">
        <w:rPr>
          <w:bCs/>
          <w:sz w:val="24"/>
          <w:szCs w:val="24"/>
          <w:lang w:val="fr-CH"/>
        </w:rPr>
        <w:t xml:space="preserve"> de Recommandation</w:t>
      </w:r>
    </w:p>
    <w:p w:rsidR="004B2A1F" w:rsidRPr="004B2A1F" w:rsidRDefault="004B2A1F" w:rsidP="004B2A1F">
      <w:pPr>
        <w:jc w:val="left"/>
        <w:rPr>
          <w:bCs/>
          <w:lang w:val="fr-CH"/>
        </w:rPr>
      </w:pPr>
      <w:r w:rsidRPr="000D2D6E">
        <w:rPr>
          <w:b/>
          <w:bCs/>
          <w:sz w:val="24"/>
          <w:szCs w:val="24"/>
          <w:lang w:val="fr-CH"/>
        </w:rPr>
        <w:t>Annexe 2:</w:t>
      </w:r>
      <w:r w:rsidRPr="004B2A1F">
        <w:rPr>
          <w:b/>
          <w:bCs/>
          <w:lang w:val="fr-CH"/>
        </w:rPr>
        <w:tab/>
      </w:r>
      <w:r w:rsidR="00963FA3" w:rsidRPr="000D2D6E">
        <w:rPr>
          <w:bCs/>
          <w:sz w:val="24"/>
          <w:szCs w:val="24"/>
          <w:lang w:val="fr-CH"/>
        </w:rPr>
        <w:t>Recommandation</w:t>
      </w:r>
      <w:r w:rsidR="00342037" w:rsidRPr="000D2D6E">
        <w:rPr>
          <w:bCs/>
          <w:sz w:val="24"/>
          <w:szCs w:val="24"/>
          <w:lang w:val="fr-CH"/>
        </w:rPr>
        <w:t>s</w:t>
      </w:r>
      <w:r w:rsidRPr="000D2D6E">
        <w:rPr>
          <w:bCs/>
          <w:sz w:val="24"/>
          <w:szCs w:val="24"/>
          <w:lang w:val="fr-CH"/>
        </w:rPr>
        <w:t xml:space="preserve"> dont la suppression est proposée</w:t>
      </w:r>
    </w:p>
    <w:p w:rsidR="004B2A1F" w:rsidRDefault="004B2A1F" w:rsidP="00653D79">
      <w:pPr>
        <w:spacing w:line="480" w:lineRule="auto"/>
        <w:jc w:val="left"/>
        <w:rPr>
          <w:sz w:val="24"/>
          <w:szCs w:val="24"/>
          <w:lang w:val="fr-CH"/>
        </w:rPr>
      </w:pPr>
      <w:r w:rsidRPr="000D2D6E">
        <w:rPr>
          <w:b/>
          <w:bCs/>
          <w:sz w:val="24"/>
          <w:szCs w:val="24"/>
          <w:lang w:val="fr-CH"/>
        </w:rPr>
        <w:t>Documents:</w:t>
      </w:r>
      <w:r>
        <w:rPr>
          <w:b/>
          <w:bCs/>
          <w:lang w:val="fr-CH"/>
        </w:rPr>
        <w:tab/>
      </w:r>
      <w:r w:rsidR="00963FA3" w:rsidRPr="000D2D6E">
        <w:rPr>
          <w:sz w:val="24"/>
          <w:szCs w:val="24"/>
          <w:lang w:val="fr-CH"/>
        </w:rPr>
        <w:t>Documents 6/121(Rév.1), 6/131(Rév.1), 6/132(Rév.1), 6/139(Rév.1)</w:t>
      </w:r>
    </w:p>
    <w:p w:rsidR="00963FA3" w:rsidRPr="003A4ECB" w:rsidRDefault="00490EFB" w:rsidP="00490EFB">
      <w:pPr>
        <w:spacing w:line="240" w:lineRule="auto"/>
        <w:jc w:val="left"/>
        <w:rPr>
          <w:rStyle w:val="Hyperlink"/>
          <w:sz w:val="24"/>
          <w:szCs w:val="24"/>
          <w:lang w:val="fr-CH"/>
        </w:rPr>
      </w:pPr>
      <w:r w:rsidRPr="003A4ECB">
        <w:rPr>
          <w:sz w:val="24"/>
          <w:szCs w:val="24"/>
          <w:lang w:val="fr-CH"/>
        </w:rPr>
        <w:t>Ces documents sont disponibles sous forme électronique à l'adresse:</w:t>
      </w:r>
      <w:r w:rsidRPr="003A4ECB">
        <w:rPr>
          <w:sz w:val="24"/>
          <w:szCs w:val="24"/>
          <w:lang w:val="fr-CH"/>
        </w:rPr>
        <w:br/>
      </w:r>
      <w:hyperlink r:id="rId9" w:history="1">
        <w:r w:rsidR="00342037" w:rsidRPr="003A4ECB">
          <w:rPr>
            <w:rStyle w:val="Hyperlink"/>
            <w:sz w:val="24"/>
            <w:szCs w:val="24"/>
            <w:lang w:val="fr-CH"/>
          </w:rPr>
          <w:t>http://www.itu.int/md/R12-SG06-C/fr</w:t>
        </w:r>
      </w:hyperlink>
    </w:p>
    <w:p w:rsidR="00490EFB" w:rsidRPr="00490EFB" w:rsidRDefault="00490EFB" w:rsidP="00963FA3">
      <w:pPr>
        <w:spacing w:line="480" w:lineRule="auto"/>
        <w:jc w:val="left"/>
        <w:rPr>
          <w:lang w:val="fr-CH"/>
        </w:rPr>
      </w:pPr>
    </w:p>
    <w:p w:rsidR="004B2A1F" w:rsidRPr="00F95AA0" w:rsidRDefault="004B2A1F" w:rsidP="004B2A1F">
      <w:pPr>
        <w:tabs>
          <w:tab w:val="left" w:pos="284"/>
          <w:tab w:val="left" w:pos="568"/>
        </w:tabs>
        <w:spacing w:before="1000" w:after="120"/>
        <w:jc w:val="left"/>
        <w:rPr>
          <w:b/>
          <w:bCs/>
          <w:sz w:val="16"/>
          <w:szCs w:val="16"/>
          <w:lang w:val="fr-CH"/>
        </w:rPr>
      </w:pPr>
      <w:bookmarkStart w:id="3" w:name="ddistribution"/>
      <w:bookmarkEnd w:id="3"/>
      <w:r w:rsidRPr="00F95AA0">
        <w:rPr>
          <w:b/>
          <w:bCs/>
          <w:sz w:val="16"/>
          <w:szCs w:val="16"/>
          <w:lang w:val="fr-CH"/>
        </w:rPr>
        <w:t>Distribution:</w:t>
      </w:r>
    </w:p>
    <w:p w:rsidR="00963FA3" w:rsidRDefault="004B2A1F" w:rsidP="00963FA3">
      <w:pPr>
        <w:tabs>
          <w:tab w:val="left" w:pos="284"/>
          <w:tab w:val="left" w:pos="568"/>
        </w:tabs>
        <w:spacing w:before="0" w:line="240" w:lineRule="auto"/>
        <w:jc w:val="left"/>
        <w:rPr>
          <w:sz w:val="16"/>
          <w:szCs w:val="16"/>
          <w:lang w:val="fr-CH"/>
        </w:rPr>
      </w:pPr>
      <w:r w:rsidRPr="00F95AA0">
        <w:rPr>
          <w:sz w:val="16"/>
          <w:szCs w:val="16"/>
          <w:lang w:val="fr-CH"/>
        </w:rPr>
        <w:t>–</w:t>
      </w:r>
      <w:r w:rsidRPr="00F95AA0">
        <w:rPr>
          <w:sz w:val="16"/>
          <w:szCs w:val="16"/>
          <w:lang w:val="fr-CH"/>
        </w:rPr>
        <w:tab/>
        <w:t xml:space="preserve">Administrations des Etats Membres de l'UIT et Membres du Secteur des radiocommunications participant aux travaux de la </w:t>
      </w:r>
      <w:r w:rsidR="00F95AA0">
        <w:rPr>
          <w:sz w:val="16"/>
          <w:szCs w:val="16"/>
          <w:lang w:val="fr-CH"/>
        </w:rPr>
        <w:br/>
      </w:r>
      <w:r w:rsidRPr="00F95AA0">
        <w:rPr>
          <w:sz w:val="16"/>
          <w:szCs w:val="16"/>
          <w:lang w:val="fr-CH"/>
        </w:rPr>
        <w:tab/>
        <w:t xml:space="preserve">Commission d'études </w:t>
      </w:r>
      <w:r w:rsidR="00963FA3">
        <w:rPr>
          <w:sz w:val="16"/>
          <w:szCs w:val="16"/>
          <w:lang w:val="fr-CH"/>
        </w:rPr>
        <w:t xml:space="preserve">6 </w:t>
      </w:r>
      <w:r w:rsidRPr="00F95AA0">
        <w:rPr>
          <w:sz w:val="16"/>
          <w:szCs w:val="16"/>
          <w:lang w:val="fr-CH"/>
        </w:rPr>
        <w:t>des radiocommunications</w:t>
      </w:r>
      <w:r w:rsidRPr="00F95AA0">
        <w:rPr>
          <w:sz w:val="16"/>
          <w:szCs w:val="16"/>
          <w:lang w:val="fr-CH"/>
        </w:rPr>
        <w:br/>
        <w:t>–</w:t>
      </w:r>
      <w:r w:rsidRPr="00F95AA0">
        <w:rPr>
          <w:sz w:val="16"/>
          <w:szCs w:val="16"/>
          <w:lang w:val="fr-CH"/>
        </w:rPr>
        <w:tab/>
        <w:t xml:space="preserve">Associés de l'UIT-R participant aux travaux de la Commission d'études </w:t>
      </w:r>
      <w:r w:rsidR="00963FA3">
        <w:rPr>
          <w:sz w:val="16"/>
          <w:szCs w:val="16"/>
          <w:lang w:val="fr-CH"/>
        </w:rPr>
        <w:t>6</w:t>
      </w:r>
      <w:r w:rsidRPr="00F95AA0">
        <w:rPr>
          <w:sz w:val="16"/>
          <w:szCs w:val="16"/>
          <w:lang w:val="fr-CH"/>
        </w:rPr>
        <w:t xml:space="preserve"> des radiocommunications</w:t>
      </w:r>
    </w:p>
    <w:p w:rsidR="004B2A1F" w:rsidRPr="00F95AA0" w:rsidRDefault="004B2A1F" w:rsidP="00963FA3">
      <w:pPr>
        <w:tabs>
          <w:tab w:val="left" w:pos="284"/>
          <w:tab w:val="left" w:pos="568"/>
        </w:tabs>
        <w:spacing w:before="0" w:line="240" w:lineRule="auto"/>
        <w:jc w:val="left"/>
        <w:rPr>
          <w:sz w:val="16"/>
          <w:szCs w:val="16"/>
          <w:lang w:val="fr-CH"/>
        </w:rPr>
      </w:pPr>
      <w:r w:rsidRPr="00F95AA0">
        <w:rPr>
          <w:sz w:val="16"/>
          <w:szCs w:val="16"/>
          <w:lang w:val="fr-CH"/>
        </w:rPr>
        <w:t>–</w:t>
      </w:r>
      <w:r w:rsidRPr="00F95AA0">
        <w:rPr>
          <w:sz w:val="16"/>
          <w:szCs w:val="16"/>
          <w:lang w:val="fr-CH"/>
        </w:rPr>
        <w:tab/>
        <w:t>Présidents et Vice</w:t>
      </w:r>
      <w:r w:rsidRPr="00F95AA0">
        <w:rPr>
          <w:sz w:val="16"/>
          <w:szCs w:val="16"/>
          <w:lang w:val="fr-CH"/>
        </w:rPr>
        <w:noBreakHyphen/>
        <w:t xml:space="preserve">Présidents des Commissions d'études des radiocommunications et de la Commission spéciale chargée </w:t>
      </w:r>
      <w:r w:rsidR="00F95AA0">
        <w:rPr>
          <w:sz w:val="16"/>
          <w:szCs w:val="16"/>
          <w:lang w:val="fr-CH"/>
        </w:rPr>
        <w:br/>
      </w:r>
      <w:r w:rsidRPr="00F95AA0">
        <w:rPr>
          <w:sz w:val="16"/>
          <w:szCs w:val="16"/>
          <w:lang w:val="fr-CH"/>
        </w:rPr>
        <w:tab/>
        <w:t>d'examiner les questions réglementaires et de procédure</w:t>
      </w:r>
      <w:r w:rsidRPr="00F95AA0">
        <w:rPr>
          <w:sz w:val="16"/>
          <w:szCs w:val="16"/>
          <w:lang w:val="fr-CH"/>
        </w:rPr>
        <w:br/>
        <w:t>–</w:t>
      </w:r>
      <w:r w:rsidRPr="00F95AA0">
        <w:rPr>
          <w:sz w:val="16"/>
          <w:szCs w:val="16"/>
          <w:lang w:val="fr-CH"/>
        </w:rPr>
        <w:tab/>
        <w:t>Président et Vice</w:t>
      </w:r>
      <w:r w:rsidRPr="00F95AA0">
        <w:rPr>
          <w:sz w:val="16"/>
          <w:szCs w:val="16"/>
          <w:lang w:val="fr-CH"/>
        </w:rPr>
        <w:noBreakHyphen/>
        <w:t>Présidents de la Réunion de préparation à la Conférence</w:t>
      </w:r>
      <w:r w:rsidRPr="00F95AA0">
        <w:rPr>
          <w:sz w:val="16"/>
          <w:szCs w:val="16"/>
          <w:lang w:val="fr-CH"/>
        </w:rPr>
        <w:br/>
        <w:t>–</w:t>
      </w:r>
      <w:r w:rsidRPr="00F95AA0">
        <w:rPr>
          <w:sz w:val="16"/>
          <w:szCs w:val="16"/>
          <w:lang w:val="fr-CH"/>
        </w:rPr>
        <w:tab/>
        <w:t>Membres du Comité du Règlement des radiocommunications</w:t>
      </w:r>
      <w:r w:rsidRPr="00F95AA0">
        <w:rPr>
          <w:sz w:val="16"/>
          <w:szCs w:val="16"/>
          <w:lang w:val="fr-CH"/>
        </w:rPr>
        <w:br/>
        <w:t>–</w:t>
      </w:r>
      <w:r w:rsidRPr="00F95AA0">
        <w:rPr>
          <w:sz w:val="16"/>
          <w:szCs w:val="16"/>
          <w:lang w:val="fr-CH"/>
        </w:rPr>
        <w:tab/>
        <w:t xml:space="preserve">Secrétaire général de l'UIT, Directeur du Bureau de la normalisation des télécommunications, Directeur du Bureau de </w:t>
      </w:r>
      <w:r w:rsidRPr="00F95AA0">
        <w:rPr>
          <w:sz w:val="16"/>
          <w:szCs w:val="16"/>
          <w:lang w:val="fr-CH"/>
        </w:rPr>
        <w:tab/>
        <w:t>développement des télécommunications</w:t>
      </w:r>
    </w:p>
    <w:p w:rsidR="00F95AA0" w:rsidRDefault="00F95AA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fr-CH"/>
        </w:rPr>
      </w:pPr>
      <w:r>
        <w:rPr>
          <w:rFonts w:asciiTheme="minorHAnsi" w:hAnsiTheme="minorHAnsi" w:cstheme="minorHAnsi"/>
          <w:sz w:val="24"/>
          <w:szCs w:val="24"/>
          <w:lang w:val="fr-CH"/>
        </w:rPr>
        <w:br w:type="page"/>
      </w:r>
    </w:p>
    <w:p w:rsidR="00831192" w:rsidRPr="00DD6638" w:rsidRDefault="00831192" w:rsidP="00831192">
      <w:pPr>
        <w:pStyle w:val="AnnexNotitle0"/>
        <w:rPr>
          <w:lang w:val="fr-CH"/>
        </w:rPr>
      </w:pPr>
      <w:r w:rsidRPr="00DD6638">
        <w:rPr>
          <w:lang w:val="fr-CH"/>
        </w:rPr>
        <w:lastRenderedPageBreak/>
        <w:t>Annexe 1</w:t>
      </w:r>
      <w:r>
        <w:rPr>
          <w:lang w:val="fr-CH"/>
        </w:rPr>
        <w:br/>
      </w:r>
      <w:r>
        <w:rPr>
          <w:lang w:val="fr-CH"/>
        </w:rPr>
        <w:br/>
      </w:r>
      <w:r w:rsidRPr="00DD6638">
        <w:rPr>
          <w:lang w:val="fr-CH"/>
        </w:rPr>
        <w:t>Titres et résumés des projets de Recommandation</w:t>
      </w:r>
    </w:p>
    <w:p w:rsidR="00831192" w:rsidRPr="003A4ECB" w:rsidRDefault="00831192" w:rsidP="00831192">
      <w:pPr>
        <w:pStyle w:val="Normalaftertitle"/>
        <w:rPr>
          <w:sz w:val="24"/>
          <w:szCs w:val="24"/>
          <w:lang w:val="fr-FR"/>
        </w:rPr>
      </w:pPr>
      <w:r w:rsidRPr="003A4ECB">
        <w:rPr>
          <w:sz w:val="24"/>
          <w:szCs w:val="24"/>
          <w:u w:val="single"/>
          <w:lang w:val="fr-FR"/>
        </w:rPr>
        <w:t>Projet de nouvelle Recommandation UIT-R BT.[REF-VIEW]</w:t>
      </w:r>
      <w:r w:rsidRPr="003A4ECB">
        <w:rPr>
          <w:sz w:val="24"/>
          <w:szCs w:val="24"/>
          <w:lang w:val="fr-FR"/>
        </w:rPr>
        <w:tab/>
      </w:r>
      <w:r w:rsidRPr="003A4ECB">
        <w:rPr>
          <w:sz w:val="24"/>
          <w:szCs w:val="24"/>
          <w:lang w:val="fr-FR"/>
        </w:rPr>
        <w:tab/>
      </w:r>
      <w:r w:rsidRPr="003A4ECB">
        <w:rPr>
          <w:sz w:val="24"/>
          <w:szCs w:val="24"/>
          <w:lang w:val="fr-FR"/>
        </w:rPr>
        <w:tab/>
        <w:t>Doc. 6/121(Rév.1)</w:t>
      </w:r>
    </w:p>
    <w:p w:rsidR="00831192" w:rsidRPr="00DD6638" w:rsidRDefault="00831192" w:rsidP="00831192">
      <w:pPr>
        <w:pStyle w:val="Rectitle"/>
        <w:rPr>
          <w:lang w:val="fr-FR" w:eastAsia="ko-KR"/>
        </w:rPr>
      </w:pPr>
      <w:r w:rsidRPr="00DD6638">
        <w:rPr>
          <w:lang w:val="fr-FR" w:eastAsia="ko-KR"/>
        </w:rPr>
        <w:t>Environnement d</w:t>
      </w:r>
      <w:r>
        <w:rPr>
          <w:lang w:val="fr-FR" w:eastAsia="ko-KR"/>
        </w:rPr>
        <w:t>'</w:t>
      </w:r>
      <w:r w:rsidRPr="00DD6638">
        <w:rPr>
          <w:lang w:val="fr-FR" w:eastAsia="ko-KR"/>
        </w:rPr>
        <w:t>observation de référence pour l</w:t>
      </w:r>
      <w:r>
        <w:rPr>
          <w:lang w:val="fr-FR" w:eastAsia="ko-KR"/>
        </w:rPr>
        <w:t>'</w:t>
      </w:r>
      <w:r w:rsidRPr="00DD6638">
        <w:rPr>
          <w:lang w:val="fr-FR" w:eastAsia="ko-KR"/>
        </w:rPr>
        <w:t>évaluation d</w:t>
      </w:r>
      <w:r>
        <w:rPr>
          <w:lang w:val="fr-FR" w:eastAsia="ko-KR"/>
        </w:rPr>
        <w:t>'</w:t>
      </w:r>
      <w:r w:rsidRPr="00DD6638">
        <w:rPr>
          <w:lang w:val="fr-FR" w:eastAsia="ko-KR"/>
        </w:rPr>
        <w:t xml:space="preserve">éléments </w:t>
      </w:r>
      <w:r>
        <w:rPr>
          <w:lang w:val="fr-FR" w:eastAsia="ko-KR"/>
        </w:rPr>
        <w:br/>
      </w:r>
      <w:r w:rsidRPr="00DD6638">
        <w:rPr>
          <w:lang w:val="fr-FR" w:eastAsia="ko-KR"/>
        </w:rPr>
        <w:t>de programme ou de programmes complets de TVHD</w:t>
      </w:r>
    </w:p>
    <w:p w:rsidR="00831192" w:rsidRPr="003A4ECB" w:rsidRDefault="00831192" w:rsidP="00831192">
      <w:pPr>
        <w:pStyle w:val="Normalaftertitle"/>
        <w:rPr>
          <w:sz w:val="24"/>
          <w:szCs w:val="24"/>
          <w:lang w:val="fr-FR"/>
        </w:rPr>
      </w:pPr>
      <w:r w:rsidRPr="003A4ECB">
        <w:rPr>
          <w:sz w:val="24"/>
          <w:szCs w:val="24"/>
          <w:lang w:val="fr-FR"/>
        </w:rPr>
        <w:t>Cette Recommandation décrit une méthode permettant aux producteurs ou diffuseurs de TVHD d'établir des conditions d'observation de référence pour l'évaluation d'éléments de programme ou de programmes complets de TVHD pouvant produire des résultats reproductibles d'un équipement à l'autre lors de l'observation d'un même programme. Il s'agit aussi bien de l'écran que de l'environnement d'observation.</w:t>
      </w:r>
    </w:p>
    <w:p w:rsidR="00831192" w:rsidRPr="003A4ECB" w:rsidRDefault="00831192" w:rsidP="00831192">
      <w:pPr>
        <w:rPr>
          <w:sz w:val="24"/>
          <w:szCs w:val="24"/>
          <w:lang w:val="fr-FR"/>
        </w:rPr>
      </w:pPr>
      <w:r w:rsidRPr="003A4ECB">
        <w:rPr>
          <w:sz w:val="24"/>
          <w:szCs w:val="24"/>
          <w:u w:val="single"/>
          <w:lang w:val="fr-FR"/>
        </w:rPr>
        <w:t>Projet de nouvelle Recommandation UIT-R BT.[DTVRX]</w:t>
      </w:r>
      <w:r w:rsidRPr="003A4ECB">
        <w:rPr>
          <w:sz w:val="24"/>
          <w:szCs w:val="24"/>
          <w:lang w:val="fr-FR"/>
        </w:rPr>
        <w:tab/>
      </w:r>
      <w:r w:rsidRPr="003A4ECB">
        <w:rPr>
          <w:sz w:val="24"/>
          <w:szCs w:val="24"/>
          <w:lang w:val="fr-FR"/>
        </w:rPr>
        <w:tab/>
      </w:r>
      <w:r w:rsidRPr="003A4ECB">
        <w:rPr>
          <w:sz w:val="24"/>
          <w:szCs w:val="24"/>
          <w:lang w:val="fr-FR"/>
        </w:rPr>
        <w:tab/>
        <w:t>Doc. 6/131(Rév.1)</w:t>
      </w:r>
    </w:p>
    <w:p w:rsidR="00831192" w:rsidRPr="00DD6638" w:rsidRDefault="00831192" w:rsidP="00831192">
      <w:pPr>
        <w:pStyle w:val="Rectitle"/>
        <w:rPr>
          <w:lang w:val="fr-FR" w:eastAsia="ko-KR"/>
        </w:rPr>
      </w:pPr>
      <w:r w:rsidRPr="00DD6638">
        <w:rPr>
          <w:lang w:val="fr-FR" w:eastAsia="ko-KR"/>
        </w:rPr>
        <w:t>Caractéristiques d</w:t>
      </w:r>
      <w:r>
        <w:rPr>
          <w:lang w:val="fr-FR" w:eastAsia="ko-KR"/>
        </w:rPr>
        <w:t>'</w:t>
      </w:r>
      <w:r w:rsidRPr="00DD6638">
        <w:rPr>
          <w:lang w:val="fr-FR" w:eastAsia="ko-KR"/>
        </w:rPr>
        <w:t xml:space="preserve">un système de réception de référence pour la planification </w:t>
      </w:r>
      <w:r>
        <w:rPr>
          <w:lang w:val="fr-FR" w:eastAsia="ko-KR"/>
        </w:rPr>
        <w:br/>
      </w:r>
      <w:r w:rsidRPr="00DD6638">
        <w:rPr>
          <w:lang w:val="fr-FR" w:eastAsia="ko-KR"/>
        </w:rPr>
        <w:t>des fréquences utilisées par les systèmes de télévision numérique de Terre</w:t>
      </w:r>
    </w:p>
    <w:p w:rsidR="00831192" w:rsidRPr="003A4ECB" w:rsidRDefault="00831192" w:rsidP="00831192">
      <w:pPr>
        <w:pStyle w:val="Normalaftertitle"/>
        <w:rPr>
          <w:sz w:val="24"/>
          <w:szCs w:val="24"/>
          <w:lang w:val="fr-CH"/>
        </w:rPr>
      </w:pPr>
      <w:r w:rsidRPr="003A4ECB">
        <w:rPr>
          <w:sz w:val="24"/>
          <w:szCs w:val="24"/>
          <w:lang w:val="fr-CH"/>
        </w:rPr>
        <w:t>Cette Recommandation définit les caractéristiques de systèmes de réception de référence pour divers systèmes de télévision numérique de Terre, employées pour la planification des fréquences utilisées par les services de télévision numérique de Terre dans les bandes des ondes métriques et décimétriques.</w:t>
      </w:r>
    </w:p>
    <w:p w:rsidR="00831192" w:rsidRPr="003A4ECB" w:rsidRDefault="00831192" w:rsidP="00831192">
      <w:pPr>
        <w:rPr>
          <w:sz w:val="24"/>
          <w:szCs w:val="24"/>
          <w:lang w:val="fr-FR"/>
        </w:rPr>
      </w:pPr>
      <w:r w:rsidRPr="003A4ECB">
        <w:rPr>
          <w:sz w:val="24"/>
          <w:szCs w:val="24"/>
          <w:u w:val="single"/>
          <w:lang w:val="fr-FR"/>
        </w:rPr>
        <w:t>Projet de nouvelle Recommandation UIT-R BT.[IBB-GENERAL]</w:t>
      </w:r>
      <w:r w:rsidRPr="003A4ECB">
        <w:rPr>
          <w:sz w:val="24"/>
          <w:szCs w:val="24"/>
          <w:lang w:val="fr-FR"/>
        </w:rPr>
        <w:tab/>
      </w:r>
      <w:r w:rsidRPr="003A4ECB">
        <w:rPr>
          <w:sz w:val="24"/>
          <w:szCs w:val="24"/>
          <w:lang w:val="fr-FR"/>
        </w:rPr>
        <w:tab/>
        <w:t>Doc. 6/132(Rév.1)</w:t>
      </w:r>
    </w:p>
    <w:p w:rsidR="00831192" w:rsidRPr="00D85878" w:rsidRDefault="00831192" w:rsidP="00831192">
      <w:pPr>
        <w:pStyle w:val="Rectitle"/>
        <w:rPr>
          <w:lang w:val="fr-FR" w:eastAsia="ko-KR"/>
        </w:rPr>
      </w:pPr>
      <w:r w:rsidRPr="00D85878">
        <w:rPr>
          <w:lang w:val="fr-FR" w:eastAsia="ko-KR"/>
        </w:rPr>
        <w:t xml:space="preserve">Spécifications générales des applications axées sur la radiodiffusion </w:t>
      </w:r>
      <w:r>
        <w:rPr>
          <w:lang w:val="fr-FR" w:eastAsia="ko-KR"/>
        </w:rPr>
        <w:br/>
      </w:r>
      <w:r w:rsidRPr="00D85878">
        <w:rPr>
          <w:lang w:val="fr-FR" w:eastAsia="ko-KR"/>
        </w:rPr>
        <w:t xml:space="preserve">pour les systèmes intégrés de radiodiffusion large bande </w:t>
      </w:r>
      <w:r>
        <w:rPr>
          <w:lang w:val="fr-FR" w:eastAsia="ko-KR"/>
        </w:rPr>
        <w:br/>
      </w:r>
      <w:r w:rsidRPr="00D85878">
        <w:rPr>
          <w:lang w:val="fr-FR" w:eastAsia="ko-KR"/>
        </w:rPr>
        <w:t>et leur utilisation envisagée</w:t>
      </w:r>
    </w:p>
    <w:p w:rsidR="00831192" w:rsidRPr="003A4ECB" w:rsidRDefault="00831192" w:rsidP="00831192">
      <w:pPr>
        <w:pStyle w:val="Normalaftertitle"/>
        <w:rPr>
          <w:sz w:val="24"/>
          <w:szCs w:val="24"/>
          <w:lang w:val="fr-CH" w:eastAsia="zh-CN"/>
        </w:rPr>
      </w:pPr>
      <w:r w:rsidRPr="003A4ECB">
        <w:rPr>
          <w:sz w:val="24"/>
          <w:szCs w:val="24"/>
          <w:lang w:val="fr-CH" w:eastAsia="zh-CN"/>
        </w:rPr>
        <w:t>Cette Recommandation définit les spécifications générales des systèmes intégrés de radiodiffusion large bande axés sur la radiodiffusion pour la télévision numérique. Ces systèmes sont fondés à la fois sur des spécifications techniques et sur des processus opérationnels connexes qui, ensemble, définissent les modalités de la fourniture de services à l'utilisateur final, sur la base des mécanismes de radiodiffusion traditionnelle et de télécommunications large bande.</w:t>
      </w:r>
    </w:p>
    <w:p w:rsidR="00831192" w:rsidRPr="003A4ECB" w:rsidRDefault="00831192" w:rsidP="00831192">
      <w:pPr>
        <w:rPr>
          <w:sz w:val="24"/>
          <w:szCs w:val="24"/>
          <w:u w:val="single"/>
          <w:lang w:val="fr-FR"/>
        </w:rPr>
      </w:pPr>
      <w:r w:rsidRPr="003A4ECB">
        <w:rPr>
          <w:sz w:val="24"/>
          <w:szCs w:val="24"/>
          <w:u w:val="single"/>
          <w:lang w:val="fr-FR"/>
        </w:rPr>
        <w:t>Projet de nouvelle Recommandation UIT-R BT.[3D-BRR]</w:t>
      </w:r>
      <w:r w:rsidRPr="003A4ECB">
        <w:rPr>
          <w:sz w:val="24"/>
          <w:szCs w:val="24"/>
          <w:lang w:val="fr-FR"/>
        </w:rPr>
        <w:tab/>
      </w:r>
      <w:r w:rsidRPr="003A4ECB">
        <w:rPr>
          <w:sz w:val="24"/>
          <w:szCs w:val="24"/>
          <w:lang w:val="fr-FR"/>
        </w:rPr>
        <w:tab/>
      </w:r>
      <w:r w:rsidR="009A30D4">
        <w:rPr>
          <w:sz w:val="24"/>
          <w:szCs w:val="24"/>
          <w:lang w:val="fr-FR"/>
        </w:rPr>
        <w:tab/>
      </w:r>
      <w:r w:rsidRPr="003A4ECB">
        <w:rPr>
          <w:sz w:val="24"/>
          <w:szCs w:val="24"/>
          <w:lang w:val="fr-FR"/>
        </w:rPr>
        <w:t>Doc. 6/139(Rév.1)</w:t>
      </w:r>
    </w:p>
    <w:p w:rsidR="00831192" w:rsidRPr="00D85878" w:rsidRDefault="00831192" w:rsidP="00831192">
      <w:pPr>
        <w:pStyle w:val="Rectitle"/>
        <w:rPr>
          <w:lang w:val="fr-CH" w:eastAsia="zh-CN"/>
        </w:rPr>
      </w:pPr>
      <w:r w:rsidRPr="00D85878">
        <w:rPr>
          <w:lang w:val="fr-CH" w:eastAsia="zh-CN"/>
        </w:rPr>
        <w:t>Transport de programmes de TVHD 3D destinés à l</w:t>
      </w:r>
      <w:r>
        <w:rPr>
          <w:lang w:val="fr-CH" w:eastAsia="zh-CN"/>
        </w:rPr>
        <w:t>'</w:t>
      </w:r>
      <w:r w:rsidRPr="00D85878">
        <w:rPr>
          <w:lang w:val="fr-CH" w:eastAsia="zh-CN"/>
        </w:rPr>
        <w:t xml:space="preserve">échange </w:t>
      </w:r>
      <w:r>
        <w:rPr>
          <w:lang w:val="fr-CH" w:eastAsia="zh-CN"/>
        </w:rPr>
        <w:br/>
      </w:r>
      <w:r w:rsidRPr="00D85878">
        <w:rPr>
          <w:lang w:val="fr-CH" w:eastAsia="zh-CN"/>
        </w:rPr>
        <w:t>international de programmes de radiodiffusion</w:t>
      </w:r>
    </w:p>
    <w:p w:rsidR="00831192" w:rsidRPr="003A4ECB" w:rsidRDefault="00831192" w:rsidP="00831192">
      <w:pPr>
        <w:pStyle w:val="Normalaftertitle"/>
        <w:rPr>
          <w:sz w:val="24"/>
          <w:szCs w:val="24"/>
          <w:lang w:val="fr-CH" w:eastAsia="zh-CN"/>
        </w:rPr>
      </w:pPr>
      <w:r w:rsidRPr="003A4ECB">
        <w:rPr>
          <w:sz w:val="24"/>
          <w:szCs w:val="24"/>
          <w:lang w:val="fr-CH" w:eastAsia="zh-CN"/>
        </w:rPr>
        <w:t>Cette Recommandation spécifie la méthode à utiliser de préférence pour le transport de programmes de TVHD 3D en utilisant la réduction du débit binaire pour différentes finalités liées à l'échange international de programmes.</w:t>
      </w:r>
    </w:p>
    <w:p w:rsidR="00831192" w:rsidRPr="003A4ECB" w:rsidRDefault="00831192" w:rsidP="00831192">
      <w:pPr>
        <w:rPr>
          <w:lang w:val="fr-CH"/>
        </w:rPr>
      </w:pPr>
    </w:p>
    <w:p w:rsidR="00F95AA0" w:rsidRPr="003A4ECB" w:rsidRDefault="00F95AA0" w:rsidP="00F95AA0">
      <w:pPr>
        <w:pStyle w:val="AnnexNotitle0"/>
        <w:rPr>
          <w:rFonts w:asciiTheme="minorHAnsi" w:hAnsiTheme="minorHAnsi" w:cstheme="minorHAnsi"/>
          <w:szCs w:val="28"/>
          <w:lang w:val="fr-CH"/>
        </w:rPr>
      </w:pPr>
      <w:r w:rsidRPr="003A4ECB">
        <w:rPr>
          <w:rFonts w:asciiTheme="minorHAnsi" w:hAnsiTheme="minorHAnsi" w:cstheme="minorHAnsi"/>
          <w:szCs w:val="28"/>
          <w:lang w:val="fr-CH"/>
        </w:rPr>
        <w:lastRenderedPageBreak/>
        <w:t>Annexe 2</w:t>
      </w:r>
    </w:p>
    <w:p w:rsidR="00F95AA0" w:rsidRPr="00F95AA0" w:rsidRDefault="005152E2" w:rsidP="005152E2">
      <w:pPr>
        <w:spacing w:before="360"/>
        <w:jc w:val="center"/>
        <w:rPr>
          <w:rFonts w:asciiTheme="minorHAnsi" w:hAnsiTheme="minorHAnsi" w:cstheme="minorHAnsi"/>
          <w:sz w:val="24"/>
          <w:szCs w:val="24"/>
          <w:lang w:val="fr-CH"/>
        </w:rPr>
      </w:pPr>
      <w:r>
        <w:rPr>
          <w:rFonts w:asciiTheme="minorHAnsi" w:hAnsiTheme="minorHAnsi" w:cstheme="minorHAnsi"/>
          <w:sz w:val="24"/>
          <w:szCs w:val="24"/>
          <w:lang w:val="fr-CH"/>
        </w:rPr>
        <w:t>(Source: Document 6/123</w:t>
      </w:r>
      <w:r w:rsidR="00F95AA0" w:rsidRPr="00F95AA0">
        <w:rPr>
          <w:rFonts w:asciiTheme="minorHAnsi" w:hAnsiTheme="minorHAnsi" w:cstheme="minorHAnsi"/>
          <w:sz w:val="24"/>
          <w:szCs w:val="24"/>
          <w:lang w:val="fr-CH"/>
        </w:rPr>
        <w:t>)</w:t>
      </w:r>
    </w:p>
    <w:p w:rsidR="00F95AA0" w:rsidRPr="000D7514" w:rsidRDefault="005152E2" w:rsidP="00F95AA0">
      <w:pPr>
        <w:pStyle w:val="AnnexNoTitle"/>
        <w:rPr>
          <w:rFonts w:asciiTheme="minorHAnsi" w:hAnsiTheme="minorHAnsi" w:cstheme="minorHAnsi"/>
          <w:sz w:val="28"/>
          <w:szCs w:val="28"/>
          <w:lang w:val="fr-CH"/>
        </w:rPr>
      </w:pPr>
      <w:r w:rsidRPr="000D7514">
        <w:rPr>
          <w:rFonts w:asciiTheme="minorHAnsi" w:hAnsiTheme="minorHAnsi" w:cstheme="minorHAnsi"/>
          <w:sz w:val="28"/>
          <w:szCs w:val="28"/>
          <w:lang w:val="fr-CH"/>
        </w:rPr>
        <w:t>Recommandations</w:t>
      </w:r>
      <w:r w:rsidR="00F95AA0" w:rsidRPr="000D7514">
        <w:rPr>
          <w:rFonts w:asciiTheme="minorHAnsi" w:hAnsiTheme="minorHAnsi" w:cstheme="minorHAnsi"/>
          <w:sz w:val="28"/>
          <w:szCs w:val="28"/>
          <w:lang w:val="fr-CH"/>
        </w:rPr>
        <w:t xml:space="preserve"> UIT-R dont la suppression est proposée</w:t>
      </w:r>
    </w:p>
    <w:p w:rsidR="00F95AA0" w:rsidRPr="00F95AA0" w:rsidRDefault="00F95AA0" w:rsidP="00F95AA0">
      <w:pPr>
        <w:jc w:val="center"/>
        <w:rPr>
          <w:lang w:val="fr-CH"/>
        </w:rPr>
      </w:pPr>
    </w:p>
    <w:tbl>
      <w:tblPr>
        <w:tblStyle w:val="TableGrid"/>
        <w:tblW w:w="0" w:type="auto"/>
        <w:tblLook w:val="04A0" w:firstRow="1" w:lastRow="0" w:firstColumn="1" w:lastColumn="0" w:noHBand="0" w:noVBand="1"/>
      </w:tblPr>
      <w:tblGrid>
        <w:gridCol w:w="4927"/>
        <w:gridCol w:w="4928"/>
      </w:tblGrid>
      <w:tr w:rsidR="005152E2" w:rsidTr="003445CA">
        <w:tc>
          <w:tcPr>
            <w:tcW w:w="4927" w:type="dxa"/>
          </w:tcPr>
          <w:p w:rsidR="005152E2" w:rsidRDefault="005152E2" w:rsidP="005152E2">
            <w:pPr>
              <w:pStyle w:val="Tablehead"/>
            </w:pPr>
            <w:r>
              <w:t xml:space="preserve">Recommandation </w:t>
            </w:r>
            <w:r>
              <w:br/>
              <w:t>UIT-R</w:t>
            </w:r>
          </w:p>
        </w:tc>
        <w:tc>
          <w:tcPr>
            <w:tcW w:w="4928" w:type="dxa"/>
          </w:tcPr>
          <w:p w:rsidR="005152E2" w:rsidRDefault="005152E2" w:rsidP="003445CA">
            <w:pPr>
              <w:pStyle w:val="Tablehead"/>
            </w:pPr>
            <w:r>
              <w:t>Titre</w:t>
            </w:r>
          </w:p>
        </w:tc>
      </w:tr>
      <w:tr w:rsidR="005152E2" w:rsidRPr="009A30D4" w:rsidTr="003445CA">
        <w:tc>
          <w:tcPr>
            <w:tcW w:w="4927" w:type="dxa"/>
          </w:tcPr>
          <w:p w:rsidR="005152E2" w:rsidRPr="00695577" w:rsidRDefault="005152E2" w:rsidP="003445CA">
            <w:pPr>
              <w:pStyle w:val="Tabletext"/>
              <w:rPr>
                <w:szCs w:val="20"/>
              </w:rPr>
            </w:pPr>
            <w:r w:rsidRPr="00695577">
              <w:rPr>
                <w:szCs w:val="20"/>
              </w:rPr>
              <w:t>BR.1385</w:t>
            </w:r>
          </w:p>
        </w:tc>
        <w:tc>
          <w:tcPr>
            <w:tcW w:w="4928" w:type="dxa"/>
          </w:tcPr>
          <w:p w:rsidR="005152E2" w:rsidRPr="003A4ECB" w:rsidRDefault="00577937" w:rsidP="0067110B">
            <w:pPr>
              <w:pStyle w:val="NormalWeb"/>
              <w:jc w:val="both"/>
              <w:rPr>
                <w:rFonts w:asciiTheme="minorHAnsi" w:hAnsiTheme="minorHAnsi" w:cstheme="minorHAnsi"/>
                <w:sz w:val="20"/>
                <w:szCs w:val="20"/>
                <w:lang w:val="fr-CH"/>
              </w:rPr>
            </w:pPr>
            <w:r w:rsidRPr="003A4ECB">
              <w:rPr>
                <w:rFonts w:asciiTheme="minorHAnsi" w:hAnsiTheme="minorHAnsi" w:cstheme="minorHAnsi"/>
                <w:sz w:val="20"/>
                <w:szCs w:val="20"/>
                <w:lang w:val="fr-CH"/>
              </w:rPr>
              <w:t>Échanges de programmes radiophoniques sur disques compacts enregistrables (CD-R)</w:t>
            </w:r>
          </w:p>
        </w:tc>
      </w:tr>
      <w:tr w:rsidR="005152E2" w:rsidRPr="009A30D4" w:rsidTr="003445CA">
        <w:tc>
          <w:tcPr>
            <w:tcW w:w="4927" w:type="dxa"/>
          </w:tcPr>
          <w:p w:rsidR="005152E2" w:rsidRPr="00695577" w:rsidRDefault="005152E2" w:rsidP="003445CA">
            <w:pPr>
              <w:pStyle w:val="Tabletext"/>
              <w:rPr>
                <w:szCs w:val="20"/>
              </w:rPr>
            </w:pPr>
            <w:r w:rsidRPr="00695577">
              <w:rPr>
                <w:szCs w:val="20"/>
              </w:rPr>
              <w:t>BR.1694</w:t>
            </w:r>
          </w:p>
        </w:tc>
        <w:tc>
          <w:tcPr>
            <w:tcW w:w="4928" w:type="dxa"/>
          </w:tcPr>
          <w:p w:rsidR="005152E2" w:rsidRPr="003A4ECB" w:rsidRDefault="00577937" w:rsidP="0067110B">
            <w:pPr>
              <w:pStyle w:val="NormalWeb"/>
              <w:jc w:val="both"/>
              <w:rPr>
                <w:rFonts w:asciiTheme="minorHAnsi" w:hAnsiTheme="minorHAnsi" w:cstheme="minorHAnsi"/>
                <w:sz w:val="20"/>
                <w:szCs w:val="20"/>
                <w:lang w:val="fr-CH"/>
              </w:rPr>
            </w:pPr>
            <w:r w:rsidRPr="003A4ECB">
              <w:rPr>
                <w:rFonts w:asciiTheme="minorHAnsi" w:hAnsiTheme="minorHAnsi" w:cstheme="minorHAnsi"/>
                <w:sz w:val="20"/>
                <w:szCs w:val="20"/>
                <w:lang w:val="fr-CH"/>
              </w:rPr>
              <w:t>Formats d'enregistrement sur vidéocassette pour l'échange international de programmes d'imagerie numérique sur grand écran destinés à être projetés en salle</w:t>
            </w:r>
          </w:p>
        </w:tc>
      </w:tr>
    </w:tbl>
    <w:p w:rsidR="00F95AA0" w:rsidRPr="00577937" w:rsidRDefault="00F95AA0" w:rsidP="00F95AA0">
      <w:pPr>
        <w:jc w:val="center"/>
        <w:rPr>
          <w:lang w:val="fr-CH"/>
        </w:rPr>
      </w:pPr>
    </w:p>
    <w:p w:rsidR="004B2A1F" w:rsidRPr="00F90A51" w:rsidRDefault="00F90A51" w:rsidP="00F90A51">
      <w:pPr>
        <w:jc w:val="center"/>
        <w:rPr>
          <w:lang w:val="fr-CH"/>
        </w:rPr>
      </w:pPr>
      <w:r>
        <w:rPr>
          <w:lang w:val="fr-CH"/>
        </w:rPr>
        <w:t>______________</w:t>
      </w:r>
    </w:p>
    <w:sectPr w:rsidR="004B2A1F" w:rsidRPr="00F90A51"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718" w:rsidRDefault="00CA6718">
      <w:r>
        <w:separator/>
      </w:r>
    </w:p>
  </w:endnote>
  <w:endnote w:type="continuationSeparator" w:id="0">
    <w:p w:rsidR="00CA6718" w:rsidRDefault="00CA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r w:rsidR="000D2D6E">
      <w:fldChar w:fldCharType="begin"/>
    </w:r>
    <w:r w:rsidR="000D2D6E" w:rsidRPr="00963FA3">
      <w:rPr>
        <w:lang w:val="fr-CH"/>
        <w:rPrChange w:id="4" w:author="detraz" w:date="2013-05-08T11:18:00Z">
          <w:rPr/>
        </w:rPrChange>
      </w:rPr>
      <w:instrText xml:space="preserve"> HYPERLINK "mailto:itumail@itu.int" </w:instrText>
    </w:r>
    <w:r w:rsidR="000D2D6E">
      <w:fldChar w:fldCharType="separate"/>
    </w:r>
    <w:r w:rsidRPr="00E53DCE">
      <w:rPr>
        <w:rStyle w:val="Hyperlink"/>
        <w:sz w:val="18"/>
        <w:szCs w:val="18"/>
        <w:lang w:val="fr-FR"/>
      </w:rPr>
      <w:t>itumail@itu.int</w:t>
    </w:r>
    <w:r w:rsidR="000D2D6E">
      <w:rPr>
        <w:rStyle w:val="Hyperlink"/>
        <w:sz w:val="18"/>
        <w:szCs w:val="18"/>
        <w:lang w:val="fr-FR"/>
      </w:rPr>
      <w:fldChar w:fldCharType="end"/>
    </w:r>
    <w:r w:rsidRPr="00E53DCE">
      <w:rPr>
        <w:sz w:val="18"/>
        <w:szCs w:val="18"/>
        <w:lang w:val="fr-FR"/>
      </w:rPr>
      <w:t xml:space="preserve"> • </w:t>
    </w:r>
    <w:r w:rsidR="000D2D6E">
      <w:fldChar w:fldCharType="begin"/>
    </w:r>
    <w:r w:rsidR="000D2D6E" w:rsidRPr="00963FA3">
      <w:rPr>
        <w:lang w:val="fr-CH"/>
        <w:rPrChange w:id="5" w:author="detraz" w:date="2013-05-08T11:18:00Z">
          <w:rPr/>
        </w:rPrChange>
      </w:rPr>
      <w:instrText xml:space="preserve"> HYPERLINK "http://www.itu.int/en/pages/default.aspx" </w:instrText>
    </w:r>
    <w:r w:rsidR="000D2D6E">
      <w:fldChar w:fldCharType="separate"/>
    </w:r>
    <w:r w:rsidRPr="00E53DCE">
      <w:rPr>
        <w:rStyle w:val="Hyperlink"/>
        <w:sz w:val="18"/>
        <w:szCs w:val="18"/>
        <w:lang w:val="fr-FR"/>
      </w:rPr>
      <w:t>www.itu.int</w:t>
    </w:r>
    <w:r w:rsidR="000D2D6E">
      <w:rPr>
        <w:rStyle w:val="Hyperlink"/>
        <w:sz w:val="18"/>
        <w:szCs w:val="18"/>
        <w:lang w:val="fr-FR"/>
      </w:rPr>
      <w:fldChar w:fldCharType="end"/>
    </w:r>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718" w:rsidRDefault="00CA6718">
      <w:r>
        <w:t>____________________</w:t>
      </w:r>
    </w:p>
  </w:footnote>
  <w:footnote w:type="continuationSeparator" w:id="0">
    <w:p w:rsidR="00CA6718" w:rsidRDefault="00CA6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t xml:space="preserve">– </w:t>
    </w:r>
    <w:r w:rsidR="001B42C9">
      <w:rPr>
        <w:rStyle w:val="PageNumber"/>
      </w:rPr>
      <w:fldChar w:fldCharType="begin"/>
    </w:r>
    <w:r>
      <w:rPr>
        <w:rStyle w:val="PageNumber"/>
      </w:rPr>
      <w:instrText xml:space="preserve"> PAGE </w:instrText>
    </w:r>
    <w:r w:rsidR="001B42C9">
      <w:rPr>
        <w:rStyle w:val="PageNumber"/>
      </w:rPr>
      <w:fldChar w:fldCharType="separate"/>
    </w:r>
    <w:r w:rsidR="006358DD">
      <w:rPr>
        <w:rStyle w:val="PageNumber"/>
        <w:noProof/>
      </w:rPr>
      <w:t>4</w:t>
    </w:r>
    <w:r w:rsidR="001B42C9">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6358DD">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A671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75B8"/>
    <w:rsid w:val="00086D03"/>
    <w:rsid w:val="000A096A"/>
    <w:rsid w:val="000A375E"/>
    <w:rsid w:val="000A39A6"/>
    <w:rsid w:val="000A7051"/>
    <w:rsid w:val="000B0AF6"/>
    <w:rsid w:val="000B0E9B"/>
    <w:rsid w:val="000B2CAE"/>
    <w:rsid w:val="000C03C7"/>
    <w:rsid w:val="000C2AD0"/>
    <w:rsid w:val="000D2D6E"/>
    <w:rsid w:val="000D7514"/>
    <w:rsid w:val="000E3DEE"/>
    <w:rsid w:val="00100B72"/>
    <w:rsid w:val="00101F7D"/>
    <w:rsid w:val="00103C76"/>
    <w:rsid w:val="0011265F"/>
    <w:rsid w:val="00117282"/>
    <w:rsid w:val="00117389"/>
    <w:rsid w:val="0011777C"/>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E5959"/>
    <w:rsid w:val="002F0890"/>
    <w:rsid w:val="002F2531"/>
    <w:rsid w:val="002F4967"/>
    <w:rsid w:val="00316935"/>
    <w:rsid w:val="003266ED"/>
    <w:rsid w:val="00326C68"/>
    <w:rsid w:val="003370B8"/>
    <w:rsid w:val="00342037"/>
    <w:rsid w:val="00345D38"/>
    <w:rsid w:val="00352097"/>
    <w:rsid w:val="003666FF"/>
    <w:rsid w:val="0037309C"/>
    <w:rsid w:val="00380A6E"/>
    <w:rsid w:val="003836D4"/>
    <w:rsid w:val="003A1F49"/>
    <w:rsid w:val="003A4ECB"/>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0EFB"/>
    <w:rsid w:val="00496864"/>
    <w:rsid w:val="00496920"/>
    <w:rsid w:val="004A4496"/>
    <w:rsid w:val="004B11AB"/>
    <w:rsid w:val="004B2A1F"/>
    <w:rsid w:val="004B7C9A"/>
    <w:rsid w:val="004C6779"/>
    <w:rsid w:val="004D733B"/>
    <w:rsid w:val="004E0DC4"/>
    <w:rsid w:val="004E0FB5"/>
    <w:rsid w:val="004E43BB"/>
    <w:rsid w:val="004E460D"/>
    <w:rsid w:val="004F178E"/>
    <w:rsid w:val="004F4543"/>
    <w:rsid w:val="004F57BB"/>
    <w:rsid w:val="00505309"/>
    <w:rsid w:val="0050789B"/>
    <w:rsid w:val="005152E2"/>
    <w:rsid w:val="005224A1"/>
    <w:rsid w:val="00534372"/>
    <w:rsid w:val="00543DF8"/>
    <w:rsid w:val="00546101"/>
    <w:rsid w:val="00553DD7"/>
    <w:rsid w:val="005638CF"/>
    <w:rsid w:val="0056741E"/>
    <w:rsid w:val="0057325A"/>
    <w:rsid w:val="0057469A"/>
    <w:rsid w:val="00577937"/>
    <w:rsid w:val="00580814"/>
    <w:rsid w:val="00583A0B"/>
    <w:rsid w:val="00595D2B"/>
    <w:rsid w:val="005A03A3"/>
    <w:rsid w:val="005A2B92"/>
    <w:rsid w:val="005A3F66"/>
    <w:rsid w:val="005A79E9"/>
    <w:rsid w:val="005B214C"/>
    <w:rsid w:val="005B4CDA"/>
    <w:rsid w:val="005D3669"/>
    <w:rsid w:val="005E5EB3"/>
    <w:rsid w:val="005E624C"/>
    <w:rsid w:val="005F3CB6"/>
    <w:rsid w:val="005F657C"/>
    <w:rsid w:val="00602D53"/>
    <w:rsid w:val="006047E5"/>
    <w:rsid w:val="0063529E"/>
    <w:rsid w:val="006358DD"/>
    <w:rsid w:val="00641867"/>
    <w:rsid w:val="0064371D"/>
    <w:rsid w:val="00650543"/>
    <w:rsid w:val="00650B2A"/>
    <w:rsid w:val="00651777"/>
    <w:rsid w:val="00653D79"/>
    <w:rsid w:val="006550F8"/>
    <w:rsid w:val="0067110B"/>
    <w:rsid w:val="006829F3"/>
    <w:rsid w:val="00695577"/>
    <w:rsid w:val="006A518B"/>
    <w:rsid w:val="006B0590"/>
    <w:rsid w:val="006B49DA"/>
    <w:rsid w:val="006C53F8"/>
    <w:rsid w:val="006C7CDE"/>
    <w:rsid w:val="007234B1"/>
    <w:rsid w:val="00723D08"/>
    <w:rsid w:val="00725FDA"/>
    <w:rsid w:val="00727816"/>
    <w:rsid w:val="00730B9A"/>
    <w:rsid w:val="00750CFA"/>
    <w:rsid w:val="007553DA"/>
    <w:rsid w:val="00775DB8"/>
    <w:rsid w:val="00780C5B"/>
    <w:rsid w:val="00782354"/>
    <w:rsid w:val="007921A7"/>
    <w:rsid w:val="007B3DB1"/>
    <w:rsid w:val="007D183E"/>
    <w:rsid w:val="007D43D0"/>
    <w:rsid w:val="007E1833"/>
    <w:rsid w:val="007E3F13"/>
    <w:rsid w:val="007F751A"/>
    <w:rsid w:val="00800012"/>
    <w:rsid w:val="0080261F"/>
    <w:rsid w:val="00806160"/>
    <w:rsid w:val="008143A4"/>
    <w:rsid w:val="0081513E"/>
    <w:rsid w:val="00831192"/>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63FA3"/>
    <w:rsid w:val="0098013E"/>
    <w:rsid w:val="00981B54"/>
    <w:rsid w:val="009842C3"/>
    <w:rsid w:val="009A009A"/>
    <w:rsid w:val="009A30D4"/>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2C93"/>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C30BC"/>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9670B"/>
    <w:rsid w:val="00CA3F44"/>
    <w:rsid w:val="00CA4E58"/>
    <w:rsid w:val="00CA671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0A51"/>
    <w:rsid w:val="00F914DD"/>
    <w:rsid w:val="00F95AA0"/>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F95AA0"/>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F95AA0"/>
    <w:rPr>
      <w:b/>
      <w:sz w:val="24"/>
      <w:szCs w:val="22"/>
      <w:lang w:val="en-US" w:eastAsia="en-US"/>
    </w:rPr>
  </w:style>
  <w:style w:type="character" w:styleId="FollowedHyperlink">
    <w:name w:val="FollowedHyperlink"/>
    <w:basedOn w:val="DefaultParagraphFont"/>
    <w:rsid w:val="00342037"/>
    <w:rPr>
      <w:color w:val="800080" w:themeColor="followedHyperlink"/>
      <w:u w:val="single"/>
    </w:rPr>
  </w:style>
  <w:style w:type="character" w:customStyle="1" w:styleId="RectitleChar">
    <w:name w:val="Rec_title Char"/>
    <w:link w:val="Rectitle"/>
    <w:rsid w:val="005152E2"/>
    <w:rPr>
      <w:b/>
      <w:sz w:val="28"/>
      <w:szCs w:val="22"/>
      <w:lang w:val="en-US" w:eastAsia="en-US"/>
    </w:rPr>
  </w:style>
  <w:style w:type="table" w:styleId="TableGrid">
    <w:name w:val="Table Grid"/>
    <w:basedOn w:val="TableNormal"/>
    <w:rsid w:val="00515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mmary">
    <w:name w:val="Summary"/>
    <w:basedOn w:val="Normal"/>
    <w:next w:val="Normal"/>
    <w:rsid w:val="005152E2"/>
    <w:pPr>
      <w:spacing w:before="120" w:after="480" w:line="240" w:lineRule="auto"/>
    </w:pPr>
    <w:rPr>
      <w:rFonts w:ascii="Times New Roman" w:eastAsia="MS Mincho" w:hAnsi="Times New Roman" w:cs="Times New Roman"/>
      <w:szCs w:val="20"/>
      <w:lang w:val="es-ES_tradnl"/>
    </w:rPr>
  </w:style>
  <w:style w:type="paragraph" w:styleId="NormalWeb">
    <w:name w:val="Normal (Web)"/>
    <w:basedOn w:val="Normal"/>
    <w:uiPriority w:val="99"/>
    <w:unhideWhenUsed/>
    <w:rsid w:val="00577937"/>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color w:val="000000"/>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F95AA0"/>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F95AA0"/>
    <w:rPr>
      <w:b/>
      <w:sz w:val="24"/>
      <w:szCs w:val="22"/>
      <w:lang w:val="en-US" w:eastAsia="en-US"/>
    </w:rPr>
  </w:style>
  <w:style w:type="character" w:styleId="FollowedHyperlink">
    <w:name w:val="FollowedHyperlink"/>
    <w:basedOn w:val="DefaultParagraphFont"/>
    <w:rsid w:val="00342037"/>
    <w:rPr>
      <w:color w:val="800080" w:themeColor="followedHyperlink"/>
      <w:u w:val="single"/>
    </w:rPr>
  </w:style>
  <w:style w:type="character" w:customStyle="1" w:styleId="RectitleChar">
    <w:name w:val="Rec_title Char"/>
    <w:link w:val="Rectitle"/>
    <w:rsid w:val="005152E2"/>
    <w:rPr>
      <w:b/>
      <w:sz w:val="28"/>
      <w:szCs w:val="22"/>
      <w:lang w:val="en-US" w:eastAsia="en-US"/>
    </w:rPr>
  </w:style>
  <w:style w:type="table" w:styleId="TableGrid">
    <w:name w:val="Table Grid"/>
    <w:basedOn w:val="TableNormal"/>
    <w:rsid w:val="00515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mmary">
    <w:name w:val="Summary"/>
    <w:basedOn w:val="Normal"/>
    <w:next w:val="Normal"/>
    <w:rsid w:val="005152E2"/>
    <w:pPr>
      <w:spacing w:before="120" w:after="480" w:line="240" w:lineRule="auto"/>
    </w:pPr>
    <w:rPr>
      <w:rFonts w:ascii="Times New Roman" w:eastAsia="MS Mincho" w:hAnsi="Times New Roman" w:cs="Times New Roman"/>
      <w:szCs w:val="20"/>
      <w:lang w:val="es-ES_tradnl"/>
    </w:rPr>
  </w:style>
  <w:style w:type="paragraph" w:styleId="NormalWeb">
    <w:name w:val="Normal (Web)"/>
    <w:basedOn w:val="Normal"/>
    <w:uiPriority w:val="99"/>
    <w:unhideWhenUsed/>
    <w:rsid w:val="00577937"/>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12-SG06-C/en"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E003-6AD7-4899-9888-AB86404D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130</TotalTime>
  <Pages>4</Pages>
  <Words>861</Words>
  <Characters>5806</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6654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detraz</cp:lastModifiedBy>
  <cp:revision>21</cp:revision>
  <cp:lastPrinted>2013-05-16T13:01:00Z</cp:lastPrinted>
  <dcterms:created xsi:type="dcterms:W3CDTF">2013-05-08T09:13:00Z</dcterms:created>
  <dcterms:modified xsi:type="dcterms:W3CDTF">2013-05-16T13:02:00Z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