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E1DD78" wp14:editId="0DFA2A0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37172F">
        <w:trPr>
          <w:cantSplit/>
        </w:trPr>
        <w:tc>
          <w:tcPr>
            <w:tcW w:w="2802" w:type="dxa"/>
          </w:tcPr>
          <w:p w:rsidR="00F96264" w:rsidRPr="0037172F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7172F">
              <w:rPr>
                <w:b/>
                <w:bCs/>
              </w:rPr>
              <w:t>Circular Administrativa</w:t>
            </w:r>
          </w:p>
          <w:p w:rsidR="00F96264" w:rsidRPr="00FF3B49" w:rsidRDefault="00FF3B49" w:rsidP="00FF3B4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9B33C7">
              <w:rPr>
                <w:b/>
                <w:bCs/>
              </w:rPr>
              <w:t>606</w:t>
            </w:r>
          </w:p>
        </w:tc>
        <w:tc>
          <w:tcPr>
            <w:tcW w:w="7218" w:type="dxa"/>
          </w:tcPr>
          <w:p w:rsidR="00F96264" w:rsidRPr="00FF3B49" w:rsidRDefault="009B33C7" w:rsidP="009B33C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19 de febrero de</w:t>
            </w:r>
            <w:r w:rsidR="00FF3B49">
              <w:rPr>
                <w:bCs/>
              </w:rPr>
              <w:t xml:space="preserve"> 201</w:t>
            </w:r>
            <w:r w:rsidR="00DC0787">
              <w:rPr>
                <w:bCs/>
              </w:rPr>
              <w:t>3</w:t>
            </w:r>
          </w:p>
        </w:tc>
      </w:tr>
    </w:tbl>
    <w:p w:rsidR="00F96264" w:rsidRPr="00F96264" w:rsidRDefault="00FF3B49" w:rsidP="008562CC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9B33C7">
        <w:rPr>
          <w:b/>
        </w:rPr>
        <w:t>5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8562CC">
        <w:rPr>
          <w:b/>
        </w:rPr>
        <w:t>o</w:t>
      </w:r>
      <w:r>
        <w:rPr>
          <w:b/>
        </w:rPr>
        <w:t xml:space="preserve">s </w:t>
      </w:r>
      <w:r w:rsidR="008562CC">
        <w:rPr>
          <w:b/>
        </w:rPr>
        <w:t xml:space="preserve">Sectores </w:t>
      </w:r>
      <w:r>
        <w:rPr>
          <w:b/>
        </w:rPr>
        <w:t>académic</w:t>
      </w:r>
      <w:r w:rsidR="008562CC">
        <w:rPr>
          <w:b/>
        </w:rPr>
        <w:t>o</w:t>
      </w:r>
      <w:r>
        <w:rPr>
          <w:b/>
        </w:rPr>
        <w:t>s del UIT-R</w:t>
      </w:r>
    </w:p>
    <w:p w:rsidR="00FF3B49" w:rsidRPr="0054084C" w:rsidRDefault="00F96264" w:rsidP="00FF3B4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FF3B49" w:rsidRPr="0054084C">
        <w:rPr>
          <w:b/>
          <w:bCs/>
        </w:rPr>
        <w:t xml:space="preserve">Comisión de Estudio </w:t>
      </w:r>
      <w:r w:rsidR="009B33C7">
        <w:rPr>
          <w:b/>
          <w:bCs/>
        </w:rPr>
        <w:t>5</w:t>
      </w:r>
      <w:r w:rsidR="00FF3B49" w:rsidRPr="0054084C">
        <w:rPr>
          <w:b/>
          <w:bCs/>
        </w:rPr>
        <w:t xml:space="preserve"> de Radiocomunicaciones</w:t>
      </w:r>
      <w:r w:rsidR="00FF3B49">
        <w:rPr>
          <w:b/>
          <w:bCs/>
        </w:rPr>
        <w:t xml:space="preserve"> </w:t>
      </w:r>
      <w:r w:rsidR="001B3440">
        <w:rPr>
          <w:b/>
          <w:bCs/>
        </w:rPr>
        <w:t>(Servicios terrenales)</w:t>
      </w:r>
    </w:p>
    <w:p w:rsidR="00FF3B49" w:rsidRDefault="00FF3B49" w:rsidP="0037172F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C32918">
        <w:rPr>
          <w:b/>
          <w:bCs/>
        </w:rPr>
        <w:t>1</w:t>
      </w:r>
      <w:r>
        <w:rPr>
          <w:b/>
          <w:bCs/>
        </w:rPr>
        <w:t xml:space="preserve"> </w:t>
      </w:r>
      <w:r w:rsidR="0037172F" w:rsidRPr="009156A8">
        <w:rPr>
          <w:b/>
        </w:rPr>
        <w:t>nueva</w:t>
      </w:r>
      <w:r w:rsidR="0037172F">
        <w:rPr>
          <w:b/>
          <w:bCs/>
        </w:rPr>
        <w:t xml:space="preserve"> </w:t>
      </w:r>
      <w:r>
        <w:rPr>
          <w:b/>
          <w:bCs/>
        </w:rPr>
        <w:t>Re</w:t>
      </w:r>
      <w:r w:rsidR="00C32918">
        <w:rPr>
          <w:b/>
          <w:bCs/>
        </w:rPr>
        <w:t xml:space="preserve">comendación </w:t>
      </w:r>
      <w:r w:rsidR="003F704F">
        <w:rPr>
          <w:b/>
          <w:bCs/>
        </w:rPr>
        <w:t xml:space="preserve">UIT-R </w:t>
      </w:r>
      <w:r w:rsidR="00C32918">
        <w:rPr>
          <w:b/>
          <w:bCs/>
        </w:rPr>
        <w:t xml:space="preserve">y 13 </w:t>
      </w:r>
      <w:r w:rsidR="00FE351D">
        <w:rPr>
          <w:b/>
          <w:bCs/>
        </w:rPr>
        <w:t>Recomendaciones</w:t>
      </w:r>
      <w:r w:rsidR="00C32918">
        <w:rPr>
          <w:b/>
          <w:bCs/>
        </w:rPr>
        <w:t xml:space="preserve"> </w:t>
      </w:r>
      <w:r w:rsidR="0037172F">
        <w:rPr>
          <w:b/>
          <w:bCs/>
        </w:rPr>
        <w:t xml:space="preserve">UIT-R </w:t>
      </w:r>
      <w:r w:rsidR="00C32918">
        <w:rPr>
          <w:b/>
          <w:bCs/>
        </w:rPr>
        <w:t>revisada</w:t>
      </w:r>
      <w:r>
        <w:rPr>
          <w:b/>
          <w:bCs/>
        </w:rPr>
        <w:t>s</w:t>
      </w:r>
      <w:r w:rsidRPr="0054084C">
        <w:rPr>
          <w:b/>
          <w:bCs/>
        </w:rPr>
        <w:t xml:space="preserve"> y su</w:t>
      </w:r>
      <w:r w:rsidR="00D6024B">
        <w:rPr>
          <w:b/>
          <w:bCs/>
        </w:rPr>
        <w:t>s</w:t>
      </w:r>
      <w:r w:rsidRPr="0054084C">
        <w:rPr>
          <w:b/>
          <w:bCs/>
        </w:rPr>
        <w:t xml:space="preserve"> </w:t>
      </w:r>
      <w:r w:rsidR="00FE351D" w:rsidRPr="0054084C">
        <w:rPr>
          <w:b/>
          <w:bCs/>
        </w:rPr>
        <w:t>aprobacion</w:t>
      </w:r>
      <w:r w:rsidR="00FE351D">
        <w:rPr>
          <w:b/>
          <w:bCs/>
        </w:rPr>
        <w:t>es</w:t>
      </w:r>
      <w:r w:rsidRPr="0054084C">
        <w:rPr>
          <w:b/>
          <w:bCs/>
        </w:rPr>
        <w:t xml:space="preserve"> simultánea</w:t>
      </w:r>
      <w:r w:rsidR="00D6024B">
        <w:rPr>
          <w:b/>
          <w:bCs/>
        </w:rPr>
        <w:t>s</w:t>
      </w:r>
      <w:r w:rsidRPr="0054084C">
        <w:rPr>
          <w:b/>
          <w:bCs/>
        </w:rPr>
        <w:t xml:space="preserve"> por correspondencia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FF3B49" w:rsidRPr="0054084C" w:rsidRDefault="00FF3B49" w:rsidP="00C32918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Supresión de </w:t>
      </w:r>
      <w:r w:rsidR="00C32918">
        <w:rPr>
          <w:b/>
          <w:bCs/>
        </w:rPr>
        <w:t xml:space="preserve">1 </w:t>
      </w:r>
      <w:r w:rsidR="00BB5025">
        <w:rPr>
          <w:b/>
          <w:bCs/>
        </w:rPr>
        <w:t>Cuestión</w:t>
      </w:r>
      <w:r w:rsidR="003F704F">
        <w:rPr>
          <w:b/>
          <w:bCs/>
        </w:rPr>
        <w:t xml:space="preserve"> UIT-R</w:t>
      </w:r>
    </w:p>
    <w:p w:rsidR="00FF3B49" w:rsidRDefault="00FF3B49" w:rsidP="00596808">
      <w:pPr>
        <w:pStyle w:val="Normalaftertitle"/>
      </w:pPr>
      <w:r>
        <w:t>Mediante la</w:t>
      </w:r>
      <w:r w:rsidR="00C32918">
        <w:t xml:space="preserve"> Circular Administrativa CACE/596</w:t>
      </w:r>
      <w:r>
        <w:t xml:space="preserve"> de día de </w:t>
      </w:r>
      <w:r w:rsidR="00C32918">
        <w:t xml:space="preserve">11 de diciembre de </w:t>
      </w:r>
      <w:r>
        <w:t>201</w:t>
      </w:r>
      <w:r w:rsidR="00596808">
        <w:t>2</w:t>
      </w:r>
      <w:bookmarkStart w:id="4" w:name="_GoBack"/>
      <w:bookmarkEnd w:id="4"/>
      <w:r>
        <w:t>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>R 1-6 (§ 10.3)</w:t>
      </w:r>
      <w:r w:rsidR="0037172F">
        <w:t>, 1 proyecto de nueva Recomendación UIT-R y 13 proyectos de Recomendaciones UIT-R revisadas.</w:t>
      </w:r>
      <w:r w:rsidR="00C32918">
        <w:t xml:space="preserve"> </w:t>
      </w:r>
      <w:r>
        <w:t>Además, la Comisión de Es</w:t>
      </w:r>
      <w:r w:rsidR="00C32918">
        <w:t xml:space="preserve">tudio propuso la supresión de </w:t>
      </w:r>
      <w:r w:rsidR="00BB5025">
        <w:t>la Cuestión</w:t>
      </w:r>
      <w:r w:rsidR="003F704F">
        <w:t xml:space="preserve"> UIT-R</w:t>
      </w:r>
      <w:r>
        <w:t>.</w:t>
      </w:r>
    </w:p>
    <w:p w:rsidR="00FF3B49" w:rsidRDefault="00FF3B49" w:rsidP="00C32918">
      <w:r>
        <w:t>Las condiciones que determinan este pr</w:t>
      </w:r>
      <w:r w:rsidR="00C32918">
        <w:t xml:space="preserve">ocedimiento se cumplieron el 11 de febrero de </w:t>
      </w:r>
      <w:r>
        <w:t>201</w:t>
      </w:r>
      <w:r w:rsidR="00DC0787">
        <w:t>3.</w:t>
      </w:r>
    </w:p>
    <w:p w:rsidR="00FF3B49" w:rsidRDefault="00C32918" w:rsidP="00BB5025">
      <w:r>
        <w:t>La</w:t>
      </w:r>
      <w:r w:rsidR="00FF3B49">
        <w:t xml:space="preserve">s </w:t>
      </w:r>
      <w:r w:rsidR="00FE351D">
        <w:t>Recomendaciones</w:t>
      </w:r>
      <w:r>
        <w:t xml:space="preserve"> aprobadas</w:t>
      </w:r>
      <w:r w:rsidR="00FF3B49">
        <w:t xml:space="preserve"> será</w:t>
      </w:r>
      <w:r>
        <w:t>n</w:t>
      </w:r>
      <w:r w:rsidR="00FF3B49">
        <w:t xml:space="preserve"> publicada</w:t>
      </w:r>
      <w:r>
        <w:t>s</w:t>
      </w:r>
      <w:r w:rsidR="00FF3B49">
        <w:t xml:space="preserve"> por la UIT, y en el Anexo 1 a </w:t>
      </w:r>
      <w:r>
        <w:t>la presente Circular figuran sus</w:t>
      </w:r>
      <w:r w:rsidR="00FF3B49">
        <w:t xml:space="preserve"> título</w:t>
      </w:r>
      <w:r>
        <w:t>s</w:t>
      </w:r>
      <w:r w:rsidR="00FF3B49">
        <w:t>, con su</w:t>
      </w:r>
      <w:r>
        <w:t>s</w:t>
      </w:r>
      <w:r w:rsidR="00FF3B49">
        <w:t xml:space="preserve"> número</w:t>
      </w:r>
      <w:r>
        <w:t>s asignado</w:t>
      </w:r>
      <w:r w:rsidR="00FF3B49">
        <w:t>s.</w:t>
      </w:r>
      <w:r w:rsidR="00FF3B49" w:rsidRPr="00735A93">
        <w:t xml:space="preserve"> </w:t>
      </w:r>
      <w:r>
        <w:t xml:space="preserve">En el Anexo 2 se facilita la </w:t>
      </w:r>
      <w:r w:rsidR="00BB5025">
        <w:t>Cuestión</w:t>
      </w:r>
      <w:r>
        <w:t xml:space="preserve"> UIT-R suprimida</w:t>
      </w:r>
      <w:r w:rsidR="00FF3B49">
        <w:t>.</w:t>
      </w:r>
    </w:p>
    <w:p w:rsidR="00FF3B49" w:rsidRPr="003F704F" w:rsidRDefault="00FF3B49" w:rsidP="00EE3CD6">
      <w:pPr>
        <w:pStyle w:val="BodyTextIndent2"/>
        <w:spacing w:before="800"/>
        <w:rPr>
          <w:lang w:val="es-ES_tradnl"/>
        </w:rPr>
      </w:pPr>
      <w:r w:rsidRPr="003F704F">
        <w:rPr>
          <w:lang w:val="es-ES_tradnl"/>
        </w:rPr>
        <w:t>François Rancy</w:t>
      </w:r>
      <w:r w:rsidRPr="003F704F">
        <w:rPr>
          <w:lang w:val="es-ES_tradnl"/>
        </w:rPr>
        <w:br/>
        <w:t>Director de la Oficina de Radiocomunicaciones</w:t>
      </w:r>
    </w:p>
    <w:p w:rsidR="00FF3B49" w:rsidRPr="003F704F" w:rsidRDefault="00FF3B49" w:rsidP="002B2021">
      <w:pPr>
        <w:tabs>
          <w:tab w:val="left" w:pos="4820"/>
        </w:tabs>
        <w:spacing w:before="0"/>
        <w:rPr>
          <w:bCs/>
        </w:rPr>
      </w:pPr>
      <w:r w:rsidRPr="003F704F">
        <w:rPr>
          <w:b/>
        </w:rPr>
        <w:t>Anexos</w:t>
      </w:r>
      <w:r w:rsidR="00C32918">
        <w:rPr>
          <w:bCs/>
        </w:rPr>
        <w:t>: 2</w:t>
      </w:r>
    </w:p>
    <w:p w:rsidR="00FF3B49" w:rsidRPr="003F704F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3F704F">
        <w:rPr>
          <w:b/>
          <w:bCs/>
          <w:sz w:val="18"/>
          <w:szCs w:val="18"/>
        </w:rPr>
        <w:t>Distribución:</w:t>
      </w:r>
    </w:p>
    <w:p w:rsidR="00FF3B49" w:rsidRPr="003F704F" w:rsidRDefault="00FF3B49" w:rsidP="00C32918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C32918">
        <w:rPr>
          <w:sz w:val="18"/>
          <w:szCs w:val="18"/>
        </w:rPr>
        <w:t>5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 w:rsidP="00C32918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Asociados del UIT-R que participan en los trabajos de la Comisión de Estudio </w:t>
      </w:r>
      <w:r w:rsidR="00C32918">
        <w:rPr>
          <w:sz w:val="18"/>
          <w:szCs w:val="18"/>
        </w:rPr>
        <w:t>5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</w:r>
      <w:r w:rsidR="008562CC">
        <w:rPr>
          <w:sz w:val="18"/>
          <w:szCs w:val="18"/>
        </w:rPr>
        <w:t xml:space="preserve">Sectores </w:t>
      </w:r>
      <w:r w:rsidRPr="003F704F">
        <w:rPr>
          <w:sz w:val="18"/>
          <w:szCs w:val="18"/>
        </w:rPr>
        <w:t>académic</w:t>
      </w:r>
      <w:r w:rsidR="008562CC">
        <w:rPr>
          <w:sz w:val="18"/>
          <w:szCs w:val="18"/>
        </w:rPr>
        <w:t>o</w:t>
      </w:r>
      <w:r w:rsidRPr="003F704F">
        <w:rPr>
          <w:sz w:val="18"/>
          <w:szCs w:val="18"/>
        </w:rPr>
        <w:t>s del UIT-R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 y Vicepresidentes de la Reunión Preparatoria de la Conferencia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Miembros de la Junta del Reglamento de Radiocomunicaciones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F3B49" w:rsidRDefault="00FF3B49" w:rsidP="00D6024B">
      <w:pPr>
        <w:pStyle w:val="AnnexNotitle"/>
      </w:pPr>
      <w:r>
        <w:br w:type="page"/>
      </w:r>
      <w:r>
        <w:lastRenderedPageBreak/>
        <w:t>Anexo 1</w:t>
      </w:r>
      <w:r w:rsidR="00D6024B">
        <w:br/>
      </w:r>
      <w:r w:rsidR="00D6024B">
        <w:br/>
        <w:t>Título</w:t>
      </w:r>
      <w:r>
        <w:t xml:space="preserve">s de las </w:t>
      </w:r>
      <w:r w:rsidR="00FE351D">
        <w:t>Recomendaciones</w:t>
      </w:r>
      <w:r>
        <w:t xml:space="preserve"> aprobadas</w:t>
      </w:r>
    </w:p>
    <w:p w:rsidR="00C32918" w:rsidRPr="009B1139" w:rsidRDefault="00C32918" w:rsidP="00C32918">
      <w:pPr>
        <w:tabs>
          <w:tab w:val="right" w:pos="9639"/>
        </w:tabs>
        <w:spacing w:before="360"/>
      </w:pPr>
      <w:r w:rsidRPr="009B1139">
        <w:rPr>
          <w:u w:val="single"/>
        </w:rPr>
        <w:t>Recomendación UIT-R M.</w:t>
      </w:r>
      <w:r w:rsidR="009A4DDD">
        <w:rPr>
          <w:u w:val="single"/>
        </w:rPr>
        <w:t>2034</w:t>
      </w:r>
      <w:r w:rsidRPr="009B1139">
        <w:tab/>
        <w:t>Doc. 5/22(Rev.1)</w:t>
      </w:r>
    </w:p>
    <w:p w:rsidR="00C32918" w:rsidRPr="009B1139" w:rsidRDefault="00C32918" w:rsidP="00C32918">
      <w:pPr>
        <w:pStyle w:val="Rectitle"/>
        <w:rPr>
          <w:rFonts w:eastAsia="MS Mincho"/>
        </w:rPr>
      </w:pPr>
      <w:r w:rsidRPr="009B1139">
        <w:t>Alfabeto telegráfico para comunicaciones de datos mediante</w:t>
      </w:r>
      <w:r w:rsidRPr="009B1139">
        <w:br/>
        <w:t>modulación por desplazamiento de fase a 31 baudios en los</w:t>
      </w:r>
      <w:r w:rsidRPr="009B1139">
        <w:br/>
        <w:t>servicios de aficionados y de aficionados por satélite</w:t>
      </w:r>
    </w:p>
    <w:p w:rsidR="00C32918" w:rsidRPr="007F43D6" w:rsidRDefault="00C32918" w:rsidP="00911491">
      <w:pPr>
        <w:spacing w:before="0"/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M.1463-</w:t>
      </w:r>
      <w:r w:rsidR="009A4DDD">
        <w:rPr>
          <w:u w:val="single"/>
        </w:rPr>
        <w:t>2</w:t>
      </w:r>
      <w:r w:rsidRPr="009B1139">
        <w:tab/>
        <w:t>Doc. 5/18(Rev.2)</w:t>
      </w:r>
    </w:p>
    <w:p w:rsidR="00C32918" w:rsidRPr="009B1139" w:rsidRDefault="00C32918" w:rsidP="00C32918">
      <w:pPr>
        <w:pStyle w:val="Rectitle"/>
      </w:pPr>
      <w:r w:rsidRPr="009B1139">
        <w:t>Características y criterios de protección para los radares que funcionan en el servicio de radiodeterminación en la banda de frecuencias 1</w:t>
      </w:r>
      <w:r w:rsidRPr="009B1139">
        <w:rPr>
          <w:rFonts w:ascii="Tms Rmn" w:hAnsi="Tms Rmn"/>
        </w:rPr>
        <w:t> </w:t>
      </w:r>
      <w:r w:rsidRPr="009B1139">
        <w:t>215-1</w:t>
      </w:r>
      <w:r w:rsidRPr="009B1139">
        <w:rPr>
          <w:rFonts w:ascii="Tms Rmn" w:hAnsi="Tms Rmn"/>
        </w:rPr>
        <w:t> </w:t>
      </w:r>
      <w:r w:rsidRPr="009B1139">
        <w:t>400 MHz</w:t>
      </w:r>
    </w:p>
    <w:p w:rsidR="00C32918" w:rsidRPr="009B1139" w:rsidRDefault="00C32918" w:rsidP="00911491">
      <w:pPr>
        <w:spacing w:before="0"/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M.1176</w:t>
      </w:r>
      <w:r w:rsidR="009A4DDD">
        <w:rPr>
          <w:u w:val="single"/>
        </w:rPr>
        <w:t>-1</w:t>
      </w:r>
      <w:r w:rsidRPr="009B1139">
        <w:tab/>
        <w:t>Doc. 5/19(Rev.1)</w:t>
      </w:r>
    </w:p>
    <w:p w:rsidR="00C32918" w:rsidRDefault="00C32918" w:rsidP="009A4DDD">
      <w:pPr>
        <w:pStyle w:val="Rectitle"/>
      </w:pPr>
      <w:r w:rsidRPr="009B1139">
        <w:t>Parámetros técnicos de</w:t>
      </w:r>
      <w:r>
        <w:t xml:space="preserve"> </w:t>
      </w:r>
      <w:r w:rsidRPr="009B1139">
        <w:t>los dispositivos de mejora de los blancos radar</w:t>
      </w:r>
    </w:p>
    <w:p w:rsidR="00C32918" w:rsidRPr="009B1139" w:rsidRDefault="00C32918" w:rsidP="00911491">
      <w:pPr>
        <w:spacing w:before="0"/>
      </w:pPr>
    </w:p>
    <w:p w:rsidR="00C32918" w:rsidRPr="002C4AF8" w:rsidRDefault="00C32918" w:rsidP="00D6024B">
      <w:pPr>
        <w:tabs>
          <w:tab w:val="right" w:pos="9639"/>
        </w:tabs>
        <w:rPr>
          <w:u w:val="single"/>
        </w:rPr>
      </w:pPr>
      <w:r w:rsidRPr="009B1139">
        <w:rPr>
          <w:u w:val="single"/>
        </w:rPr>
        <w:t>Recomendación UIT-R M.1841</w:t>
      </w:r>
      <w:r w:rsidR="009A4DDD">
        <w:rPr>
          <w:u w:val="single"/>
        </w:rPr>
        <w:t>-1</w:t>
      </w:r>
      <w:r w:rsidRPr="002C4AF8">
        <w:tab/>
        <w:t>Doc. 5/20(Rev.1)</w:t>
      </w:r>
    </w:p>
    <w:p w:rsidR="00911491" w:rsidRPr="00BB5025" w:rsidRDefault="004D11A0" w:rsidP="004D11A0">
      <w:pPr>
        <w:pStyle w:val="Rectitle"/>
      </w:pPr>
      <w:r w:rsidRPr="00BB5025">
        <w:t>Compatibilidad entre los sistemas de radiodifusión sonora con modulación de frecuencia en la banda de frecuencias de aproximadamente 87-108 MHz y el sistema aeronáutico de aumento basado en tierra en la banda de frecuencias de aproximadamente 108-117,975 MHz</w:t>
      </w:r>
    </w:p>
    <w:p w:rsidR="00911491" w:rsidRPr="00BB5025" w:rsidRDefault="00911491" w:rsidP="00911491">
      <w:pPr>
        <w:tabs>
          <w:tab w:val="right" w:pos="9639"/>
        </w:tabs>
        <w:spacing w:before="0"/>
        <w:rPr>
          <w:u w:val="single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F.386-</w:t>
      </w:r>
      <w:r w:rsidR="009A4DDD">
        <w:rPr>
          <w:u w:val="single"/>
        </w:rPr>
        <w:t>9</w:t>
      </w:r>
      <w:r w:rsidRPr="009B1139">
        <w:tab/>
        <w:t>Doc. 5/25(Rev.1)</w:t>
      </w:r>
    </w:p>
    <w:p w:rsidR="00C32918" w:rsidRPr="009B1139" w:rsidRDefault="00C32918" w:rsidP="00C32918">
      <w:pPr>
        <w:pStyle w:val="Rectitle"/>
      </w:pPr>
      <w:r w:rsidRPr="009B1139">
        <w:t>Disposición de radiocanales para sistemas inalámbricos fijos que</w:t>
      </w:r>
      <w:r w:rsidRPr="009B1139">
        <w:br/>
        <w:t>funcionan en la banda de 8 GHz (7 725 a 8 500 MHz)</w:t>
      </w:r>
    </w:p>
    <w:p w:rsidR="00C32918" w:rsidRDefault="00C32918" w:rsidP="00C32918"/>
    <w:p w:rsidR="00C32918" w:rsidRPr="009B1139" w:rsidRDefault="00C32918" w:rsidP="00911491">
      <w:pPr>
        <w:tabs>
          <w:tab w:val="right" w:pos="9639"/>
        </w:tabs>
        <w:spacing w:before="0"/>
      </w:pPr>
      <w:r w:rsidRPr="009B1139">
        <w:rPr>
          <w:u w:val="single"/>
        </w:rPr>
        <w:t>Recomendación UIT-R F.635-</w:t>
      </w:r>
      <w:r w:rsidR="009A4DDD">
        <w:rPr>
          <w:u w:val="single"/>
        </w:rPr>
        <w:t>7</w:t>
      </w:r>
      <w:r w:rsidRPr="009B1139">
        <w:tab/>
        <w:t>Doc. 5/26(Rev.1)</w:t>
      </w:r>
    </w:p>
    <w:p w:rsidR="00C32918" w:rsidRPr="00BB5025" w:rsidRDefault="00610748" w:rsidP="00610748">
      <w:pPr>
        <w:pStyle w:val="Rectitle"/>
      </w:pPr>
      <w:r w:rsidRPr="00BB5025">
        <w:t>Disposición de radiocanales basada en un plan homogéneo para sistemas de radioenlaces que funcionan en la banda de 4 GHz (3 400- 4 200 MHz)</w:t>
      </w:r>
    </w:p>
    <w:p w:rsidR="00D6024B" w:rsidRPr="00BB5025" w:rsidRDefault="00D6024B" w:rsidP="00D6024B">
      <w:pPr>
        <w:tabs>
          <w:tab w:val="right" w:pos="9639"/>
        </w:tabs>
        <w:rPr>
          <w:u w:val="single"/>
        </w:rPr>
      </w:pPr>
    </w:p>
    <w:p w:rsidR="00BB5025" w:rsidRPr="00BB5025" w:rsidRDefault="00BB50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B5025">
        <w:br w:type="page"/>
      </w: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lastRenderedPageBreak/>
        <w:t>Recomendación UIT-R F.1509-</w:t>
      </w:r>
      <w:r w:rsidR="009A4DDD">
        <w:rPr>
          <w:u w:val="single"/>
        </w:rPr>
        <w:t>2</w:t>
      </w:r>
      <w:r w:rsidRPr="009B1139">
        <w:tab/>
        <w:t>Doc. 5/27(Rev.1)</w:t>
      </w:r>
    </w:p>
    <w:p w:rsidR="00C32918" w:rsidRPr="009B1139" w:rsidRDefault="00C32918" w:rsidP="00C32918">
      <w:pPr>
        <w:pStyle w:val="Rectitle"/>
      </w:pPr>
      <w:bookmarkStart w:id="5" w:name="Pre_title"/>
      <w:r w:rsidRPr="009B1139">
        <w:t>Requisitos técnicos y de explotación que facilitan la compartición</w:t>
      </w:r>
      <w:r w:rsidRPr="009B1139">
        <w:br/>
        <w:t>entre los sistemas punto a multipunto del servicio fijo y el servicio</w:t>
      </w:r>
      <w:r w:rsidRPr="009B1139">
        <w:br/>
        <w:t>entre satélites en la banda 25,25-27,5 GHz</w:t>
      </w:r>
      <w:bookmarkEnd w:id="5"/>
    </w:p>
    <w:p w:rsidR="00911491" w:rsidRDefault="009114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F.1249-</w:t>
      </w:r>
      <w:r w:rsidR="009A4DDD">
        <w:rPr>
          <w:u w:val="single"/>
        </w:rPr>
        <w:t>3</w:t>
      </w:r>
      <w:r w:rsidRPr="009B1139">
        <w:tab/>
        <w:t>Doc. 5/28(Rev.1)</w:t>
      </w:r>
    </w:p>
    <w:p w:rsidR="00C32918" w:rsidRPr="009B1139" w:rsidRDefault="00C32918" w:rsidP="00C32918">
      <w:pPr>
        <w:pStyle w:val="Rectitle"/>
      </w:pPr>
      <w:r w:rsidRPr="009B1139">
        <w:t>Requisitos técnicos y de explotación que facilitan la compartición</w:t>
      </w:r>
      <w:r w:rsidRPr="009B1139">
        <w:br/>
        <w:t>entre los sistemas inalámbricos punto a punto del servicio fijo y</w:t>
      </w:r>
      <w:r w:rsidRPr="009B1139">
        <w:br/>
        <w:t>el servicio entre satélites en la banda 25,25-27,5 GHz</w:t>
      </w:r>
    </w:p>
    <w:p w:rsidR="00C32918" w:rsidRPr="009B1139" w:rsidRDefault="00C32918" w:rsidP="00911491">
      <w:pPr>
        <w:spacing w:before="0"/>
        <w:rPr>
          <w:lang w:eastAsia="ja-JP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F.1247-</w:t>
      </w:r>
      <w:r w:rsidR="009A4DDD">
        <w:rPr>
          <w:u w:val="single"/>
        </w:rPr>
        <w:t>3</w:t>
      </w:r>
      <w:r w:rsidRPr="009B1139">
        <w:tab/>
        <w:t>Doc. 5/29(Rev.1)</w:t>
      </w:r>
    </w:p>
    <w:p w:rsidR="00C32918" w:rsidRPr="009B1139" w:rsidRDefault="00C32918" w:rsidP="00C32918">
      <w:pPr>
        <w:pStyle w:val="Rectitle"/>
      </w:pPr>
      <w:r w:rsidRPr="009B1139">
        <w:t xml:space="preserve">Características técnicas y operacionales de los sistemas del servicio fijo para facilitar la compartición con los servicios de investigación espacial, </w:t>
      </w:r>
      <w:r>
        <w:br/>
      </w:r>
      <w:r w:rsidRPr="009B1139">
        <w:t xml:space="preserve">operaciones espaciales y exploración de la Tierra por satélite que </w:t>
      </w:r>
      <w:r>
        <w:br/>
      </w:r>
      <w:r w:rsidRPr="009B1139">
        <w:t>funcionan en las bandas 2 025-2 110 MHz y 2 200-2 290 MHz</w:t>
      </w:r>
    </w:p>
    <w:p w:rsidR="009A4DDD" w:rsidRDefault="009A4DDD" w:rsidP="00911491">
      <w:pPr>
        <w:tabs>
          <w:tab w:val="right" w:pos="9639"/>
        </w:tabs>
        <w:spacing w:before="0"/>
        <w:rPr>
          <w:lang w:eastAsia="ja-JP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F.1099-</w:t>
      </w:r>
      <w:r w:rsidR="009A4DDD">
        <w:rPr>
          <w:u w:val="single"/>
        </w:rPr>
        <w:t>5</w:t>
      </w:r>
      <w:r w:rsidRPr="009B1139">
        <w:tab/>
        <w:t>Doc. 5/33(Rev.1)</w:t>
      </w:r>
    </w:p>
    <w:p w:rsidR="00C32918" w:rsidRPr="009B1139" w:rsidRDefault="00C32918" w:rsidP="00C32918">
      <w:pPr>
        <w:pStyle w:val="Rectitle"/>
      </w:pPr>
      <w:r w:rsidRPr="009B1139">
        <w:t>Disposiciones de radiocanales para sistemas inalámbricos</w:t>
      </w:r>
      <w:r w:rsidRPr="009B1139">
        <w:br/>
        <w:t>fijos digitales de capacidad alta y media en la parte</w:t>
      </w:r>
      <w:r w:rsidRPr="009B1139">
        <w:br/>
        <w:t>superior de la banda de 4 GHz (4 400-5 000 MHz)</w:t>
      </w:r>
    </w:p>
    <w:p w:rsidR="00C32918" w:rsidRPr="009B1139" w:rsidRDefault="00C32918" w:rsidP="00911491">
      <w:pPr>
        <w:spacing w:before="0"/>
        <w:rPr>
          <w:lang w:eastAsia="ja-JP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F.383-</w:t>
      </w:r>
      <w:r w:rsidR="009A4DDD">
        <w:rPr>
          <w:u w:val="single"/>
        </w:rPr>
        <w:t>9</w:t>
      </w:r>
      <w:r w:rsidRPr="009B1139">
        <w:tab/>
        <w:t>Doc. 5/35(Rev.1)</w:t>
      </w:r>
    </w:p>
    <w:p w:rsidR="00C32918" w:rsidRPr="009B1139" w:rsidRDefault="00C32918" w:rsidP="00C32918">
      <w:pPr>
        <w:pStyle w:val="Rectitle"/>
      </w:pPr>
      <w:r w:rsidRPr="009B1139">
        <w:t xml:space="preserve">Disposición de radiocanales para sistemas inalámbricos fijos </w:t>
      </w:r>
      <w:r>
        <w:br/>
      </w:r>
      <w:r w:rsidRPr="009B1139">
        <w:t xml:space="preserve">de alta capacidad que funcionan en la parte inferior </w:t>
      </w:r>
      <w:r>
        <w:br/>
      </w:r>
      <w:r w:rsidRPr="009B1139">
        <w:t>de la banda de 6 GHz (5 925 a 6 425 MHz)</w:t>
      </w:r>
    </w:p>
    <w:p w:rsidR="00C32918" w:rsidRPr="004E288C" w:rsidRDefault="00C32918" w:rsidP="00911491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F.339-</w:t>
      </w:r>
      <w:r w:rsidR="009A4DDD">
        <w:rPr>
          <w:u w:val="single"/>
        </w:rPr>
        <w:t>8</w:t>
      </w:r>
      <w:r w:rsidRPr="009B1139">
        <w:tab/>
        <w:t>Doc. 5/37(Rev.1)</w:t>
      </w:r>
    </w:p>
    <w:p w:rsidR="00911491" w:rsidRPr="00BB5025" w:rsidRDefault="00610748" w:rsidP="00FE351D">
      <w:pPr>
        <w:keepNext/>
        <w:keepLines/>
        <w:spacing w:before="360"/>
        <w:jc w:val="center"/>
        <w:rPr>
          <w:b/>
          <w:sz w:val="28"/>
        </w:rPr>
      </w:pPr>
      <w:r w:rsidRPr="00BB5025">
        <w:rPr>
          <w:b/>
          <w:sz w:val="28"/>
        </w:rPr>
        <w:t>Anchuras de banda, relaciones señal/ruido y márgenes para el</w:t>
      </w:r>
      <w:r w:rsidR="00FE351D">
        <w:rPr>
          <w:b/>
          <w:sz w:val="28"/>
        </w:rPr>
        <w:br/>
      </w:r>
      <w:r w:rsidRPr="00BB5025">
        <w:rPr>
          <w:b/>
          <w:sz w:val="28"/>
        </w:rPr>
        <w:t xml:space="preserve">desvanecimiento en sistemas fijos de alta frecuencia </w:t>
      </w:r>
      <w:r w:rsidR="00E163E5" w:rsidRPr="00BB5025">
        <w:rPr>
          <w:b/>
          <w:sz w:val="28"/>
        </w:rPr>
        <w:t>y sistemas de radiocomunicaciones móviles terrestres</w:t>
      </w:r>
    </w:p>
    <w:p w:rsidR="00BB5025" w:rsidRPr="00BB5025" w:rsidRDefault="00BB50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B5025">
        <w:br w:type="page"/>
      </w: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lastRenderedPageBreak/>
        <w:t>Recomendación UIT-R M.1874</w:t>
      </w:r>
      <w:r w:rsidR="009A4DDD">
        <w:rPr>
          <w:u w:val="single"/>
        </w:rPr>
        <w:t>-1</w:t>
      </w:r>
      <w:r w:rsidRPr="009B1139">
        <w:tab/>
        <w:t>Doc. 5/38(Rev.1)</w:t>
      </w:r>
    </w:p>
    <w:p w:rsidR="00C32918" w:rsidRPr="009B1139" w:rsidRDefault="00C32918" w:rsidP="00C32918">
      <w:pPr>
        <w:pStyle w:val="Rectitle"/>
      </w:pPr>
      <w:r w:rsidRPr="009B1139">
        <w:t xml:space="preserve">Características técnicas y de funcionamiento de los radares oceanográficos </w:t>
      </w:r>
      <w:r>
        <w:br/>
      </w:r>
      <w:r w:rsidRPr="009B1139">
        <w:t>que funcionan en subbandas de la gama de frecuencias 3-50 MHz</w:t>
      </w:r>
    </w:p>
    <w:p w:rsidR="00D6024B" w:rsidRDefault="00D6024B" w:rsidP="00D6024B">
      <w:pPr>
        <w:tabs>
          <w:tab w:val="right" w:pos="9639"/>
        </w:tabs>
        <w:rPr>
          <w:u w:val="single"/>
        </w:rPr>
      </w:pPr>
    </w:p>
    <w:p w:rsidR="00C32918" w:rsidRPr="009B1139" w:rsidRDefault="00C32918" w:rsidP="00D6024B">
      <w:pPr>
        <w:tabs>
          <w:tab w:val="right" w:pos="9639"/>
        </w:tabs>
      </w:pPr>
      <w:r w:rsidRPr="009B1139">
        <w:rPr>
          <w:u w:val="single"/>
        </w:rPr>
        <w:t>Recomendación UIT-R M.1801-</w:t>
      </w:r>
      <w:r w:rsidR="009A4DDD">
        <w:rPr>
          <w:u w:val="single"/>
        </w:rPr>
        <w:t>2</w:t>
      </w:r>
      <w:r w:rsidRPr="009B1139">
        <w:tab/>
        <w:t>Doc. 5/40(Rev.2)</w:t>
      </w:r>
    </w:p>
    <w:p w:rsidR="00C32918" w:rsidRPr="009B1139" w:rsidRDefault="00C32918" w:rsidP="00C32918">
      <w:pPr>
        <w:pStyle w:val="Rectitle"/>
      </w:pPr>
      <w:r w:rsidRPr="009B1139">
        <w:t>Normas de interfaz radioeléctrica para sistemas de acceso inalámbrico</w:t>
      </w:r>
      <w:r w:rsidRPr="009B1139">
        <w:br/>
        <w:t>de banda ancha, incluidas aplicaciones móviles y nómadas en el</w:t>
      </w:r>
      <w:r w:rsidRPr="009B1139">
        <w:br/>
        <w:t>servicio móvil que funcionan por debajo de 6 GHz</w:t>
      </w:r>
    </w:p>
    <w:p w:rsidR="00C32918" w:rsidRDefault="00C32918" w:rsidP="00C32918"/>
    <w:p w:rsidR="00BB5025" w:rsidRDefault="00BB5025" w:rsidP="00C32918"/>
    <w:p w:rsidR="00BB5025" w:rsidRPr="000266B0" w:rsidRDefault="00BB5025" w:rsidP="00C32918"/>
    <w:p w:rsidR="00C32918" w:rsidRPr="00594B89" w:rsidRDefault="00C32918" w:rsidP="00E57126">
      <w:pPr>
        <w:pStyle w:val="AnnexNotitle"/>
        <w:spacing w:before="2400"/>
        <w:rPr>
          <w:b w:val="0"/>
          <w:bCs/>
          <w:szCs w:val="28"/>
        </w:rPr>
      </w:pPr>
      <w:r w:rsidRPr="00594B89">
        <w:t>Anexo 2</w:t>
      </w:r>
      <w:r w:rsidR="00BB5025">
        <w:br/>
      </w:r>
      <w:r w:rsidR="00BB5025">
        <w:br/>
      </w:r>
      <w:r>
        <w:rPr>
          <w:bCs/>
          <w:szCs w:val="28"/>
        </w:rPr>
        <w:t>Cuestión</w:t>
      </w:r>
      <w:r w:rsidR="006544CA">
        <w:rPr>
          <w:bCs/>
          <w:szCs w:val="28"/>
        </w:rPr>
        <w:t xml:space="preserve"> UIT-R </w:t>
      </w:r>
      <w:r w:rsidR="00FE351D">
        <w:rPr>
          <w:bCs/>
          <w:szCs w:val="28"/>
        </w:rPr>
        <w:t>suprimida</w:t>
      </w:r>
    </w:p>
    <w:p w:rsidR="00C32918" w:rsidRPr="000266B0" w:rsidRDefault="00C32918" w:rsidP="00C32918">
      <w:pPr>
        <w:tabs>
          <w:tab w:val="left" w:pos="8080"/>
        </w:tabs>
      </w:pPr>
    </w:p>
    <w:tbl>
      <w:tblPr>
        <w:tblW w:w="9661" w:type="dxa"/>
        <w:jc w:val="center"/>
        <w:tblInd w:w="-1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63"/>
        <w:gridCol w:w="7698"/>
      </w:tblGrid>
      <w:tr w:rsidR="00C32918" w:rsidRPr="00AA2D8C" w:rsidTr="009A4DDD">
        <w:trPr>
          <w:cantSplit/>
          <w:tblHeader/>
          <w:jc w:val="center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918" w:rsidRPr="00AA2D8C" w:rsidRDefault="00C32918" w:rsidP="009A4DDD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Cuestión</w:t>
            </w:r>
            <w:r w:rsidR="008A3888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AA2D8C">
              <w:rPr>
                <w:rFonts w:asciiTheme="majorBidi" w:hAnsiTheme="majorBidi" w:cstheme="majorBidi"/>
                <w:sz w:val="20"/>
              </w:rPr>
              <w:t>U</w:t>
            </w:r>
            <w:r>
              <w:rPr>
                <w:rFonts w:asciiTheme="majorBidi" w:hAnsiTheme="majorBidi" w:cstheme="majorBidi"/>
                <w:sz w:val="20"/>
              </w:rPr>
              <w:t>IT</w:t>
            </w:r>
            <w:r w:rsidRPr="00AA2D8C">
              <w:rPr>
                <w:rFonts w:asciiTheme="majorBidi" w:hAnsiTheme="majorBidi" w:cstheme="majorBidi"/>
                <w:sz w:val="20"/>
              </w:rPr>
              <w:t>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918" w:rsidRPr="00AA2D8C" w:rsidRDefault="00C32918" w:rsidP="00881C2E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Título</w:t>
            </w:r>
          </w:p>
        </w:tc>
      </w:tr>
      <w:tr w:rsidR="00C32918" w:rsidRPr="005667AC" w:rsidTr="009A4DDD">
        <w:trPr>
          <w:cantSplit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918" w:rsidRPr="00AA2D8C" w:rsidRDefault="00C32918" w:rsidP="00881C2E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245/5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918" w:rsidRPr="005667AC" w:rsidRDefault="00C32918" w:rsidP="00881C2E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5667AC">
              <w:rPr>
                <w:rFonts w:asciiTheme="majorBidi" w:hAnsiTheme="majorBidi" w:cstheme="majorBidi"/>
                <w:color w:val="000000"/>
                <w:sz w:val="20"/>
              </w:rPr>
              <w:t>Aplicaciones del servicio fijo que utilizan bandas de frecuencias por encima de 3 000 GHz</w:t>
            </w:r>
          </w:p>
        </w:tc>
      </w:tr>
    </w:tbl>
    <w:p w:rsidR="00C32918" w:rsidRPr="005667AC" w:rsidRDefault="00C32918" w:rsidP="00C32918"/>
    <w:p w:rsidR="00C32918" w:rsidRPr="005667AC" w:rsidRDefault="00C32918" w:rsidP="00C32918"/>
    <w:p w:rsidR="00BB5025" w:rsidRPr="00596808" w:rsidRDefault="00BB5025" w:rsidP="0032202E">
      <w:pPr>
        <w:pStyle w:val="Reasons"/>
        <w:rPr>
          <w:lang w:val="es-ES"/>
        </w:rPr>
      </w:pPr>
    </w:p>
    <w:p w:rsidR="00BB5025" w:rsidRDefault="00BB5025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9" w:rsidRDefault="00FF3B49">
      <w:r>
        <w:separator/>
      </w:r>
    </w:p>
  </w:endnote>
  <w:endnote w:type="continuationSeparator" w:id="0">
    <w:p w:rsidR="00FF3B49" w:rsidRDefault="00F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AC" w:rsidRDefault="00673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6F" w:rsidRPr="00BB5025" w:rsidRDefault="008A5A6F" w:rsidP="00370C70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Y:\APP\BR\CIRCS_DMS\CACE\600\606\606s.DOCX</w:t>
    </w:r>
    <w:r>
      <w:rPr>
        <w:lang w:val="en-US"/>
      </w:rPr>
      <w:fldChar w:fldCharType="end"/>
    </w:r>
    <w:r>
      <w:rPr>
        <w:lang w:val="en-US"/>
      </w:rPr>
      <w:tab/>
    </w:r>
    <w:r>
      <w:rPr>
        <w:lang w:val="en-US"/>
      </w:rPr>
      <w:tab/>
    </w:r>
    <w:r>
      <w:rPr>
        <w:lang w:val="fr-FR"/>
      </w:rPr>
      <w:t>1</w:t>
    </w:r>
    <w:r w:rsidR="00370C70">
      <w:rPr>
        <w:lang w:val="fr-FR"/>
      </w:rPr>
      <w:t>9</w:t>
    </w:r>
    <w:r>
      <w:rPr>
        <w:lang w:val="fr-FR"/>
      </w:rPr>
      <w:t>/02/2013</w:t>
    </w:r>
  </w:p>
  <w:p w:rsidR="00F96264" w:rsidRPr="008A5A6F" w:rsidRDefault="00F96264" w:rsidP="008A5A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BB5025" w:rsidRPr="0059680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5025" w:rsidRDefault="00BB502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B5025" w:rsidRDefault="00BB5025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B5025" w:rsidRDefault="00BB5025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5025" w:rsidRDefault="00BB502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B5025">
      <w:trPr>
        <w:cantSplit/>
      </w:trPr>
      <w:tc>
        <w:tcPr>
          <w:tcW w:w="1062" w:type="pct"/>
        </w:tcPr>
        <w:p w:rsidR="00BB5025" w:rsidRDefault="00BB5025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BB5025" w:rsidRDefault="00673AAC">
          <w:pPr>
            <w:pStyle w:val="itu"/>
          </w:pPr>
          <w:r>
            <w:t>Telefax</w:t>
          </w:r>
          <w:r>
            <w:tab/>
            <w:t>Gr3:</w:t>
          </w:r>
          <w:r>
            <w:tab/>
          </w:r>
          <w:r w:rsidR="00BB5025">
            <w:t>+41 22 733 72 56</w:t>
          </w:r>
        </w:p>
      </w:tc>
      <w:tc>
        <w:tcPr>
          <w:tcW w:w="1223" w:type="pct"/>
        </w:tcPr>
        <w:p w:rsidR="00BB5025" w:rsidRDefault="00BB5025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BB5025" w:rsidRDefault="00BB5025">
          <w:pPr>
            <w:pStyle w:val="itu"/>
          </w:pPr>
          <w:r>
            <w:tab/>
            <w:t>www.itu.int</w:t>
          </w:r>
        </w:p>
      </w:tc>
    </w:tr>
    <w:tr w:rsidR="00BB5025">
      <w:trPr>
        <w:cantSplit/>
      </w:trPr>
      <w:tc>
        <w:tcPr>
          <w:tcW w:w="1062" w:type="pct"/>
        </w:tcPr>
        <w:p w:rsidR="00BB5025" w:rsidRDefault="00BB5025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BB5025" w:rsidRDefault="00673AAC">
          <w:pPr>
            <w:pStyle w:val="itu"/>
          </w:pPr>
          <w:r>
            <w:tab/>
            <w:t>Gr4:</w:t>
          </w:r>
          <w:r>
            <w:tab/>
          </w:r>
          <w:r w:rsidR="00BB5025">
            <w:t>+41 22 730 65 00</w:t>
          </w:r>
        </w:p>
      </w:tc>
      <w:tc>
        <w:tcPr>
          <w:tcW w:w="1223" w:type="pct"/>
        </w:tcPr>
        <w:p w:rsidR="00BB5025" w:rsidRDefault="00BB5025">
          <w:pPr>
            <w:pStyle w:val="itu"/>
          </w:pPr>
        </w:p>
      </w:tc>
      <w:tc>
        <w:tcPr>
          <w:tcW w:w="1131" w:type="pct"/>
        </w:tcPr>
        <w:p w:rsidR="00BB5025" w:rsidRDefault="00BB5025">
          <w:pPr>
            <w:pStyle w:val="itu"/>
          </w:pPr>
        </w:p>
      </w:tc>
    </w:tr>
  </w:tbl>
  <w:p w:rsidR="00F96264" w:rsidRPr="00BB5025" w:rsidRDefault="00F96264" w:rsidP="00BB5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9" w:rsidRDefault="00FF3B49">
      <w:r>
        <w:t>____________________</w:t>
      </w:r>
    </w:p>
  </w:footnote>
  <w:footnote w:type="continuationSeparator" w:id="0">
    <w:p w:rsidR="00FF3B49" w:rsidRDefault="00FF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AC" w:rsidRDefault="00673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215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5025" w:rsidRDefault="009C1168">
        <w:pPr>
          <w:pStyle w:val="Header"/>
        </w:pPr>
        <w:r>
          <w:t xml:space="preserve">- </w:t>
        </w:r>
        <w:r w:rsidR="00BB5025">
          <w:fldChar w:fldCharType="begin"/>
        </w:r>
        <w:r w:rsidR="00BB5025">
          <w:instrText xml:space="preserve"> PAGE   \* MERGEFORMAT </w:instrText>
        </w:r>
        <w:r w:rsidR="00BB5025">
          <w:fldChar w:fldCharType="separate"/>
        </w:r>
        <w:r w:rsidR="00596808">
          <w:rPr>
            <w:noProof/>
          </w:rPr>
          <w:t>4</w:t>
        </w:r>
        <w:r w:rsidR="00BB5025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AC" w:rsidRDefault="00673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12515"/>
    <w:rsid w:val="00131358"/>
    <w:rsid w:val="00146CEF"/>
    <w:rsid w:val="001B3440"/>
    <w:rsid w:val="001E4442"/>
    <w:rsid w:val="00240010"/>
    <w:rsid w:val="002B2021"/>
    <w:rsid w:val="00370C70"/>
    <w:rsid w:val="0037172F"/>
    <w:rsid w:val="003F704F"/>
    <w:rsid w:val="004D11A0"/>
    <w:rsid w:val="00596808"/>
    <w:rsid w:val="005C68B5"/>
    <w:rsid w:val="00610748"/>
    <w:rsid w:val="00622598"/>
    <w:rsid w:val="006544CA"/>
    <w:rsid w:val="00655130"/>
    <w:rsid w:val="00673AAC"/>
    <w:rsid w:val="007D0716"/>
    <w:rsid w:val="008562CC"/>
    <w:rsid w:val="008A3888"/>
    <w:rsid w:val="008A5A6F"/>
    <w:rsid w:val="00911491"/>
    <w:rsid w:val="009A4DDD"/>
    <w:rsid w:val="009B33C7"/>
    <w:rsid w:val="009C1168"/>
    <w:rsid w:val="00AE07DC"/>
    <w:rsid w:val="00BB5025"/>
    <w:rsid w:val="00BD0273"/>
    <w:rsid w:val="00BD08F8"/>
    <w:rsid w:val="00BD5208"/>
    <w:rsid w:val="00C32918"/>
    <w:rsid w:val="00D04A11"/>
    <w:rsid w:val="00D30BEA"/>
    <w:rsid w:val="00D6024B"/>
    <w:rsid w:val="00DC0787"/>
    <w:rsid w:val="00DF0EBE"/>
    <w:rsid w:val="00E163E5"/>
    <w:rsid w:val="00E57126"/>
    <w:rsid w:val="00EE3CD6"/>
    <w:rsid w:val="00F13806"/>
    <w:rsid w:val="00F96264"/>
    <w:rsid w:val="00FC20ED"/>
    <w:rsid w:val="00FE351D"/>
    <w:rsid w:val="00FE361F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C32918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32918"/>
    <w:rPr>
      <w:rFonts w:ascii="Times New Roman" w:hAnsi="Times New Roman"/>
      <w:b/>
      <w:sz w:val="22"/>
      <w:lang w:val="es-ES_tradnl" w:eastAsia="en-US"/>
    </w:rPr>
  </w:style>
  <w:style w:type="character" w:customStyle="1" w:styleId="RectitleChar">
    <w:name w:val="Rec_title Char"/>
    <w:link w:val="Rectitle"/>
    <w:rsid w:val="00C32918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32918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C32918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32918"/>
    <w:rPr>
      <w:rFonts w:ascii="Times New Roman" w:hAnsi="Times New Roman"/>
      <w:b/>
      <w:sz w:val="22"/>
      <w:lang w:val="es-ES_tradnl" w:eastAsia="en-US"/>
    </w:rPr>
  </w:style>
  <w:style w:type="character" w:customStyle="1" w:styleId="RectitleChar">
    <w:name w:val="Rec_title Char"/>
    <w:link w:val="Rectitle"/>
    <w:rsid w:val="00C32918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3291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A03E-C299-4985-B78B-DC44D863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5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5551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Tello, Pepa</dc:creator>
  <cp:lastModifiedBy>jovet</cp:lastModifiedBy>
  <cp:revision>8</cp:revision>
  <cp:lastPrinted>2013-02-18T07:34:00Z</cp:lastPrinted>
  <dcterms:created xsi:type="dcterms:W3CDTF">2013-02-18T07:31:00Z</dcterms:created>
  <dcterms:modified xsi:type="dcterms:W3CDTF">2013-02-19T10:52:00Z</dcterms:modified>
</cp:coreProperties>
</file>