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987A0C">
        <w:trPr>
          <w:cantSplit/>
        </w:trPr>
        <w:tc>
          <w:tcPr>
            <w:tcW w:w="9889" w:type="dxa"/>
          </w:tcPr>
          <w:p w:rsidR="006E3FFE" w:rsidRPr="00987A0C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87A0C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987A0C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87A0C">
              <w:rPr>
                <w:b/>
                <w:sz w:val="18"/>
              </w:rPr>
              <w:tab/>
            </w:r>
            <w:r w:rsidR="006E3FFE" w:rsidRPr="00987A0C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987A0C" w:rsidTr="003561A4">
        <w:tc>
          <w:tcPr>
            <w:tcW w:w="8188" w:type="dxa"/>
            <w:vAlign w:val="center"/>
          </w:tcPr>
          <w:p w:rsidR="00E90A0C" w:rsidRPr="00987A0C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87A0C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987A0C" w:rsidRDefault="00E81F66" w:rsidP="008A6161">
            <w:pPr>
              <w:spacing w:before="0"/>
              <w:jc w:val="right"/>
            </w:pPr>
            <w:r w:rsidRPr="00987A0C"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987A0C" w:rsidRDefault="00B87E04" w:rsidP="001B4104">
      <w:pPr>
        <w:tabs>
          <w:tab w:val="left" w:pos="7513"/>
        </w:tabs>
        <w:spacing w:before="0"/>
      </w:pPr>
    </w:p>
    <w:p w:rsidR="0047623F" w:rsidRPr="00987A0C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987A0C" w:rsidTr="003561A4">
        <w:trPr>
          <w:cantSplit/>
        </w:trPr>
        <w:tc>
          <w:tcPr>
            <w:tcW w:w="3369" w:type="dxa"/>
          </w:tcPr>
          <w:p w:rsidR="0040235F" w:rsidRPr="00DD3A4F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DD3A4F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987A0C" w:rsidRDefault="00A613BB" w:rsidP="006A115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987A0C">
              <w:rPr>
                <w:b/>
                <w:bCs/>
                <w:szCs w:val="22"/>
              </w:rPr>
              <w:t>САСЕ/</w:t>
            </w:r>
            <w:r w:rsidR="00B42EE4">
              <w:rPr>
                <w:b/>
                <w:bCs/>
                <w:szCs w:val="22"/>
              </w:rPr>
              <w:t>604</w:t>
            </w:r>
          </w:p>
        </w:tc>
        <w:tc>
          <w:tcPr>
            <w:tcW w:w="6520" w:type="dxa"/>
          </w:tcPr>
          <w:p w:rsidR="00B87E04" w:rsidRPr="00987A0C" w:rsidRDefault="00B42EE4" w:rsidP="00B42EE4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8 февраля</w:t>
            </w:r>
            <w:r w:rsidR="004119B6" w:rsidRPr="00987A0C">
              <w:rPr>
                <w:szCs w:val="22"/>
              </w:rPr>
              <w:t xml:space="preserve"> 201</w:t>
            </w:r>
            <w:r>
              <w:rPr>
                <w:szCs w:val="22"/>
              </w:rPr>
              <w:t>3</w:t>
            </w:r>
            <w:r w:rsidR="004119B6" w:rsidRPr="00987A0C">
              <w:rPr>
                <w:szCs w:val="22"/>
              </w:rPr>
              <w:t xml:space="preserve"> года</w:t>
            </w:r>
          </w:p>
        </w:tc>
      </w:tr>
    </w:tbl>
    <w:p w:rsidR="006E3FFE" w:rsidRPr="007B20A7" w:rsidRDefault="006E3FFE" w:rsidP="00374667">
      <w:pPr>
        <w:pStyle w:val="Title4"/>
        <w:tabs>
          <w:tab w:val="left" w:pos="459"/>
        </w:tabs>
        <w:spacing w:before="600" w:after="600"/>
        <w:ind w:left="459" w:hanging="459"/>
      </w:pPr>
      <w:r w:rsidRPr="00987A0C">
        <w:t>Администрациям Государств – Членов МСЭ</w:t>
      </w:r>
      <w:r w:rsidR="007B20A7">
        <w:t>, Членам Сектора радиосвязи,</w:t>
      </w:r>
      <w:r w:rsidR="007B20A7">
        <w:br/>
        <w:t>Ассоциированным членам МСЭ-</w:t>
      </w:r>
      <w:r w:rsidR="007B20A7">
        <w:rPr>
          <w:lang w:val="en-US"/>
        </w:rPr>
        <w:t>R</w:t>
      </w:r>
      <w:r w:rsidR="007B20A7">
        <w:t>, принимающим участие в работе</w:t>
      </w:r>
      <w:r w:rsidR="007B20A7">
        <w:br/>
        <w:t>5-й Исследовательской комиссии, и Академическим организациям – Членам МСЭ-</w:t>
      </w:r>
      <w:r w:rsidR="007B20A7">
        <w:rPr>
          <w:lang w:val="en-US"/>
        </w:rPr>
        <w:t>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987A0C" w:rsidTr="003561A4">
        <w:tc>
          <w:tcPr>
            <w:tcW w:w="1526" w:type="dxa"/>
          </w:tcPr>
          <w:p w:rsidR="00A613BB" w:rsidRPr="00987A0C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987A0C">
              <w:rPr>
                <w:b/>
                <w:bCs/>
                <w:szCs w:val="22"/>
              </w:rPr>
              <w:t>Предмет</w:t>
            </w:r>
            <w:r w:rsidRPr="00987A0C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36513D" w:rsidRDefault="00B42EE4" w:rsidP="006A115D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36513D">
              <w:rPr>
                <w:b/>
                <w:szCs w:val="22"/>
              </w:rPr>
              <w:t>5</w:t>
            </w:r>
            <w:r w:rsidR="00577D20" w:rsidRPr="0036513D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36513D">
              <w:rPr>
                <w:b/>
                <w:szCs w:val="22"/>
              </w:rPr>
              <w:t xml:space="preserve"> </w:t>
            </w:r>
            <w:r w:rsidR="001E5B20" w:rsidRPr="0036513D">
              <w:rPr>
                <w:b/>
                <w:szCs w:val="22"/>
              </w:rPr>
              <w:t>(</w:t>
            </w:r>
            <w:r w:rsidRPr="0036513D">
              <w:rPr>
                <w:b/>
              </w:rPr>
              <w:t>Наземные службы</w:t>
            </w:r>
            <w:r w:rsidR="001E5B20" w:rsidRPr="0036513D">
              <w:rPr>
                <w:b/>
                <w:szCs w:val="22"/>
              </w:rPr>
              <w:t>)</w:t>
            </w:r>
          </w:p>
          <w:p w:rsidR="00DE6A27" w:rsidRPr="0036513D" w:rsidRDefault="00A613BB" w:rsidP="007B20A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36513D">
              <w:rPr>
                <w:b/>
                <w:szCs w:val="22"/>
              </w:rPr>
              <w:t>–</w:t>
            </w:r>
            <w:r w:rsidRPr="0036513D">
              <w:rPr>
                <w:b/>
                <w:szCs w:val="22"/>
              </w:rPr>
              <w:tab/>
            </w:r>
            <w:r w:rsidR="006A115D" w:rsidRPr="0036513D">
              <w:rPr>
                <w:b/>
              </w:rPr>
              <w:t xml:space="preserve">Предлагаемое </w:t>
            </w:r>
            <w:r w:rsidR="003737D2" w:rsidRPr="0036513D">
              <w:rPr>
                <w:b/>
              </w:rPr>
              <w:t>утверждение</w:t>
            </w:r>
            <w:r w:rsidR="006A115D" w:rsidRPr="0036513D">
              <w:rPr>
                <w:b/>
              </w:rPr>
              <w:t xml:space="preserve"> проект</w:t>
            </w:r>
            <w:r w:rsidR="00B067DE" w:rsidRPr="0036513D">
              <w:rPr>
                <w:b/>
              </w:rPr>
              <w:t>а</w:t>
            </w:r>
            <w:r w:rsidR="006A115D" w:rsidRPr="0036513D">
              <w:rPr>
                <w:b/>
              </w:rPr>
              <w:t xml:space="preserve"> </w:t>
            </w:r>
            <w:r w:rsidR="00B42EE4" w:rsidRPr="0036513D">
              <w:rPr>
                <w:b/>
              </w:rPr>
              <w:t>одной</w:t>
            </w:r>
            <w:r w:rsidR="006A115D" w:rsidRPr="0036513D">
              <w:rPr>
                <w:b/>
              </w:rPr>
              <w:t xml:space="preserve"> пересмотренн</w:t>
            </w:r>
            <w:r w:rsidR="0032684F" w:rsidRPr="0036513D">
              <w:rPr>
                <w:b/>
              </w:rPr>
              <w:t>ой</w:t>
            </w:r>
            <w:r w:rsidR="006A115D" w:rsidRPr="0036513D">
              <w:rPr>
                <w:b/>
              </w:rPr>
              <w:t xml:space="preserve"> Рекомендации</w:t>
            </w:r>
            <w:r w:rsidR="00B42EE4" w:rsidRPr="0036513D">
              <w:rPr>
                <w:b/>
              </w:rPr>
              <w:t xml:space="preserve"> МСЭ-</w:t>
            </w:r>
            <w:r w:rsidR="00B42EE4" w:rsidRPr="0036513D">
              <w:rPr>
                <w:b/>
                <w:lang w:val="en-US"/>
              </w:rPr>
              <w:t>R</w:t>
            </w:r>
          </w:p>
        </w:tc>
      </w:tr>
    </w:tbl>
    <w:p w:rsidR="006A115D" w:rsidRPr="00987A0C" w:rsidRDefault="00B067DE" w:rsidP="00374667">
      <w:pPr>
        <w:spacing w:before="360"/>
      </w:pPr>
      <w:bookmarkStart w:id="3" w:name="dtitle1"/>
      <w:bookmarkEnd w:id="3"/>
      <w:r w:rsidRPr="00987A0C">
        <w:t xml:space="preserve">На собрании </w:t>
      </w:r>
      <w:r w:rsidR="00B42EE4">
        <w:t>5</w:t>
      </w:r>
      <w:r w:rsidRPr="00987A0C">
        <w:t xml:space="preserve">-й Исследовательской комиссии по радиосвязи, проходившем </w:t>
      </w:r>
      <w:r w:rsidR="00B42EE4">
        <w:t>19 ноября</w:t>
      </w:r>
      <w:r w:rsidRPr="00987A0C">
        <w:t xml:space="preserve"> 2012 года, Исследовательская комиссия решила добиваться </w:t>
      </w:r>
      <w:r w:rsidR="005D00E5" w:rsidRPr="00987A0C">
        <w:t>одобр</w:t>
      </w:r>
      <w:r w:rsidR="0032684F" w:rsidRPr="00987A0C">
        <w:t>ения</w:t>
      </w:r>
      <w:r w:rsidRPr="00987A0C">
        <w:t xml:space="preserve"> проекта </w:t>
      </w:r>
      <w:r w:rsidR="00B42EE4">
        <w:t>одной</w:t>
      </w:r>
      <w:r w:rsidRPr="00987A0C">
        <w:t xml:space="preserve"> </w:t>
      </w:r>
      <w:r w:rsidRPr="00B42EE4">
        <w:rPr>
          <w:spacing w:val="-2"/>
        </w:rPr>
        <w:t>пересмотренной Рекомендаци</w:t>
      </w:r>
      <w:r w:rsidR="007D72E7" w:rsidRPr="00B42EE4">
        <w:rPr>
          <w:spacing w:val="-2"/>
        </w:rPr>
        <w:t>и</w:t>
      </w:r>
      <w:r w:rsidR="00B42EE4" w:rsidRPr="00B42EE4">
        <w:rPr>
          <w:spacing w:val="-2"/>
        </w:rPr>
        <w:t xml:space="preserve"> МСЭ-</w:t>
      </w:r>
      <w:r w:rsidR="00B42EE4" w:rsidRPr="00B42EE4">
        <w:rPr>
          <w:spacing w:val="-2"/>
          <w:lang w:val="en-US"/>
        </w:rPr>
        <w:t>R</w:t>
      </w:r>
      <w:r w:rsidRPr="00B42EE4">
        <w:rPr>
          <w:spacing w:val="-2"/>
        </w:rPr>
        <w:t xml:space="preserve"> по переписке</w:t>
      </w:r>
      <w:r w:rsidR="003737D2" w:rsidRPr="00B42EE4">
        <w:rPr>
          <w:spacing w:val="-2"/>
        </w:rPr>
        <w:t xml:space="preserve"> в соответствии с </w:t>
      </w:r>
      <w:r w:rsidRPr="00B42EE4">
        <w:rPr>
          <w:spacing w:val="-2"/>
        </w:rPr>
        <w:t>п. 10.2.3 Резолюции МСЭ</w:t>
      </w:r>
      <w:r w:rsidR="007D72E7" w:rsidRPr="00B42EE4">
        <w:rPr>
          <w:spacing w:val="-2"/>
        </w:rPr>
        <w:noBreakHyphen/>
      </w:r>
      <w:r w:rsidRPr="00B42EE4">
        <w:rPr>
          <w:spacing w:val="-2"/>
        </w:rPr>
        <w:t>R 1-</w:t>
      </w:r>
      <w:r w:rsidR="00DD197E" w:rsidRPr="00B42EE4">
        <w:rPr>
          <w:spacing w:val="-2"/>
        </w:rPr>
        <w:t>6</w:t>
      </w:r>
      <w:r w:rsidR="00B42EE4">
        <w:t>.</w:t>
      </w:r>
    </w:p>
    <w:p w:rsidR="006F7041" w:rsidRPr="00987A0C" w:rsidRDefault="007D4438" w:rsidP="000543E4">
      <w:r w:rsidRPr="00987A0C">
        <w:t>Как отмечается в Административном циркуляре САСЕ/</w:t>
      </w:r>
      <w:r w:rsidR="00B42EE4">
        <w:t>595</w:t>
      </w:r>
      <w:r w:rsidRPr="00987A0C">
        <w:t xml:space="preserve"> от</w:t>
      </w:r>
      <w:r w:rsidR="006F7041" w:rsidRPr="00987A0C">
        <w:t xml:space="preserve"> </w:t>
      </w:r>
      <w:r w:rsidR="00B42EE4">
        <w:t>5 декабря</w:t>
      </w:r>
      <w:r w:rsidR="006F7041" w:rsidRPr="00987A0C">
        <w:t xml:space="preserve"> 2012 года, п</w:t>
      </w:r>
      <w:r w:rsidR="00DD197E" w:rsidRPr="00987A0C">
        <w:t>ериод</w:t>
      </w:r>
      <w:r w:rsidR="006F7041" w:rsidRPr="00987A0C">
        <w:t xml:space="preserve"> консультаций с целью </w:t>
      </w:r>
      <w:r w:rsidR="005D00E5" w:rsidRPr="00067EEB">
        <w:t>одобрен</w:t>
      </w:r>
      <w:r w:rsidR="00B42EE4">
        <w:t>ия этой</w:t>
      </w:r>
      <w:r w:rsidR="006F7041" w:rsidRPr="00987A0C">
        <w:t xml:space="preserve"> Рекомендации</w:t>
      </w:r>
      <w:r w:rsidR="00DD197E" w:rsidRPr="00987A0C">
        <w:t xml:space="preserve"> заверши</w:t>
      </w:r>
      <w:r w:rsidR="006F7041" w:rsidRPr="00987A0C">
        <w:t>л</w:t>
      </w:r>
      <w:r w:rsidR="00DD197E" w:rsidRPr="00987A0C">
        <w:t xml:space="preserve">ся </w:t>
      </w:r>
      <w:r w:rsidR="00B42EE4">
        <w:t>5 февраля</w:t>
      </w:r>
      <w:r w:rsidR="00DD197E" w:rsidRPr="00987A0C">
        <w:t xml:space="preserve"> 201</w:t>
      </w:r>
      <w:r w:rsidR="00B42EE4">
        <w:t>3</w:t>
      </w:r>
      <w:r w:rsidR="00DD197E" w:rsidRPr="00987A0C">
        <w:t xml:space="preserve"> года. </w:t>
      </w:r>
    </w:p>
    <w:p w:rsidR="003737D2" w:rsidRPr="00987A0C" w:rsidRDefault="00B42EE4" w:rsidP="00B42EE4">
      <w:pPr>
        <w:rPr>
          <w:szCs w:val="22"/>
        </w:rPr>
      </w:pPr>
      <w:r>
        <w:t xml:space="preserve">Теперь эта </w:t>
      </w:r>
      <w:r w:rsidR="003737D2" w:rsidRPr="00987A0C">
        <w:t xml:space="preserve">Рекомендация </w:t>
      </w:r>
      <w:r w:rsidR="005D00E5" w:rsidRPr="00987A0C">
        <w:t>одобрена</w:t>
      </w:r>
      <w:r w:rsidR="003737D2" w:rsidRPr="00987A0C">
        <w:t xml:space="preserve"> </w:t>
      </w:r>
      <w:r>
        <w:t>5</w:t>
      </w:r>
      <w:r w:rsidR="00067EEB">
        <w:t>-й</w:t>
      </w:r>
      <w:r w:rsidR="003737D2" w:rsidRPr="00987A0C">
        <w:t xml:space="preserve"> Исследовательской комиссией, и должна применяться процедура утверждения, предусмотренная в п. 10.4 Резолюции МСЭ</w:t>
      </w:r>
      <w:r w:rsidR="003737D2" w:rsidRPr="00987A0C">
        <w:noBreakHyphen/>
        <w:t>R 1-6.</w:t>
      </w:r>
    </w:p>
    <w:p w:rsidR="006A115D" w:rsidRPr="00987A0C" w:rsidRDefault="006F7041" w:rsidP="000543E4">
      <w:r w:rsidRPr="00987A0C">
        <w:t>Учитывая положения п. 10.4 Резолюции МСЭ-</w:t>
      </w:r>
      <w:r w:rsidRPr="00987A0C">
        <w:rPr>
          <w:lang w:bidi="ar-EG"/>
        </w:rPr>
        <w:t xml:space="preserve">R 1-6, Государствам-Членам предлагается </w:t>
      </w:r>
      <w:r w:rsidR="00BC3865" w:rsidRPr="00987A0C">
        <w:rPr>
          <w:lang w:bidi="ar-EG"/>
        </w:rPr>
        <w:t>про</w:t>
      </w:r>
      <w:r w:rsidRPr="00987A0C">
        <w:rPr>
          <w:lang w:bidi="ar-EG"/>
        </w:rPr>
        <w:t>информировать Секретариат (</w:t>
      </w:r>
      <w:hyperlink r:id="rId10" w:history="1">
        <w:r w:rsidRPr="00987A0C">
          <w:rPr>
            <w:rStyle w:val="Hyperlink"/>
            <w:szCs w:val="22"/>
            <w:lang w:bidi="ar-EG"/>
          </w:rPr>
          <w:t>brsgd@itu.int</w:t>
        </w:r>
      </w:hyperlink>
      <w:r w:rsidRPr="00987A0C">
        <w:rPr>
          <w:lang w:bidi="ar-EG"/>
        </w:rPr>
        <w:t xml:space="preserve">) до </w:t>
      </w:r>
      <w:r w:rsidR="007B20A7">
        <w:rPr>
          <w:u w:val="single"/>
          <w:lang w:bidi="ar-EG"/>
        </w:rPr>
        <w:t>8</w:t>
      </w:r>
      <w:r w:rsidR="00B42EE4">
        <w:rPr>
          <w:u w:val="single"/>
          <w:lang w:bidi="ar-EG"/>
        </w:rPr>
        <w:t xml:space="preserve"> апреля</w:t>
      </w:r>
      <w:r w:rsidRPr="00987A0C">
        <w:rPr>
          <w:u w:val="single"/>
          <w:lang w:bidi="ar-EG"/>
        </w:rPr>
        <w:t xml:space="preserve"> 201</w:t>
      </w:r>
      <w:r w:rsidR="00B42EE4">
        <w:rPr>
          <w:u w:val="single"/>
          <w:lang w:bidi="ar-EG"/>
        </w:rPr>
        <w:t>3</w:t>
      </w:r>
      <w:r w:rsidR="00067EEB" w:rsidRPr="00067EEB">
        <w:rPr>
          <w:lang w:bidi="ar-EG"/>
        </w:rPr>
        <w:t xml:space="preserve"> </w:t>
      </w:r>
      <w:r w:rsidRPr="00987A0C">
        <w:rPr>
          <w:lang w:bidi="ar-EG"/>
        </w:rPr>
        <w:t xml:space="preserve">года о том, </w:t>
      </w:r>
      <w:r w:rsidRPr="00987A0C">
        <w:rPr>
          <w:rFonts w:asciiTheme="majorBidi" w:hAnsiTheme="majorBidi" w:cstheme="majorBidi"/>
          <w:color w:val="000000"/>
        </w:rPr>
        <w:t>утверждают они или не утверждают изложенные выше предложения</w:t>
      </w:r>
      <w:r w:rsidR="006A115D" w:rsidRPr="00987A0C">
        <w:t xml:space="preserve">. </w:t>
      </w:r>
    </w:p>
    <w:p w:rsidR="006A115D" w:rsidRPr="00987A0C" w:rsidRDefault="008F1F12" w:rsidP="000543E4">
      <w:r w:rsidRPr="00987A0C">
        <w:t>Государству</w:t>
      </w:r>
      <w:r w:rsidR="00067EEB">
        <w:t>-</w:t>
      </w:r>
      <w:r w:rsidRPr="00987A0C">
        <w:t xml:space="preserve">Члену, возражающему против </w:t>
      </w:r>
      <w:r w:rsidR="003737D2" w:rsidRPr="00987A0C">
        <w:t>утверждения</w:t>
      </w:r>
      <w:r w:rsidRPr="00987A0C">
        <w:t xml:space="preserve"> проекта Рекомендации, предлагается проинформировать Директора и Председателя Исследовательской комиссии о причинах такого </w:t>
      </w:r>
      <w:r w:rsidR="003737D2" w:rsidRPr="00987A0C">
        <w:t>возражен</w:t>
      </w:r>
      <w:r w:rsidRPr="00987A0C">
        <w:t>ия</w:t>
      </w:r>
      <w:r w:rsidR="006A115D" w:rsidRPr="00987A0C">
        <w:t>.</w:t>
      </w:r>
    </w:p>
    <w:p w:rsidR="006A115D" w:rsidRPr="00987A0C" w:rsidRDefault="008F1F12" w:rsidP="000543E4">
      <w:r w:rsidRPr="00987A0C">
        <w:t>По</w:t>
      </w:r>
      <w:r w:rsidR="00B42FEE" w:rsidRPr="00987A0C">
        <w:t xml:space="preserve"> истечении</w:t>
      </w:r>
      <w:r w:rsidRPr="00987A0C">
        <w:t xml:space="preserve"> </w:t>
      </w:r>
      <w:r w:rsidR="00B42FEE" w:rsidRPr="00987A0C">
        <w:t>выше</w:t>
      </w:r>
      <w:r w:rsidRPr="00987A0C">
        <w:t xml:space="preserve">указанного предельного срока результаты </w:t>
      </w:r>
      <w:r w:rsidR="00BC3865" w:rsidRPr="00987A0C">
        <w:t>этих консультаций</w:t>
      </w:r>
      <w:r w:rsidRPr="00987A0C">
        <w:t xml:space="preserve"> будут объявлены в Административном циркуляре, а утвержденная Рекомендация</w:t>
      </w:r>
      <w:r w:rsidR="007B20A7">
        <w:t xml:space="preserve"> </w:t>
      </w:r>
      <w:r w:rsidRPr="00987A0C">
        <w:t>в кратчайшие сроки опубликована</w:t>
      </w:r>
      <w:r w:rsidR="006A115D" w:rsidRPr="00987A0C">
        <w:t xml:space="preserve"> (</w:t>
      </w:r>
      <w:r w:rsidRPr="00987A0C">
        <w:t>см.</w:t>
      </w:r>
      <w:r w:rsidR="007B20A7">
        <w:t> </w:t>
      </w:r>
      <w:hyperlink r:id="rId11" w:history="1">
        <w:r w:rsidR="006A115D" w:rsidRPr="00987A0C">
          <w:rPr>
            <w:color w:val="0000FF"/>
            <w:u w:val="single"/>
          </w:rPr>
          <w:t>http://www.itu.int/pub/R-REC</w:t>
        </w:r>
      </w:hyperlink>
      <w:r w:rsidR="006A115D" w:rsidRPr="00987A0C">
        <w:t xml:space="preserve">). </w:t>
      </w:r>
    </w:p>
    <w:p w:rsidR="00D42FB8" w:rsidRPr="00987A0C" w:rsidRDefault="006A115D" w:rsidP="000543E4">
      <w:r w:rsidRPr="00987A0C">
        <w:rPr>
          <w:sz w:val="24"/>
        </w:rPr>
        <w:br w:type="page"/>
      </w:r>
      <w:r w:rsidR="00D42FB8" w:rsidRPr="00987A0C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эту информацию в Секретариат, по возможности</w:t>
      </w:r>
      <w:r w:rsidR="00B42FEE" w:rsidRPr="00987A0C">
        <w:t>,</w:t>
      </w:r>
      <w:r w:rsidR="00D42FB8" w:rsidRPr="00987A0C">
        <w:t xml:space="preserve"> незамедлительно. Информация об общей патентной политике МСЭ-T/МСЭ-R/ИСО/МЭК </w:t>
      </w:r>
      <w:r w:rsidR="00B974AB" w:rsidRPr="00987A0C">
        <w:t>доступна</w:t>
      </w:r>
      <w:r w:rsidR="00D42FB8" w:rsidRPr="00987A0C">
        <w:t xml:space="preserve"> по адресу: </w:t>
      </w:r>
      <w:hyperlink r:id="rId12" w:history="1">
        <w:r w:rsidR="00D42FB8" w:rsidRPr="00987A0C">
          <w:rPr>
            <w:rStyle w:val="Hyperlink"/>
            <w:rFonts w:asciiTheme="majorBidi" w:hAnsiTheme="majorBidi" w:cstheme="majorBidi"/>
            <w:szCs w:val="22"/>
          </w:rPr>
          <w:t>http://www.itu.int/ITU</w:t>
        </w:r>
        <w:r w:rsidR="00D42FB8" w:rsidRPr="00987A0C">
          <w:rPr>
            <w:rStyle w:val="Hyperlink"/>
            <w:rFonts w:asciiTheme="majorBidi" w:hAnsiTheme="majorBidi" w:cstheme="majorBidi"/>
            <w:szCs w:val="22"/>
          </w:rPr>
          <w:noBreakHyphen/>
          <w:t>T/dbase/patent/patent-policy.html</w:t>
        </w:r>
      </w:hyperlink>
      <w:r w:rsidR="00D42FB8" w:rsidRPr="00987A0C">
        <w:t>.</w:t>
      </w:r>
    </w:p>
    <w:p w:rsidR="006A115D" w:rsidRPr="00987A0C" w:rsidRDefault="006A115D" w:rsidP="00AA4E4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987A0C">
        <w:rPr>
          <w:sz w:val="24"/>
          <w:szCs w:val="24"/>
        </w:rPr>
        <w:tab/>
      </w:r>
      <w:r w:rsidRPr="00987A0C">
        <w:rPr>
          <w:szCs w:val="22"/>
        </w:rPr>
        <w:t>Франсуа Ранси</w:t>
      </w:r>
    </w:p>
    <w:p w:rsidR="006A115D" w:rsidRPr="00987A0C" w:rsidRDefault="006A115D" w:rsidP="006A115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87A0C">
        <w:rPr>
          <w:sz w:val="24"/>
          <w:szCs w:val="24"/>
        </w:rPr>
        <w:tab/>
      </w:r>
      <w:r w:rsidRPr="00987A0C">
        <w:rPr>
          <w:szCs w:val="22"/>
        </w:rPr>
        <w:t>Директор Бюро радиосвязи</w:t>
      </w:r>
    </w:p>
    <w:p w:rsidR="00BC3865" w:rsidRPr="00987A0C" w:rsidRDefault="006A115D" w:rsidP="00B42EE4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szCs w:val="22"/>
        </w:rPr>
      </w:pPr>
      <w:r w:rsidRPr="00987A0C">
        <w:rPr>
          <w:b/>
          <w:bCs/>
          <w:szCs w:val="22"/>
        </w:rPr>
        <w:t>Приложение</w:t>
      </w:r>
      <w:r w:rsidRPr="00987A0C">
        <w:rPr>
          <w:szCs w:val="22"/>
        </w:rPr>
        <w:t>:</w:t>
      </w:r>
      <w:r w:rsidR="00987A0C" w:rsidRPr="00987A0C">
        <w:rPr>
          <w:szCs w:val="22"/>
        </w:rPr>
        <w:tab/>
        <w:t>−</w:t>
      </w:r>
      <w:r w:rsidR="00987A0C" w:rsidRPr="00987A0C">
        <w:rPr>
          <w:szCs w:val="22"/>
        </w:rPr>
        <w:tab/>
      </w:r>
      <w:r w:rsidRPr="00987A0C">
        <w:rPr>
          <w:szCs w:val="22"/>
        </w:rPr>
        <w:t>Название и краткое содержание проекта Рекомендации</w:t>
      </w:r>
      <w:r w:rsidR="00067EEB">
        <w:rPr>
          <w:szCs w:val="22"/>
        </w:rPr>
        <w:br/>
      </w:r>
      <w:r w:rsidR="00B42EE4">
        <w:rPr>
          <w:szCs w:val="22"/>
        </w:rPr>
        <w:t>Документ</w:t>
      </w:r>
      <w:r w:rsidR="00BC3865" w:rsidRPr="00987A0C">
        <w:rPr>
          <w:szCs w:val="22"/>
        </w:rPr>
        <w:t xml:space="preserve"> </w:t>
      </w:r>
      <w:r w:rsidR="00B42EE4" w:rsidRPr="00374667">
        <w:t>5/</w:t>
      </w:r>
      <w:r w:rsidR="00B42EE4">
        <w:rPr>
          <w:lang w:val="en-US"/>
        </w:rPr>
        <w:t>BL</w:t>
      </w:r>
      <w:r w:rsidR="00B42EE4" w:rsidRPr="00374667">
        <w:t>/5</w:t>
      </w:r>
    </w:p>
    <w:p w:rsidR="007C6F75" w:rsidRPr="00B42EE4" w:rsidRDefault="007B20A7" w:rsidP="007B20A7">
      <w:pPr>
        <w:spacing w:before="360"/>
        <w:rPr>
          <w:szCs w:val="22"/>
        </w:rPr>
      </w:pPr>
      <w:r>
        <w:rPr>
          <w:szCs w:val="22"/>
        </w:rPr>
        <w:t>Этот документ</w:t>
      </w:r>
      <w:r w:rsidR="00BC3865" w:rsidRPr="00B42EE4">
        <w:rPr>
          <w:szCs w:val="22"/>
        </w:rPr>
        <w:t xml:space="preserve"> </w:t>
      </w:r>
      <w:r w:rsidR="00B9578A" w:rsidRPr="00B42EE4">
        <w:rPr>
          <w:szCs w:val="22"/>
        </w:rPr>
        <w:t>доступ</w:t>
      </w:r>
      <w:r>
        <w:rPr>
          <w:szCs w:val="22"/>
        </w:rPr>
        <w:t>ен</w:t>
      </w:r>
      <w:r w:rsidR="00BC3865" w:rsidRPr="00B42EE4">
        <w:rPr>
          <w:szCs w:val="22"/>
        </w:rPr>
        <w:t xml:space="preserve"> в электронном формате по адресу</w:t>
      </w:r>
      <w:r w:rsidR="00BC3865" w:rsidRPr="00987A0C">
        <w:rPr>
          <w:szCs w:val="22"/>
        </w:rPr>
        <w:t>:</w:t>
      </w:r>
      <w:r w:rsidR="00B42EE4" w:rsidRPr="00B42EE4">
        <w:t xml:space="preserve"> </w:t>
      </w:r>
      <w:hyperlink r:id="rId13" w:history="1">
        <w:r w:rsidR="00B42EE4" w:rsidRPr="00611268">
          <w:rPr>
            <w:rStyle w:val="Hyperlink"/>
            <w:szCs w:val="24"/>
            <w:lang w:val="en-US"/>
          </w:rPr>
          <w:t>http</w:t>
        </w:r>
        <w:r w:rsidR="00B42EE4" w:rsidRPr="00374667">
          <w:rPr>
            <w:rStyle w:val="Hyperlink"/>
            <w:szCs w:val="24"/>
          </w:rPr>
          <w:t>://</w:t>
        </w:r>
        <w:r w:rsidR="00B42EE4" w:rsidRPr="00611268">
          <w:rPr>
            <w:rStyle w:val="Hyperlink"/>
            <w:szCs w:val="24"/>
            <w:lang w:val="en-US"/>
          </w:rPr>
          <w:t>www</w:t>
        </w:r>
        <w:r w:rsidR="00B42EE4" w:rsidRPr="00374667">
          <w:rPr>
            <w:rStyle w:val="Hyperlink"/>
            <w:szCs w:val="24"/>
          </w:rPr>
          <w:t>.</w:t>
        </w:r>
        <w:r w:rsidR="00B42EE4" w:rsidRPr="00611268">
          <w:rPr>
            <w:rStyle w:val="Hyperlink"/>
            <w:szCs w:val="24"/>
            <w:lang w:val="en-US"/>
          </w:rPr>
          <w:t>itu</w:t>
        </w:r>
        <w:r w:rsidR="00B42EE4" w:rsidRPr="00374667">
          <w:rPr>
            <w:rStyle w:val="Hyperlink"/>
            <w:szCs w:val="24"/>
          </w:rPr>
          <w:t>.</w:t>
        </w:r>
        <w:r w:rsidR="00B42EE4" w:rsidRPr="00611268">
          <w:rPr>
            <w:rStyle w:val="Hyperlink"/>
            <w:szCs w:val="24"/>
            <w:lang w:val="en-US"/>
          </w:rPr>
          <w:t>int</w:t>
        </w:r>
        <w:r w:rsidR="00B42EE4" w:rsidRPr="00374667">
          <w:rPr>
            <w:rStyle w:val="Hyperlink"/>
            <w:szCs w:val="24"/>
          </w:rPr>
          <w:t>/</w:t>
        </w:r>
        <w:r w:rsidR="00B42EE4" w:rsidRPr="00611268">
          <w:rPr>
            <w:rStyle w:val="Hyperlink"/>
            <w:szCs w:val="24"/>
            <w:lang w:val="en-US"/>
          </w:rPr>
          <w:t>rec</w:t>
        </w:r>
        <w:r w:rsidR="00B42EE4" w:rsidRPr="00374667">
          <w:rPr>
            <w:rStyle w:val="Hyperlink"/>
            <w:szCs w:val="24"/>
          </w:rPr>
          <w:t>/</w:t>
        </w:r>
        <w:r w:rsidR="00B42EE4" w:rsidRPr="00611268">
          <w:rPr>
            <w:rStyle w:val="Hyperlink"/>
            <w:szCs w:val="24"/>
            <w:lang w:val="en-US"/>
          </w:rPr>
          <w:t>R</w:t>
        </w:r>
        <w:r w:rsidR="00B42EE4" w:rsidRPr="00374667">
          <w:rPr>
            <w:rStyle w:val="Hyperlink"/>
            <w:szCs w:val="24"/>
          </w:rPr>
          <w:t>-</w:t>
        </w:r>
        <w:r w:rsidR="00B42EE4" w:rsidRPr="00611268">
          <w:rPr>
            <w:rStyle w:val="Hyperlink"/>
            <w:szCs w:val="24"/>
            <w:lang w:val="en-US"/>
          </w:rPr>
          <w:t>REC</w:t>
        </w:r>
        <w:r w:rsidR="00B42EE4" w:rsidRPr="00374667">
          <w:rPr>
            <w:rStyle w:val="Hyperlink"/>
            <w:szCs w:val="24"/>
          </w:rPr>
          <w:t>-</w:t>
        </w:r>
        <w:r w:rsidR="00B42EE4" w:rsidRPr="00611268">
          <w:rPr>
            <w:rStyle w:val="Hyperlink"/>
            <w:szCs w:val="24"/>
            <w:lang w:val="en-US"/>
          </w:rPr>
          <w:t>M</w:t>
        </w:r>
        <w:r w:rsidR="00B42EE4" w:rsidRPr="00374667">
          <w:rPr>
            <w:rStyle w:val="Hyperlink"/>
            <w:szCs w:val="24"/>
          </w:rPr>
          <w:t>/</w:t>
        </w:r>
        <w:r w:rsidR="00B42EE4" w:rsidRPr="00611268">
          <w:rPr>
            <w:rStyle w:val="Hyperlink"/>
            <w:szCs w:val="24"/>
            <w:lang w:val="en-US"/>
          </w:rPr>
          <w:t>en</w:t>
        </w:r>
      </w:hyperlink>
      <w:r w:rsidR="00B42EE4" w:rsidRPr="00B42EE4">
        <w:rPr>
          <w:rStyle w:val="Hyperlink"/>
          <w:color w:val="auto"/>
          <w:szCs w:val="24"/>
          <w:u w:val="none"/>
        </w:rPr>
        <w:t>.</w:t>
      </w:r>
    </w:p>
    <w:p w:rsidR="00F523F8" w:rsidRPr="00987A0C" w:rsidRDefault="00F523F8" w:rsidP="00987A0C">
      <w:pPr>
        <w:tabs>
          <w:tab w:val="left" w:pos="6237"/>
        </w:tabs>
        <w:spacing w:before="4800"/>
        <w:rPr>
          <w:sz w:val="20"/>
        </w:rPr>
      </w:pPr>
      <w:bookmarkStart w:id="4" w:name="ddistribution"/>
      <w:bookmarkEnd w:id="4"/>
      <w:r w:rsidRPr="0036513D">
        <w:rPr>
          <w:b/>
          <w:bCs/>
          <w:sz w:val="20"/>
        </w:rPr>
        <w:t>Рассылка:</w:t>
      </w:r>
    </w:p>
    <w:p w:rsidR="00F523F8" w:rsidRPr="00987A0C" w:rsidRDefault="00C934CA" w:rsidP="00B42EE4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>Админ</w:t>
      </w:r>
      <w:bookmarkStart w:id="5" w:name="_GoBack"/>
      <w:bookmarkEnd w:id="5"/>
      <w:r w:rsidRPr="00987A0C">
        <w:rPr>
          <w:sz w:val="20"/>
        </w:rPr>
        <w:t xml:space="preserve">истрациям Государств – </w:t>
      </w:r>
      <w:r w:rsidR="00F523F8" w:rsidRPr="00987A0C">
        <w:rPr>
          <w:sz w:val="20"/>
        </w:rPr>
        <w:t>Членов</w:t>
      </w:r>
      <w:r w:rsidRPr="00987A0C">
        <w:rPr>
          <w:sz w:val="20"/>
        </w:rPr>
        <w:t xml:space="preserve"> МСЭ</w:t>
      </w:r>
      <w:r w:rsidR="00F523F8" w:rsidRPr="00987A0C">
        <w:rPr>
          <w:sz w:val="20"/>
        </w:rPr>
        <w:t xml:space="preserve"> и Членам Сектора радиосвязи</w:t>
      </w:r>
      <w:r w:rsidR="00486BA0" w:rsidRPr="00987A0C">
        <w:rPr>
          <w:sz w:val="20"/>
        </w:rPr>
        <w:t>, участ</w:t>
      </w:r>
      <w:r w:rsidR="006A115D" w:rsidRPr="00987A0C">
        <w:rPr>
          <w:sz w:val="20"/>
        </w:rPr>
        <w:t>вующим</w:t>
      </w:r>
      <w:r w:rsidR="00486BA0" w:rsidRPr="00987A0C">
        <w:rPr>
          <w:sz w:val="20"/>
        </w:rPr>
        <w:t xml:space="preserve"> в работе </w:t>
      </w:r>
      <w:r w:rsidR="00B42EE4">
        <w:rPr>
          <w:sz w:val="20"/>
        </w:rPr>
        <w:t>5</w:t>
      </w:r>
      <w:r w:rsidR="00DD1B56" w:rsidRPr="00987A0C">
        <w:rPr>
          <w:sz w:val="20"/>
        </w:rPr>
        <w:noBreakHyphen/>
      </w:r>
      <w:r w:rsidR="00486BA0" w:rsidRPr="00987A0C">
        <w:rPr>
          <w:sz w:val="20"/>
        </w:rPr>
        <w:t>й</w:t>
      </w:r>
      <w:r w:rsidR="00DD1B56" w:rsidRPr="00987A0C">
        <w:rPr>
          <w:sz w:val="20"/>
        </w:rPr>
        <w:t> </w:t>
      </w:r>
      <w:r w:rsidR="00486BA0" w:rsidRPr="00987A0C">
        <w:rPr>
          <w:sz w:val="20"/>
        </w:rPr>
        <w:t>Исследовательской комиссии по радиосвязи</w:t>
      </w:r>
    </w:p>
    <w:p w:rsidR="00117157" w:rsidRPr="00987A0C" w:rsidRDefault="00117157" w:rsidP="00B42EE4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 xml:space="preserve">Ассоциированным членам МСЭ-R, </w:t>
      </w:r>
      <w:r w:rsidR="006A115D" w:rsidRPr="00987A0C">
        <w:rPr>
          <w:sz w:val="20"/>
        </w:rPr>
        <w:t xml:space="preserve">участвующим в работе </w:t>
      </w:r>
      <w:r w:rsidR="00B42EE4">
        <w:rPr>
          <w:sz w:val="20"/>
        </w:rPr>
        <w:t>5</w:t>
      </w:r>
      <w:r w:rsidR="006A115D" w:rsidRPr="00987A0C">
        <w:rPr>
          <w:sz w:val="20"/>
        </w:rPr>
        <w:t xml:space="preserve">-й </w:t>
      </w:r>
      <w:r w:rsidR="00EE067D" w:rsidRPr="00987A0C">
        <w:rPr>
          <w:sz w:val="20"/>
        </w:rPr>
        <w:t>Исследовательской комиссии по </w:t>
      </w:r>
      <w:r w:rsidRPr="00987A0C">
        <w:rPr>
          <w:sz w:val="20"/>
        </w:rPr>
        <w:t>радиосвязи</w:t>
      </w:r>
    </w:p>
    <w:p w:rsidR="00486BA0" w:rsidRPr="00987A0C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 xml:space="preserve">Академическим организациям – </w:t>
      </w:r>
      <w:r w:rsidR="00BB67EC" w:rsidRPr="00987A0C">
        <w:rPr>
          <w:sz w:val="20"/>
        </w:rPr>
        <w:t xml:space="preserve">Членам </w:t>
      </w:r>
      <w:r w:rsidRPr="00987A0C">
        <w:rPr>
          <w:sz w:val="20"/>
        </w:rPr>
        <w:t>МСЭ-R</w:t>
      </w:r>
    </w:p>
    <w:p w:rsidR="00F523F8" w:rsidRPr="00987A0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 xml:space="preserve">Председателям и заместителям председателей </w:t>
      </w:r>
      <w:r w:rsidR="00843C8E" w:rsidRPr="00987A0C">
        <w:rPr>
          <w:sz w:val="20"/>
        </w:rPr>
        <w:t xml:space="preserve">исследовательских </w:t>
      </w:r>
      <w:r w:rsidRPr="00987A0C">
        <w:rPr>
          <w:sz w:val="20"/>
        </w:rPr>
        <w:t>комиссий по радиосвязи и Специально</w:t>
      </w:r>
      <w:r w:rsidR="00B527F1" w:rsidRPr="00987A0C">
        <w:rPr>
          <w:sz w:val="20"/>
        </w:rPr>
        <w:t>го комитета по регламентарно-</w:t>
      </w:r>
      <w:r w:rsidRPr="00987A0C">
        <w:rPr>
          <w:sz w:val="20"/>
        </w:rPr>
        <w:t>процедурным вопросам</w:t>
      </w:r>
    </w:p>
    <w:p w:rsidR="00F523F8" w:rsidRPr="00987A0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 xml:space="preserve">Председателю и заместителям </w:t>
      </w:r>
      <w:r w:rsidR="00843C8E" w:rsidRPr="00987A0C">
        <w:rPr>
          <w:sz w:val="20"/>
        </w:rPr>
        <w:t xml:space="preserve">председателя </w:t>
      </w:r>
      <w:r w:rsidRPr="00987A0C">
        <w:rPr>
          <w:sz w:val="20"/>
        </w:rPr>
        <w:t>Подготовительного собрания к конференции</w:t>
      </w:r>
    </w:p>
    <w:p w:rsidR="00F523F8" w:rsidRPr="00987A0C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>Членам Радиорегламентарного комитета</w:t>
      </w:r>
    </w:p>
    <w:p w:rsidR="00D37409" w:rsidRPr="00987A0C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87A0C">
        <w:rPr>
          <w:sz w:val="20"/>
        </w:rPr>
        <w:t>–</w:t>
      </w:r>
      <w:r w:rsidRPr="00987A0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A115D" w:rsidRPr="00374667" w:rsidRDefault="00F523F8" w:rsidP="000543E4">
      <w:pPr>
        <w:pStyle w:val="Annex"/>
        <w:rPr>
          <w:lang w:val="ru-RU"/>
        </w:rPr>
      </w:pPr>
      <w:r w:rsidRPr="00374667">
        <w:rPr>
          <w:lang w:val="ru-RU"/>
        </w:rPr>
        <w:br w:type="page"/>
      </w:r>
      <w:r w:rsidR="00987A0C" w:rsidRPr="00374667">
        <w:rPr>
          <w:lang w:val="ru-RU"/>
        </w:rPr>
        <w:t>ПРИЛОЖЕНИЕ</w:t>
      </w:r>
    </w:p>
    <w:p w:rsidR="006A115D" w:rsidRPr="00B42EE4" w:rsidRDefault="006A115D" w:rsidP="00B42EE4">
      <w:pPr>
        <w:pStyle w:val="Annextitle0"/>
        <w:rPr>
          <w:rFonts w:ascii="Times New Roman" w:hAnsi="Times New Roman"/>
        </w:rPr>
      </w:pPr>
      <w:r w:rsidRPr="00B42EE4">
        <w:rPr>
          <w:rFonts w:ascii="Times New Roman" w:hAnsi="Times New Roman"/>
        </w:rPr>
        <w:t>Название и краткое содержание проекта Рекомендации</w:t>
      </w:r>
      <w:r w:rsidR="00C65CEB" w:rsidRPr="00B42EE4">
        <w:rPr>
          <w:rFonts w:ascii="Times New Roman" w:hAnsi="Times New Roman"/>
        </w:rPr>
        <w:t>,</w:t>
      </w:r>
      <w:r w:rsidR="00B42EE4" w:rsidRPr="00B42EE4">
        <w:rPr>
          <w:rFonts w:ascii="Times New Roman" w:hAnsi="Times New Roman"/>
        </w:rPr>
        <w:br/>
      </w:r>
      <w:r w:rsidR="00B9578A" w:rsidRPr="00B42EE4">
        <w:rPr>
          <w:rFonts w:ascii="Times New Roman" w:hAnsi="Times New Roman"/>
        </w:rPr>
        <w:t>одобренной</w:t>
      </w:r>
      <w:r w:rsidR="00C65CEB" w:rsidRPr="00B42EE4">
        <w:rPr>
          <w:rFonts w:ascii="Times New Roman" w:hAnsi="Times New Roman"/>
        </w:rPr>
        <w:t xml:space="preserve"> </w:t>
      </w:r>
      <w:r w:rsidR="00B42EE4" w:rsidRPr="00B42EE4">
        <w:rPr>
          <w:rFonts w:ascii="Times New Roman" w:hAnsi="Times New Roman"/>
        </w:rPr>
        <w:t>5</w:t>
      </w:r>
      <w:r w:rsidR="00987A0C" w:rsidRPr="00B42EE4">
        <w:rPr>
          <w:rFonts w:ascii="Times New Roman" w:hAnsi="Times New Roman"/>
        </w:rPr>
        <w:t>-й</w:t>
      </w:r>
      <w:r w:rsidR="00C65CEB" w:rsidRPr="00B42EE4">
        <w:rPr>
          <w:rFonts w:ascii="Times New Roman" w:hAnsi="Times New Roman"/>
        </w:rPr>
        <w:t xml:space="preserve"> Исследовательской комиссией по радиосвязи</w:t>
      </w:r>
    </w:p>
    <w:p w:rsidR="00C65CEB" w:rsidRPr="00987A0C" w:rsidRDefault="00C65CEB" w:rsidP="00B42EE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bidi="ar-EG"/>
        </w:rPr>
      </w:pPr>
      <w:r w:rsidRPr="00987A0C">
        <w:rPr>
          <w:u w:val="single"/>
        </w:rPr>
        <w:t xml:space="preserve">Проект </w:t>
      </w:r>
      <w:r w:rsidR="00B42EE4">
        <w:rPr>
          <w:u w:val="single"/>
        </w:rPr>
        <w:t>пересмотра</w:t>
      </w:r>
      <w:r w:rsidRPr="00987A0C">
        <w:rPr>
          <w:u w:val="single"/>
        </w:rPr>
        <w:t xml:space="preserve"> Рекомендации МСЭ-</w:t>
      </w:r>
      <w:r w:rsidRPr="00987A0C">
        <w:rPr>
          <w:u w:val="single"/>
          <w:lang w:bidi="ar-EG"/>
        </w:rPr>
        <w:t xml:space="preserve">R </w:t>
      </w:r>
      <w:r w:rsidR="00B42EE4">
        <w:rPr>
          <w:u w:val="single"/>
          <w:lang w:val="en-US" w:bidi="ar-EG"/>
        </w:rPr>
        <w:t>M</w:t>
      </w:r>
      <w:r w:rsidR="003737D2" w:rsidRPr="00987A0C">
        <w:rPr>
          <w:u w:val="single"/>
          <w:lang w:bidi="ar-EG"/>
        </w:rPr>
        <w:t>.</w:t>
      </w:r>
      <w:r w:rsidR="00B42EE4">
        <w:rPr>
          <w:u w:val="single"/>
          <w:lang w:bidi="ar-EG"/>
        </w:rPr>
        <w:t>1768</w:t>
      </w:r>
      <w:r w:rsidRPr="00987A0C">
        <w:rPr>
          <w:lang w:bidi="ar-EG"/>
        </w:rPr>
        <w:tab/>
        <w:t xml:space="preserve">Док. </w:t>
      </w:r>
      <w:r w:rsidR="00B42EE4">
        <w:rPr>
          <w:lang w:bidi="ar-EG"/>
        </w:rPr>
        <w:t>5</w:t>
      </w:r>
      <w:r w:rsidRPr="00987A0C">
        <w:rPr>
          <w:lang w:bidi="ar-EG"/>
        </w:rPr>
        <w:t>/BL/</w:t>
      </w:r>
      <w:r w:rsidR="00B42EE4">
        <w:rPr>
          <w:lang w:bidi="ar-EG"/>
        </w:rPr>
        <w:t>5</w:t>
      </w:r>
    </w:p>
    <w:p w:rsidR="00B42EE4" w:rsidRPr="00F22353" w:rsidRDefault="00B42EE4" w:rsidP="00B42EE4">
      <w:pPr>
        <w:pStyle w:val="Rectitle"/>
      </w:pPr>
      <w:r w:rsidRPr="00CA1038">
        <w:rPr>
          <w:lang w:eastAsia="zh-CN"/>
        </w:rPr>
        <w:t xml:space="preserve">Методика расчета потребностей в спектре для будущего развития </w:t>
      </w:r>
      <w:r w:rsidRPr="00CA1038">
        <w:rPr>
          <w:lang w:eastAsia="zh-CN"/>
        </w:rPr>
        <w:br/>
        <w:t>наземного сегмента IMT-2000 и последующих систем</w:t>
      </w:r>
    </w:p>
    <w:p w:rsidR="00B42EE4" w:rsidRPr="00D93041" w:rsidRDefault="00B42EE4" w:rsidP="00B42EE4">
      <w:pPr>
        <w:pStyle w:val="Normalaftertitle0"/>
        <w:rPr>
          <w:lang w:val="ru-RU"/>
        </w:rPr>
      </w:pPr>
      <w:r w:rsidRPr="00D93041">
        <w:rPr>
          <w:lang w:val="ru-RU"/>
        </w:rPr>
        <w:t>Настоящий пересмотр включает два изменения в самой методике, а также несколько редакционных обновлений. Изменения в методике предусматривают следующее:</w:t>
      </w:r>
    </w:p>
    <w:p w:rsidR="00B42EE4" w:rsidRDefault="00B42EE4" w:rsidP="007B20A7">
      <w:pPr>
        <w:pStyle w:val="enumlev1"/>
        <w:rPr>
          <w:sz w:val="20"/>
        </w:rPr>
      </w:pPr>
      <w:r w:rsidRPr="00F22353">
        <w:rPr>
          <w:sz w:val="20"/>
        </w:rPr>
        <w:t>–</w:t>
      </w:r>
      <w:r>
        <w:rPr>
          <w:sz w:val="20"/>
        </w:rPr>
        <w:tab/>
      </w:r>
      <w:r w:rsidRPr="006E4358">
        <w:t xml:space="preserve">Введение концепции </w:t>
      </w:r>
      <w:r>
        <w:t>ступенчатости</w:t>
      </w:r>
      <w:r w:rsidRPr="006E4358">
        <w:t xml:space="preserve"> задействованного </w:t>
      </w:r>
      <w:r>
        <w:t xml:space="preserve">спектра на </w:t>
      </w:r>
      <w:r w:rsidRPr="006E4358">
        <w:t>операт</w:t>
      </w:r>
      <w:r>
        <w:t>ора в</w:t>
      </w:r>
      <w:r w:rsidRPr="006E4358">
        <w:t xml:space="preserve"> радиосред</w:t>
      </w:r>
      <w:r>
        <w:t>е</w:t>
      </w:r>
      <w:r w:rsidRPr="006E4358">
        <w:t xml:space="preserve"> для лучш</w:t>
      </w:r>
      <w:r>
        <w:t>их</w:t>
      </w:r>
      <w:r w:rsidRPr="006E4358">
        <w:t xml:space="preserve"> приращени</w:t>
      </w:r>
      <w:r>
        <w:t>й</w:t>
      </w:r>
      <w:r w:rsidRPr="006E4358">
        <w:t>.</w:t>
      </w:r>
      <w:r>
        <w:rPr>
          <w:sz w:val="20"/>
        </w:rPr>
        <w:t xml:space="preserve"> </w:t>
      </w:r>
    </w:p>
    <w:p w:rsidR="00B42EE4" w:rsidRPr="006B7E83" w:rsidRDefault="00B42EE4" w:rsidP="007B20A7">
      <w:pPr>
        <w:pStyle w:val="enumlev1"/>
      </w:pPr>
      <w:r w:rsidRPr="006B7E83">
        <w:rPr>
          <w:sz w:val="20"/>
        </w:rPr>
        <w:t>–</w:t>
      </w:r>
      <w:r w:rsidRPr="006B7E83">
        <w:tab/>
      </w:r>
      <w:r>
        <w:t>В</w:t>
      </w:r>
      <w:r w:rsidRPr="006B7E83">
        <w:t xml:space="preserve"> </w:t>
      </w:r>
      <w:r>
        <w:t>связи</w:t>
      </w:r>
      <w:r w:rsidRPr="006B7E83">
        <w:t xml:space="preserve"> </w:t>
      </w:r>
      <w:r>
        <w:t>с</w:t>
      </w:r>
      <w:r w:rsidRPr="006B7E83">
        <w:t xml:space="preserve"> </w:t>
      </w:r>
      <w:r>
        <w:t>расширением</w:t>
      </w:r>
      <w:r w:rsidRPr="006B7E83">
        <w:t xml:space="preserve"> </w:t>
      </w:r>
      <w:r>
        <w:t>развертывания</w:t>
      </w:r>
      <w:r w:rsidRPr="006B7E83">
        <w:t xml:space="preserve"> </w:t>
      </w:r>
      <w:r>
        <w:t>сетей</w:t>
      </w:r>
      <w:r w:rsidRPr="006B7E83">
        <w:t xml:space="preserve"> </w:t>
      </w:r>
      <w:r>
        <w:t>в</w:t>
      </w:r>
      <w:r w:rsidRPr="006B7E83">
        <w:t xml:space="preserve"> </w:t>
      </w:r>
      <w:r>
        <w:t>рамках</w:t>
      </w:r>
      <w:r w:rsidRPr="006B7E83">
        <w:rPr>
          <w:rFonts w:hint="eastAsia"/>
        </w:rPr>
        <w:t xml:space="preserve"> </w:t>
      </w:r>
      <w:r w:rsidRPr="006B7E83">
        <w:rPr>
          <w:rFonts w:hint="eastAsia"/>
          <w:lang w:val="en-US"/>
        </w:rPr>
        <w:t>IMT</w:t>
      </w:r>
      <w:r w:rsidRPr="006B7E83">
        <w:rPr>
          <w:rFonts w:hint="eastAsia"/>
        </w:rPr>
        <w:t>-</w:t>
      </w:r>
      <w:r w:rsidRPr="006B7E83">
        <w:rPr>
          <w:rFonts w:hint="eastAsia"/>
          <w:lang w:val="en-US"/>
        </w:rPr>
        <w:t>Advanced</w:t>
      </w:r>
      <w:r w:rsidRPr="006B7E83">
        <w:t xml:space="preserve">, </w:t>
      </w:r>
      <w:r>
        <w:t>подход, основанный на совместном использовании спектра</w:t>
      </w:r>
      <w:r w:rsidR="007B20A7">
        <w:t xml:space="preserve"> в</w:t>
      </w:r>
      <w:r>
        <w:t xml:space="preserve"> различны</w:t>
      </w:r>
      <w:r w:rsidR="007B20A7">
        <w:t>х</w:t>
      </w:r>
      <w:r>
        <w:t xml:space="preserve"> радиосреда</w:t>
      </w:r>
      <w:r w:rsidR="007B20A7">
        <w:t>х</w:t>
      </w:r>
      <w:r>
        <w:t xml:space="preserve"> в системе</w:t>
      </w:r>
      <w:r w:rsidRPr="006B7E83">
        <w:t xml:space="preserve"> </w:t>
      </w:r>
      <w:r w:rsidRPr="006B7E83">
        <w:rPr>
          <w:rFonts w:hint="eastAsia"/>
          <w:lang w:val="en-US"/>
        </w:rPr>
        <w:t>IMT</w:t>
      </w:r>
      <w:r w:rsidRPr="006B7E83">
        <w:rPr>
          <w:rFonts w:hint="eastAsia"/>
        </w:rPr>
        <w:t>-</w:t>
      </w:r>
      <w:r w:rsidRPr="006B7E83">
        <w:rPr>
          <w:rFonts w:hint="eastAsia"/>
          <w:lang w:val="en-US"/>
        </w:rPr>
        <w:t>Advanced</w:t>
      </w:r>
      <w:r w:rsidRPr="006B7E83">
        <w:rPr>
          <w:rFonts w:hint="eastAsia"/>
        </w:rPr>
        <w:t xml:space="preserve"> (</w:t>
      </w:r>
      <w:r w:rsidRPr="006B7E83">
        <w:rPr>
          <w:rFonts w:hint="eastAsia"/>
          <w:lang w:val="en-US"/>
        </w:rPr>
        <w:t>RATG</w:t>
      </w:r>
      <w:r w:rsidRPr="006B7E83">
        <w:rPr>
          <w:rFonts w:hint="eastAsia"/>
        </w:rPr>
        <w:t xml:space="preserve"> 2)</w:t>
      </w:r>
      <w:r>
        <w:t>,</w:t>
      </w:r>
      <w:r w:rsidRPr="006B7E83">
        <w:rPr>
          <w:rFonts w:hint="eastAsia"/>
        </w:rPr>
        <w:t xml:space="preserve"> </w:t>
      </w:r>
      <w:r>
        <w:t>меняется, чтобы допустить использование одних и тех же радиочастот макросотами и микросотами</w:t>
      </w:r>
      <w:r w:rsidRPr="006B7E83">
        <w:t>.</w:t>
      </w:r>
      <w:r>
        <w:t xml:space="preserve"> Это изменение может повлиять на эффективность использования спектра, которую необходимо учитывать в значениях входных параметров.</w:t>
      </w:r>
    </w:p>
    <w:p w:rsidR="00AA4E43" w:rsidRPr="00987A0C" w:rsidRDefault="00AA4E43" w:rsidP="00AA4E43">
      <w:pPr>
        <w:spacing w:before="720"/>
        <w:jc w:val="center"/>
      </w:pPr>
      <w:r w:rsidRPr="00987A0C">
        <w:t>______________</w:t>
      </w:r>
    </w:p>
    <w:sectPr w:rsidR="00AA4E43" w:rsidRPr="00987A0C" w:rsidSect="00E41FE5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CE" w:rsidRDefault="00ED66CE">
      <w:r>
        <w:separator/>
      </w:r>
    </w:p>
  </w:endnote>
  <w:endnote w:type="continuationSeparator" w:id="0">
    <w:p w:rsidR="00ED66CE" w:rsidRDefault="00ED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C3" w:rsidRPr="00374667" w:rsidRDefault="00A90DC3" w:rsidP="00A90DC3">
    <w:pPr>
      <w:pStyle w:val="Footer"/>
      <w:rPr>
        <w:lang w:val="fr-CH"/>
      </w:rPr>
    </w:pPr>
    <w:r>
      <w:fldChar w:fldCharType="begin"/>
    </w:r>
    <w:r w:rsidRPr="00374667">
      <w:rPr>
        <w:lang w:val="fr-CH"/>
      </w:rPr>
      <w:instrText xml:space="preserve"> FILENAME  \p  \* MERGEFORMAT </w:instrText>
    </w:r>
    <w:r>
      <w:fldChar w:fldCharType="separate"/>
    </w:r>
    <w:r w:rsidR="00374667" w:rsidRPr="00374667">
      <w:rPr>
        <w:lang w:val="fr-CH"/>
      </w:rPr>
      <w:t>Y:\APP\BR\CIRCS_DMS\CACE\600\604\604r.DOCX</w:t>
    </w:r>
    <w:r>
      <w:fldChar w:fldCharType="end"/>
    </w:r>
    <w:r w:rsidRPr="00374667">
      <w:rPr>
        <w:lang w:val="fr-CH"/>
      </w:rPr>
      <w:tab/>
    </w:r>
    <w:r w:rsidRPr="00374667">
      <w:rPr>
        <w:lang w:val="fr-CH"/>
      </w:rPr>
      <w:tab/>
    </w:r>
    <w:r>
      <w:rPr>
        <w:lang w:val="en-US"/>
      </w:rPr>
      <w:fldChar w:fldCharType="begin"/>
    </w:r>
    <w:r>
      <w:rPr>
        <w:lang w:val="fr-CH"/>
      </w:rPr>
      <w:instrText xml:space="preserve"> TIME \@ "dd.MM.yyyy" </w:instrText>
    </w:r>
    <w:r>
      <w:rPr>
        <w:lang w:val="en-US"/>
      </w:rPr>
      <w:fldChar w:fldCharType="separate"/>
    </w:r>
    <w:r w:rsidR="0036513D">
      <w:rPr>
        <w:lang w:val="fr-CH"/>
      </w:rPr>
      <w:t>08.02.2013</w:t>
    </w:r>
    <w:r>
      <w:rPr>
        <w:lang w:val="en-US"/>
      </w:rPr>
      <w:fldChar w:fldCharType="end"/>
    </w:r>
  </w:p>
  <w:p w:rsidR="00ED66CE" w:rsidRPr="00374667" w:rsidRDefault="00ED66CE" w:rsidP="00A90DC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0"/>
      <w:gridCol w:w="3000"/>
      <w:gridCol w:w="2408"/>
      <w:gridCol w:w="2375"/>
    </w:tblGrid>
    <w:tr w:rsidR="00ED66CE" w:rsidTr="00633905">
      <w:trPr>
        <w:cantSplit/>
      </w:trPr>
      <w:tc>
        <w:tcPr>
          <w:tcW w:w="1050" w:type="pct"/>
          <w:tcBorders>
            <w:top w:val="single" w:sz="6" w:space="0" w:color="auto"/>
          </w:tcBorders>
          <w:tcMar>
            <w:top w:w="57" w:type="dxa"/>
          </w:tcMar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Place des Nations</w:t>
          </w:r>
        </w:p>
      </w:tc>
      <w:tc>
        <w:tcPr>
          <w:tcW w:w="1522" w:type="pct"/>
          <w:tcBorders>
            <w:top w:val="single" w:sz="6" w:space="0" w:color="auto"/>
          </w:tcBorders>
          <w:tcMar>
            <w:top w:w="57" w:type="dxa"/>
          </w:tcMar>
        </w:tcPr>
        <w:p w:rsidR="00ED66CE" w:rsidRPr="002845B0" w:rsidRDefault="00ED66CE" w:rsidP="00633905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Тел.:</w:t>
          </w:r>
          <w:r w:rsidRPr="002845B0">
            <w:rPr>
              <w:rFonts w:asciiTheme="majorBidi" w:hAnsiTheme="majorBidi" w:cstheme="majorBidi"/>
              <w:szCs w:val="18"/>
            </w:rPr>
            <w:tab/>
            <w:t>+41 22 730 51 11</w:t>
          </w:r>
        </w:p>
      </w:tc>
      <w:tc>
        <w:tcPr>
          <w:tcW w:w="1222" w:type="pct"/>
          <w:tcBorders>
            <w:top w:val="single" w:sz="6" w:space="0" w:color="auto"/>
          </w:tcBorders>
          <w:tcMar>
            <w:top w:w="57" w:type="dxa"/>
          </w:tcMar>
        </w:tcPr>
        <w:p w:rsidR="00ED66CE" w:rsidRPr="002845B0" w:rsidRDefault="00ED66CE" w:rsidP="00633905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Телекс: 421 000 uit ch</w:t>
          </w:r>
        </w:p>
      </w:tc>
      <w:tc>
        <w:tcPr>
          <w:tcW w:w="1205" w:type="pct"/>
          <w:tcBorders>
            <w:top w:val="single" w:sz="6" w:space="0" w:color="auto"/>
          </w:tcBorders>
          <w:tcMar>
            <w:top w:w="57" w:type="dxa"/>
          </w:tcMar>
        </w:tcPr>
        <w:p w:rsidR="00ED66CE" w:rsidRPr="002845B0" w:rsidRDefault="00ED66CE" w:rsidP="00633905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Эл. почта: itumail@itu.int</w:t>
          </w:r>
        </w:p>
      </w:tc>
    </w:tr>
    <w:tr w:rsidR="00ED66CE" w:rsidTr="00633905">
      <w:trPr>
        <w:cantSplit/>
      </w:trPr>
      <w:tc>
        <w:tcPr>
          <w:tcW w:w="1050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CH-1211 Geneva 20</w:t>
          </w:r>
        </w:p>
      </w:tc>
      <w:tc>
        <w:tcPr>
          <w:tcW w:w="1522" w:type="pct"/>
        </w:tcPr>
        <w:p w:rsidR="00ED66CE" w:rsidRPr="002845B0" w:rsidRDefault="00ED66CE" w:rsidP="00633905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Факс:</w:t>
          </w:r>
          <w:r w:rsidRPr="002845B0">
            <w:rPr>
              <w:rFonts w:asciiTheme="majorBidi" w:hAnsiTheme="majorBidi" w:cstheme="majorBidi"/>
              <w:szCs w:val="18"/>
            </w:rPr>
            <w:tab/>
            <w:t>Gr3:</w:t>
          </w:r>
          <w:r w:rsidRPr="002845B0">
            <w:rPr>
              <w:rFonts w:asciiTheme="majorBidi" w:hAnsiTheme="majorBidi" w:cstheme="majorBidi"/>
              <w:szCs w:val="18"/>
            </w:rPr>
            <w:tab/>
            <w:t>+41 22 733 72 56</w:t>
          </w:r>
        </w:p>
      </w:tc>
      <w:tc>
        <w:tcPr>
          <w:tcW w:w="1222" w:type="pct"/>
        </w:tcPr>
        <w:p w:rsidR="00ED66CE" w:rsidRPr="002845B0" w:rsidRDefault="00ED66CE" w:rsidP="00633905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Телеграмма: ITU GENEVE</w:t>
          </w:r>
        </w:p>
      </w:tc>
      <w:tc>
        <w:tcPr>
          <w:tcW w:w="1205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ab/>
            <w:t xml:space="preserve">  </w:t>
          </w:r>
          <w:hyperlink r:id="rId1" w:history="1">
            <w:r w:rsidRPr="002845B0">
              <w:rPr>
                <w:rFonts w:asciiTheme="majorBidi" w:hAnsiTheme="majorBidi" w:cstheme="majorBidi"/>
                <w:szCs w:val="18"/>
              </w:rPr>
              <w:t>http://www.itu.int/</w:t>
            </w:r>
          </w:hyperlink>
        </w:p>
      </w:tc>
    </w:tr>
    <w:tr w:rsidR="00ED66CE" w:rsidTr="00633905">
      <w:trPr>
        <w:cantSplit/>
      </w:trPr>
      <w:tc>
        <w:tcPr>
          <w:tcW w:w="1050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>Switzerland</w:t>
          </w:r>
        </w:p>
      </w:tc>
      <w:tc>
        <w:tcPr>
          <w:tcW w:w="1522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  <w:r w:rsidRPr="002845B0">
            <w:rPr>
              <w:rFonts w:asciiTheme="majorBidi" w:hAnsiTheme="majorBidi" w:cstheme="majorBidi"/>
              <w:szCs w:val="18"/>
            </w:rPr>
            <w:tab/>
            <w:t>Gr4:</w:t>
          </w:r>
          <w:r w:rsidRPr="002845B0">
            <w:rPr>
              <w:rFonts w:asciiTheme="majorBidi" w:hAnsiTheme="majorBidi" w:cstheme="majorBidi"/>
              <w:szCs w:val="18"/>
            </w:rPr>
            <w:tab/>
            <w:t>+41 22 730 65 00</w:t>
          </w:r>
        </w:p>
      </w:tc>
      <w:tc>
        <w:tcPr>
          <w:tcW w:w="1222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</w:p>
      </w:tc>
      <w:tc>
        <w:tcPr>
          <w:tcW w:w="1205" w:type="pct"/>
        </w:tcPr>
        <w:p w:rsidR="00ED66CE" w:rsidRPr="002845B0" w:rsidRDefault="00ED66CE">
          <w:pPr>
            <w:pStyle w:val="itu"/>
            <w:rPr>
              <w:rFonts w:asciiTheme="majorBidi" w:hAnsiTheme="majorBidi" w:cstheme="majorBidi"/>
              <w:szCs w:val="18"/>
            </w:rPr>
          </w:pPr>
        </w:p>
      </w:tc>
    </w:tr>
  </w:tbl>
  <w:p w:rsidR="00ED66CE" w:rsidRPr="00577D20" w:rsidRDefault="00ED66CE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CE" w:rsidRDefault="00ED66CE">
      <w:r>
        <w:t>____________________</w:t>
      </w:r>
    </w:p>
  </w:footnote>
  <w:footnote w:type="continuationSeparator" w:id="0">
    <w:p w:rsidR="00ED66CE" w:rsidRDefault="00ED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CE" w:rsidRPr="00AF1ECB" w:rsidRDefault="00ED66CE" w:rsidP="00AA4E43">
    <w:pPr>
      <w:pStyle w:val="Header"/>
      <w:rPr>
        <w:lang w:val="en-US"/>
      </w:rPr>
    </w:pPr>
    <w:r w:rsidRPr="00131BD1">
      <w:t xml:space="preserve">- </w:t>
    </w:r>
    <w:r w:rsidR="00D17571"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="00D17571" w:rsidRPr="00131BD1">
      <w:rPr>
        <w:lang w:val="en-GB"/>
      </w:rPr>
      <w:fldChar w:fldCharType="separate"/>
    </w:r>
    <w:r w:rsidR="0036513D">
      <w:rPr>
        <w:noProof/>
        <w:lang w:val="en-GB"/>
      </w:rPr>
      <w:t>2</w:t>
    </w:r>
    <w:r w:rsidR="00D17571"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EA1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342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69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C86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3C2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A65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366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C8E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D2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44B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90F"/>
    <w:rsid w:val="000010D2"/>
    <w:rsid w:val="00010043"/>
    <w:rsid w:val="00016557"/>
    <w:rsid w:val="00031D3A"/>
    <w:rsid w:val="00032705"/>
    <w:rsid w:val="00046707"/>
    <w:rsid w:val="000543E4"/>
    <w:rsid w:val="0006536F"/>
    <w:rsid w:val="00066BE9"/>
    <w:rsid w:val="00067EEB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2B04"/>
    <w:rsid w:val="00127742"/>
    <w:rsid w:val="001314F5"/>
    <w:rsid w:val="00131BD1"/>
    <w:rsid w:val="00132CB9"/>
    <w:rsid w:val="00132FD8"/>
    <w:rsid w:val="00140C47"/>
    <w:rsid w:val="00146761"/>
    <w:rsid w:val="00150F11"/>
    <w:rsid w:val="00157D53"/>
    <w:rsid w:val="0016253B"/>
    <w:rsid w:val="00163C7A"/>
    <w:rsid w:val="00177872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2B74"/>
    <w:rsid w:val="001E15AA"/>
    <w:rsid w:val="001E5B20"/>
    <w:rsid w:val="001F3AC4"/>
    <w:rsid w:val="001F67C0"/>
    <w:rsid w:val="002044F9"/>
    <w:rsid w:val="002059DA"/>
    <w:rsid w:val="00210B45"/>
    <w:rsid w:val="002259B2"/>
    <w:rsid w:val="00227F65"/>
    <w:rsid w:val="00240F7A"/>
    <w:rsid w:val="00242081"/>
    <w:rsid w:val="00273E98"/>
    <w:rsid w:val="002845B0"/>
    <w:rsid w:val="002A753B"/>
    <w:rsid w:val="002C36A0"/>
    <w:rsid w:val="002C37E4"/>
    <w:rsid w:val="002C584E"/>
    <w:rsid w:val="002D4286"/>
    <w:rsid w:val="002E0AE4"/>
    <w:rsid w:val="002F599D"/>
    <w:rsid w:val="00302913"/>
    <w:rsid w:val="003072E5"/>
    <w:rsid w:val="003228FB"/>
    <w:rsid w:val="0032684F"/>
    <w:rsid w:val="00332A72"/>
    <w:rsid w:val="0034078E"/>
    <w:rsid w:val="003447BD"/>
    <w:rsid w:val="003561A4"/>
    <w:rsid w:val="00361F22"/>
    <w:rsid w:val="0036513D"/>
    <w:rsid w:val="003737D2"/>
    <w:rsid w:val="00374667"/>
    <w:rsid w:val="00374975"/>
    <w:rsid w:val="0038250F"/>
    <w:rsid w:val="0038792A"/>
    <w:rsid w:val="003A1798"/>
    <w:rsid w:val="003A4450"/>
    <w:rsid w:val="003B7B66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278A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00E5"/>
    <w:rsid w:val="005D44C4"/>
    <w:rsid w:val="005E0DD5"/>
    <w:rsid w:val="005E37AD"/>
    <w:rsid w:val="005E41FB"/>
    <w:rsid w:val="005F130D"/>
    <w:rsid w:val="005F2251"/>
    <w:rsid w:val="005F7F4C"/>
    <w:rsid w:val="0061260F"/>
    <w:rsid w:val="006136BC"/>
    <w:rsid w:val="006154C9"/>
    <w:rsid w:val="00620F21"/>
    <w:rsid w:val="006262BE"/>
    <w:rsid w:val="006275FE"/>
    <w:rsid w:val="00633905"/>
    <w:rsid w:val="006342B7"/>
    <w:rsid w:val="00657BDF"/>
    <w:rsid w:val="0066769C"/>
    <w:rsid w:val="00687A41"/>
    <w:rsid w:val="006947C6"/>
    <w:rsid w:val="006A115D"/>
    <w:rsid w:val="006B3F95"/>
    <w:rsid w:val="006C0EF0"/>
    <w:rsid w:val="006C1A3B"/>
    <w:rsid w:val="006C3ED6"/>
    <w:rsid w:val="006E3FFE"/>
    <w:rsid w:val="006F004B"/>
    <w:rsid w:val="006F0F15"/>
    <w:rsid w:val="006F4B43"/>
    <w:rsid w:val="006F7041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20A7"/>
    <w:rsid w:val="007B31F2"/>
    <w:rsid w:val="007B47F2"/>
    <w:rsid w:val="007B704E"/>
    <w:rsid w:val="007C26EE"/>
    <w:rsid w:val="007C4D5E"/>
    <w:rsid w:val="007C6F75"/>
    <w:rsid w:val="007D4438"/>
    <w:rsid w:val="007D72E7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8F1F12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87A0C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C83"/>
    <w:rsid w:val="00A1574E"/>
    <w:rsid w:val="00A501C7"/>
    <w:rsid w:val="00A613BB"/>
    <w:rsid w:val="00A76B48"/>
    <w:rsid w:val="00A83443"/>
    <w:rsid w:val="00A90367"/>
    <w:rsid w:val="00A90DC3"/>
    <w:rsid w:val="00A9660E"/>
    <w:rsid w:val="00AA0D25"/>
    <w:rsid w:val="00AA302B"/>
    <w:rsid w:val="00AA39C2"/>
    <w:rsid w:val="00AA4E43"/>
    <w:rsid w:val="00AA7418"/>
    <w:rsid w:val="00AB07C5"/>
    <w:rsid w:val="00AC1C12"/>
    <w:rsid w:val="00AE7EC1"/>
    <w:rsid w:val="00AF1ECB"/>
    <w:rsid w:val="00AF3BA9"/>
    <w:rsid w:val="00B03DEA"/>
    <w:rsid w:val="00B05817"/>
    <w:rsid w:val="00B067DE"/>
    <w:rsid w:val="00B15D28"/>
    <w:rsid w:val="00B22CE2"/>
    <w:rsid w:val="00B36D2D"/>
    <w:rsid w:val="00B42EE4"/>
    <w:rsid w:val="00B42FEE"/>
    <w:rsid w:val="00B527F1"/>
    <w:rsid w:val="00B57075"/>
    <w:rsid w:val="00B57344"/>
    <w:rsid w:val="00B71B19"/>
    <w:rsid w:val="00B81E26"/>
    <w:rsid w:val="00B87E04"/>
    <w:rsid w:val="00B9578A"/>
    <w:rsid w:val="00B96B1A"/>
    <w:rsid w:val="00B974AB"/>
    <w:rsid w:val="00BA52EC"/>
    <w:rsid w:val="00BA7C82"/>
    <w:rsid w:val="00BB67EC"/>
    <w:rsid w:val="00BC3865"/>
    <w:rsid w:val="00BE2B32"/>
    <w:rsid w:val="00C01DAC"/>
    <w:rsid w:val="00C0390F"/>
    <w:rsid w:val="00C111B7"/>
    <w:rsid w:val="00C20FFF"/>
    <w:rsid w:val="00C228D1"/>
    <w:rsid w:val="00C47E8F"/>
    <w:rsid w:val="00C64164"/>
    <w:rsid w:val="00C65CEB"/>
    <w:rsid w:val="00C70274"/>
    <w:rsid w:val="00C72AC1"/>
    <w:rsid w:val="00C92FBB"/>
    <w:rsid w:val="00C934CA"/>
    <w:rsid w:val="00C96760"/>
    <w:rsid w:val="00CA4CA9"/>
    <w:rsid w:val="00CC2F67"/>
    <w:rsid w:val="00CC51D5"/>
    <w:rsid w:val="00CD00EE"/>
    <w:rsid w:val="00CD2962"/>
    <w:rsid w:val="00D04963"/>
    <w:rsid w:val="00D057A1"/>
    <w:rsid w:val="00D12826"/>
    <w:rsid w:val="00D17571"/>
    <w:rsid w:val="00D22AC6"/>
    <w:rsid w:val="00D22B7A"/>
    <w:rsid w:val="00D24932"/>
    <w:rsid w:val="00D35752"/>
    <w:rsid w:val="00D37409"/>
    <w:rsid w:val="00D42FB8"/>
    <w:rsid w:val="00D44DE6"/>
    <w:rsid w:val="00D463D0"/>
    <w:rsid w:val="00D61395"/>
    <w:rsid w:val="00D744B4"/>
    <w:rsid w:val="00D77632"/>
    <w:rsid w:val="00D8195D"/>
    <w:rsid w:val="00D96A65"/>
    <w:rsid w:val="00DA7A06"/>
    <w:rsid w:val="00DC058D"/>
    <w:rsid w:val="00DC287A"/>
    <w:rsid w:val="00DC6223"/>
    <w:rsid w:val="00DD197E"/>
    <w:rsid w:val="00DD1B56"/>
    <w:rsid w:val="00DD3A4F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6CE"/>
    <w:rsid w:val="00ED6CC8"/>
    <w:rsid w:val="00EE067D"/>
    <w:rsid w:val="00F0282A"/>
    <w:rsid w:val="00F04386"/>
    <w:rsid w:val="00F07CD2"/>
    <w:rsid w:val="00F523F8"/>
    <w:rsid w:val="00F93277"/>
    <w:rsid w:val="00F96443"/>
    <w:rsid w:val="00FA095E"/>
    <w:rsid w:val="00FA359F"/>
    <w:rsid w:val="00FA4195"/>
    <w:rsid w:val="00FB7D91"/>
    <w:rsid w:val="00FC283C"/>
    <w:rsid w:val="00FC3A9F"/>
    <w:rsid w:val="00FC6453"/>
    <w:rsid w:val="00FE46F4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987A0C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B9578A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ajorBidi" w:hAnsiTheme="majorBidi" w:cstheme="majorBidi"/>
      <w:b/>
      <w:bCs/>
      <w:sz w:val="26"/>
      <w:szCs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987A0C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987A0C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caps/>
      <w:sz w:val="26"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B9578A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ajorBidi" w:hAnsiTheme="majorBidi" w:cstheme="majorBidi"/>
      <w:b/>
      <w:bCs/>
      <w:sz w:val="26"/>
      <w:szCs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987A0C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840B-ACDB-4219-8EA2-17DDAF78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4191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7</cp:revision>
  <cp:lastPrinted>2013-02-07T10:11:00Z</cp:lastPrinted>
  <dcterms:created xsi:type="dcterms:W3CDTF">2013-02-07T15:18:00Z</dcterms:created>
  <dcterms:modified xsi:type="dcterms:W3CDTF">2013-02-08T11:24:00Z</dcterms:modified>
</cp:coreProperties>
</file>