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bidiVisual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AE050F" w:rsidRPr="00D35752" w:rsidTr="00234177">
        <w:tc>
          <w:tcPr>
            <w:tcW w:w="8188" w:type="dxa"/>
            <w:vAlign w:val="center"/>
          </w:tcPr>
          <w:p w:rsidR="00AE050F" w:rsidRPr="00054872" w:rsidRDefault="00AE050F" w:rsidP="00234177">
            <w:pPr>
              <w:spacing w:before="0"/>
              <w:rPr>
                <w:lang w:bidi="ar-EG"/>
              </w:rPr>
            </w:pPr>
            <w:r w:rsidRPr="00234177">
              <w:rPr>
                <w:sz w:val="40"/>
                <w:szCs w:val="48"/>
                <w:rtl/>
                <w:lang w:bidi="ar-EG"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AE050F" w:rsidRPr="00D35752" w:rsidRDefault="00E55B49" w:rsidP="00234177">
            <w:pPr>
              <w:spacing w:before="0"/>
              <w:jc w:val="right"/>
              <w:rPr>
                <w:lang w:bidi="ar-EG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00100" cy="9334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AE050F">
        <w:trPr>
          <w:cantSplit/>
        </w:trPr>
        <w:tc>
          <w:tcPr>
            <w:tcW w:w="5075" w:type="dxa"/>
          </w:tcPr>
          <w:p w:rsidR="00AE050F" w:rsidRDefault="00AE050F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  <w:lang w:bidi="ar-EG"/>
              </w:rPr>
            </w:pPr>
            <w:r w:rsidRPr="00054872">
              <w:rPr>
                <w:i/>
                <w:iCs/>
                <w:sz w:val="26"/>
                <w:szCs w:val="40"/>
                <w:rtl/>
                <w:lang w:bidi="ar-EG"/>
              </w:rPr>
              <w:t>مكتب الاتصالات الراديوية</w:t>
            </w:r>
            <w:r>
              <w:rPr>
                <w:i/>
                <w:iCs/>
                <w:sz w:val="26"/>
                <w:szCs w:val="40"/>
                <w:rtl/>
                <w:lang w:bidi="ar-EG"/>
              </w:rPr>
              <w:br/>
            </w:r>
            <w:r w:rsidRPr="00054872">
              <w:rPr>
                <w:i/>
                <w:iCs/>
                <w:sz w:val="20"/>
                <w:szCs w:val="26"/>
                <w:rtl/>
                <w:lang w:bidi="ar-EG"/>
              </w:rPr>
              <w:t>(فاكس مباشر رقم</w:t>
            </w:r>
            <w:r>
              <w:rPr>
                <w:i/>
                <w:iCs/>
                <w:sz w:val="20"/>
                <w:szCs w:val="26"/>
                <w:rtl/>
                <w:lang w:bidi="ar-EG"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 w:bidi="ar-EG"/>
              </w:rPr>
              <w:t>(+41 22 730 57 85</w:t>
            </w:r>
          </w:p>
        </w:tc>
      </w:tr>
    </w:tbl>
    <w:p w:rsidR="00AE050F" w:rsidRPr="00054872" w:rsidRDefault="00AE050F" w:rsidP="00054872">
      <w:pPr>
        <w:tabs>
          <w:tab w:val="left" w:pos="7513"/>
        </w:tabs>
        <w:rPr>
          <w:lang w:bidi="ar-EG"/>
        </w:rPr>
      </w:pPr>
    </w:p>
    <w:tbl>
      <w:tblPr>
        <w:bidiVisual/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AE050F" w:rsidRPr="00054872">
        <w:trPr>
          <w:cantSplit/>
        </w:trPr>
        <w:tc>
          <w:tcPr>
            <w:tcW w:w="2518" w:type="dxa"/>
          </w:tcPr>
          <w:p w:rsidR="00AE050F" w:rsidRPr="0004070C" w:rsidRDefault="00731A92" w:rsidP="00EE5E01">
            <w:pPr>
              <w:spacing w:before="80" w:after="80" w:line="280" w:lineRule="exact"/>
              <w:jc w:val="center"/>
              <w:rPr>
                <w:b/>
                <w:bCs/>
                <w:rtl/>
                <w:lang w:val="en-US" w:bidi="ar-EG"/>
              </w:rPr>
            </w:pPr>
            <w:bookmarkStart w:id="0" w:name="dletter"/>
            <w:bookmarkStart w:id="1" w:name="dnum"/>
            <w:bookmarkEnd w:id="0"/>
            <w:bookmarkEnd w:id="1"/>
            <w:r>
              <w:rPr>
                <w:rFonts w:hint="cs"/>
                <w:b/>
                <w:bCs/>
                <w:rtl/>
                <w:lang w:val="en-US" w:bidi="ar-EG"/>
              </w:rPr>
              <w:t>الرسالة</w:t>
            </w:r>
            <w:r w:rsidR="00AE050F" w:rsidRPr="0004070C">
              <w:rPr>
                <w:b/>
                <w:bCs/>
                <w:rtl/>
                <w:lang w:val="en-US" w:bidi="ar-EG"/>
              </w:rPr>
              <w:t xml:space="preserve"> الإدارية</w:t>
            </w:r>
            <w:r w:rsidR="00681995">
              <w:rPr>
                <w:rFonts w:hint="cs"/>
                <w:b/>
                <w:bCs/>
                <w:rtl/>
                <w:lang w:val="en-US" w:bidi="ar-EG"/>
              </w:rPr>
              <w:t xml:space="preserve"> المعممة</w:t>
            </w:r>
            <w:r w:rsidR="00AE050F" w:rsidRPr="0004070C">
              <w:rPr>
                <w:b/>
                <w:bCs/>
                <w:rtl/>
                <w:lang w:val="en-US" w:bidi="ar-EG"/>
              </w:rPr>
              <w:br/>
            </w:r>
            <w:r w:rsidR="00AE050F" w:rsidRPr="0004070C">
              <w:rPr>
                <w:b/>
                <w:bCs/>
                <w:lang w:bidi="ar-EG"/>
              </w:rPr>
              <w:t>CACE/</w:t>
            </w:r>
            <w:r w:rsidR="008F36DA">
              <w:rPr>
                <w:b/>
                <w:bCs/>
                <w:lang w:val="en-US" w:bidi="ar-EG"/>
              </w:rPr>
              <w:t>599</w:t>
            </w:r>
          </w:p>
        </w:tc>
        <w:tc>
          <w:tcPr>
            <w:tcW w:w="7502" w:type="dxa"/>
          </w:tcPr>
          <w:p w:rsidR="00AE050F" w:rsidRPr="00206E2B" w:rsidRDefault="00B647ED" w:rsidP="00B647ED">
            <w:pPr>
              <w:spacing w:before="80" w:after="80" w:line="280" w:lineRule="exact"/>
              <w:jc w:val="right"/>
              <w:rPr>
                <w:rtl/>
                <w:lang w:val="en-US"/>
              </w:rPr>
            </w:pPr>
            <w:bookmarkStart w:id="2" w:name="ddate"/>
            <w:bookmarkEnd w:id="2"/>
            <w:r>
              <w:rPr>
                <w:lang w:val="en-US" w:bidi="ar-EG"/>
              </w:rPr>
              <w:t>29</w:t>
            </w:r>
            <w:r>
              <w:rPr>
                <w:rFonts w:hint="cs"/>
                <w:rtl/>
                <w:lang w:val="en-US" w:bidi="ar-EG"/>
              </w:rPr>
              <w:t xml:space="preserve"> يناير </w:t>
            </w:r>
            <w:r w:rsidR="005A0193">
              <w:rPr>
                <w:lang w:val="en-US" w:bidi="ar-EG"/>
              </w:rPr>
              <w:t>201</w:t>
            </w:r>
            <w:r>
              <w:rPr>
                <w:lang w:val="en-US" w:bidi="ar-EG"/>
              </w:rPr>
              <w:t>3</w:t>
            </w:r>
            <w:bookmarkStart w:id="3" w:name="_GoBack"/>
            <w:bookmarkEnd w:id="3"/>
          </w:p>
        </w:tc>
      </w:tr>
    </w:tbl>
    <w:p w:rsidR="00AE050F" w:rsidRPr="00993A42" w:rsidRDefault="00AE050F" w:rsidP="008F36DA">
      <w:pPr>
        <w:spacing w:before="480" w:after="240"/>
        <w:jc w:val="center"/>
        <w:rPr>
          <w:b/>
          <w:bCs/>
          <w:sz w:val="28"/>
          <w:szCs w:val="40"/>
          <w:rtl/>
          <w:lang w:val="en-US"/>
        </w:rPr>
      </w:pPr>
      <w:r w:rsidRPr="00993A42">
        <w:rPr>
          <w:b/>
          <w:bCs/>
          <w:sz w:val="28"/>
          <w:szCs w:val="40"/>
          <w:rtl/>
          <w:lang w:bidi="ar-EG"/>
        </w:rPr>
        <w:t>إلى إدارات الدول الأعضاء في الاتحاد وأعضاء قطاع الاتصالات الراديوية والمنتسبين إليه</w:t>
      </w:r>
      <w:r w:rsidR="000660F8">
        <w:rPr>
          <w:rFonts w:hint="cs"/>
          <w:b/>
          <w:bCs/>
          <w:sz w:val="28"/>
          <w:szCs w:val="40"/>
          <w:rtl/>
          <w:lang w:bidi="ar-EG"/>
        </w:rPr>
        <w:t xml:space="preserve"> </w:t>
      </w:r>
      <w:r w:rsidRPr="00993A42">
        <w:rPr>
          <w:b/>
          <w:bCs/>
          <w:sz w:val="28"/>
          <w:szCs w:val="40"/>
          <w:rtl/>
          <w:lang w:bidi="ar-EG"/>
        </w:rPr>
        <w:t xml:space="preserve">المشاركين في أعمال لجنة الدراسات </w:t>
      </w:r>
      <w:r w:rsidR="008F36DA">
        <w:rPr>
          <w:rFonts w:ascii="Times New Roman Bold" w:hAnsi="Times New Roman Bold"/>
          <w:b/>
          <w:bCs/>
          <w:sz w:val="28"/>
          <w:szCs w:val="40"/>
          <w:lang w:val="en-US" w:bidi="ar-EG"/>
        </w:rPr>
        <w:t>4</w:t>
      </w:r>
      <w:r w:rsidRPr="00993A42">
        <w:rPr>
          <w:b/>
          <w:bCs/>
          <w:sz w:val="28"/>
          <w:szCs w:val="40"/>
          <w:rtl/>
          <w:lang w:bidi="ar-EG"/>
        </w:rPr>
        <w:t xml:space="preserve"> للاتصالات الراديوية</w:t>
      </w:r>
      <w:r w:rsidRPr="00993A42">
        <w:rPr>
          <w:b/>
          <w:bCs/>
          <w:sz w:val="28"/>
          <w:szCs w:val="40"/>
          <w:rtl/>
          <w:lang w:bidi="ar-EG"/>
        </w:rPr>
        <w:br/>
      </w:r>
      <w:r w:rsidR="002F45BB" w:rsidRPr="00993A42">
        <w:rPr>
          <w:rFonts w:hint="cs"/>
          <w:b/>
          <w:bCs/>
          <w:sz w:val="28"/>
          <w:szCs w:val="40"/>
          <w:rtl/>
        </w:rPr>
        <w:t>والهيئات الأكاديمية المنضمة إلى قطاع الاتصالات الراديوية</w:t>
      </w:r>
    </w:p>
    <w:p w:rsidR="008F36DA" w:rsidRPr="001E5AB0" w:rsidRDefault="008F36DA" w:rsidP="008F36DA">
      <w:pPr>
        <w:tabs>
          <w:tab w:val="clear" w:pos="794"/>
        </w:tabs>
        <w:spacing w:before="240"/>
        <w:ind w:left="1191" w:hanging="1191"/>
        <w:rPr>
          <w:rFonts w:ascii="Times New Roman Bold" w:hAnsi="Times New Roman Bold"/>
          <w:b/>
          <w:bCs/>
          <w:spacing w:val="-4"/>
          <w:rtl/>
          <w:lang w:val="en-US" w:bidi="ar-EG"/>
        </w:rPr>
      </w:pPr>
      <w:r w:rsidRPr="00A20DC6">
        <w:rPr>
          <w:rFonts w:ascii="Times New Roman Bold" w:hAnsi="Times New Roman Bold" w:hint="eastAsia"/>
          <w:b/>
          <w:bCs/>
          <w:rtl/>
          <w:lang w:bidi="ar-EG"/>
        </w:rPr>
        <w:t>الموضوع</w:t>
      </w:r>
      <w:r w:rsidRPr="00A20DC6">
        <w:rPr>
          <w:rFonts w:ascii="Times New Roman Bold" w:hAnsi="Times New Roman Bold"/>
          <w:b/>
          <w:bCs/>
          <w:rtl/>
          <w:lang w:bidi="ar-EG"/>
        </w:rPr>
        <w:t>:</w:t>
      </w:r>
      <w:r w:rsidRPr="00A20DC6">
        <w:rPr>
          <w:rFonts w:ascii="Times New Roman Bold" w:hAnsi="Times New Roman Bold"/>
          <w:b/>
          <w:bCs/>
          <w:rtl/>
          <w:lang w:bidi="ar-EG"/>
        </w:rPr>
        <w:tab/>
      </w:r>
      <w:r w:rsidRPr="00A20DC6">
        <w:rPr>
          <w:b/>
          <w:bCs/>
          <w:rtl/>
          <w:lang w:bidi="ar-EG"/>
        </w:rPr>
        <w:t xml:space="preserve">لجنة الدراسات </w:t>
      </w:r>
      <w:r>
        <w:rPr>
          <w:rFonts w:hAnsi="Times New Roman Bold"/>
          <w:b/>
          <w:bCs/>
          <w:lang w:val="en-US" w:bidi="ar-EG"/>
        </w:rPr>
        <w:t>4</w:t>
      </w:r>
      <w:r w:rsidRPr="00A20DC6">
        <w:rPr>
          <w:b/>
          <w:bCs/>
          <w:rtl/>
          <w:lang w:val="en-US" w:bidi="ar-EG"/>
        </w:rPr>
        <w:t xml:space="preserve"> للاتصالات الراديوي</w:t>
      </w:r>
      <w:r>
        <w:rPr>
          <w:rFonts w:hint="cs"/>
          <w:b/>
          <w:bCs/>
          <w:rtl/>
          <w:lang w:val="en-US" w:bidi="ar-EG"/>
        </w:rPr>
        <w:t xml:space="preserve">ة (الخدمات </w:t>
      </w:r>
      <w:proofErr w:type="spellStart"/>
      <w:r>
        <w:rPr>
          <w:rFonts w:hint="cs"/>
          <w:b/>
          <w:bCs/>
          <w:rtl/>
          <w:lang w:val="en-US" w:bidi="ar-EG"/>
        </w:rPr>
        <w:t>الساتلية</w:t>
      </w:r>
      <w:proofErr w:type="spellEnd"/>
      <w:r>
        <w:rPr>
          <w:rFonts w:hint="cs"/>
          <w:b/>
          <w:bCs/>
          <w:rtl/>
          <w:lang w:val="en-US" w:bidi="ar-EG"/>
        </w:rPr>
        <w:t>)</w:t>
      </w:r>
    </w:p>
    <w:p w:rsidR="00AE050F" w:rsidRDefault="00D5604F" w:rsidP="00EE5E01">
      <w:pPr>
        <w:tabs>
          <w:tab w:val="clear" w:pos="794"/>
          <w:tab w:val="clear" w:pos="1191"/>
          <w:tab w:val="clear" w:pos="1588"/>
          <w:tab w:val="clear" w:pos="1985"/>
        </w:tabs>
        <w:spacing w:before="60"/>
        <w:ind w:left="1701" w:hanging="488"/>
        <w:rPr>
          <w:rFonts w:ascii="Times New Roman Bold" w:hAnsi="Times New Roman Bold"/>
          <w:b/>
          <w:bCs/>
          <w:rtl/>
          <w:lang w:val="fr-FR" w:bidi="ar-EG"/>
        </w:rPr>
      </w:pPr>
      <w:r>
        <w:rPr>
          <w:rFonts w:ascii="Times New Roman Bold" w:hAnsi="Times New Roman Bold" w:hint="cs"/>
          <w:b/>
          <w:bCs/>
          <w:rtl/>
          <w:lang w:bidi="ar-EG"/>
        </w:rPr>
        <w:t>–</w:t>
      </w:r>
      <w:r w:rsidR="008F36DA">
        <w:rPr>
          <w:rFonts w:ascii="Times New Roman Bold" w:hAnsi="Times New Roman Bold"/>
          <w:b/>
          <w:bCs/>
          <w:rtl/>
          <w:lang w:bidi="ar-EG"/>
        </w:rPr>
        <w:tab/>
        <w:t>اعتماد</w:t>
      </w:r>
      <w:r w:rsidR="008F36DA">
        <w:rPr>
          <w:rFonts w:ascii="Times New Roman Bold" w:hAnsi="Times New Roman Bold" w:hint="cs"/>
          <w:b/>
          <w:bCs/>
          <w:rtl/>
          <w:lang w:bidi="ar-EG"/>
        </w:rPr>
        <w:t xml:space="preserve"> </w:t>
      </w:r>
      <w:r w:rsidR="00EE5E01">
        <w:rPr>
          <w:rFonts w:ascii="Times New Roman Bold" w:hAnsi="Times New Roman Bold" w:hint="cs"/>
          <w:b/>
          <w:bCs/>
          <w:rtl/>
          <w:lang w:val="en-US" w:bidi="ar-EG"/>
        </w:rPr>
        <w:t xml:space="preserve">توصيتين جديدتين </w:t>
      </w:r>
      <w:r w:rsidR="00657BB9">
        <w:rPr>
          <w:rFonts w:ascii="Times New Roman Bold" w:hAnsi="Times New Roman Bold" w:hint="cs"/>
          <w:b/>
          <w:bCs/>
          <w:rtl/>
          <w:lang w:val="en-US"/>
        </w:rPr>
        <w:t xml:space="preserve">ومراجعة </w:t>
      </w:r>
      <w:r w:rsidR="008F36DA">
        <w:rPr>
          <w:rFonts w:ascii="Times New Roman Bold" w:hAnsi="Times New Roman Bold"/>
          <w:b/>
          <w:bCs/>
          <w:lang w:val="en-US"/>
        </w:rPr>
        <w:t>3</w:t>
      </w:r>
      <w:r w:rsidR="00657BB9">
        <w:rPr>
          <w:rFonts w:ascii="Times New Roman Bold" w:hAnsi="Times New Roman Bold" w:hint="cs"/>
          <w:b/>
          <w:bCs/>
          <w:rtl/>
          <w:lang w:val="en-US"/>
        </w:rPr>
        <w:t xml:space="preserve"> توصيات</w:t>
      </w:r>
      <w:r w:rsidR="00AE050F" w:rsidRPr="001D01A8">
        <w:rPr>
          <w:rFonts w:ascii="Times New Roman Bold" w:hAnsi="Times New Roman Bold"/>
          <w:b/>
          <w:bCs/>
          <w:rtl/>
          <w:lang w:val="fr-FR" w:bidi="ar-EG"/>
        </w:rPr>
        <w:t xml:space="preserve"> </w:t>
      </w:r>
      <w:r w:rsidR="00EE5E01">
        <w:rPr>
          <w:rFonts w:ascii="Times New Roman Bold" w:hAnsi="Times New Roman Bold" w:hint="cs"/>
          <w:b/>
          <w:bCs/>
          <w:rtl/>
          <w:lang w:val="fr-FR" w:bidi="ar-EG"/>
        </w:rPr>
        <w:t xml:space="preserve">لقطاع الاتصالات الراديوية </w:t>
      </w:r>
      <w:r w:rsidR="00AE050F" w:rsidRPr="001D01A8">
        <w:rPr>
          <w:rFonts w:ascii="Times New Roman Bold" w:hAnsi="Times New Roman Bold"/>
          <w:b/>
          <w:bCs/>
          <w:rtl/>
          <w:lang w:val="fr-FR" w:bidi="ar-EG"/>
        </w:rPr>
        <w:t>والموافقة عليها في نفس الوقت</w:t>
      </w:r>
      <w:r w:rsidR="00657BB9">
        <w:rPr>
          <w:rFonts w:ascii="Times New Roman Bold" w:hAnsi="Times New Roman Bold" w:hint="cs"/>
          <w:b/>
          <w:bCs/>
          <w:rtl/>
          <w:lang w:val="fr-FR" w:bidi="ar-EG"/>
        </w:rPr>
        <w:t xml:space="preserve"> بالمراسلة</w:t>
      </w:r>
      <w:r w:rsidR="00AE050F" w:rsidRPr="001D01A8">
        <w:rPr>
          <w:rFonts w:ascii="Times New Roman Bold" w:hAnsi="Times New Roman Bold"/>
          <w:b/>
          <w:bCs/>
          <w:rtl/>
          <w:lang w:val="fr-FR" w:bidi="ar-EG"/>
        </w:rPr>
        <w:t xml:space="preserve"> وفقاً للفقرة</w:t>
      </w:r>
      <w:r w:rsidR="006601D2">
        <w:rPr>
          <w:rFonts w:ascii="Times New Roman Bold" w:hAnsi="Times New Roman Bold" w:hint="cs"/>
          <w:b/>
          <w:bCs/>
          <w:rtl/>
          <w:lang w:val="fr-FR" w:bidi="ar-EG"/>
        </w:rPr>
        <w:t> </w:t>
      </w:r>
      <w:r w:rsidR="00AE050F" w:rsidRPr="001D01A8">
        <w:rPr>
          <w:rFonts w:ascii="Times New Roman Bold" w:hAnsi="Times New Roman Bold"/>
          <w:b/>
          <w:bCs/>
          <w:lang w:val="fr-FR" w:bidi="ar-EG"/>
        </w:rPr>
        <w:t>3.10</w:t>
      </w:r>
      <w:r w:rsidR="00AE050F" w:rsidRPr="001D01A8">
        <w:rPr>
          <w:rFonts w:ascii="Times New Roman Bold" w:hAnsi="Times New Roman Bold"/>
          <w:b/>
          <w:bCs/>
          <w:rtl/>
          <w:lang w:val="fr-FR" w:bidi="ar-EG"/>
        </w:rPr>
        <w:t xml:space="preserve"> من القرار </w:t>
      </w:r>
      <w:r w:rsidR="00AE050F" w:rsidRPr="001D01A8">
        <w:rPr>
          <w:rFonts w:ascii="Times New Roman Bold" w:hAnsi="Times New Roman Bold"/>
          <w:b/>
          <w:bCs/>
          <w:lang w:val="fr-FR" w:bidi="ar-EG"/>
        </w:rPr>
        <w:t>ITU-R 1-</w:t>
      </w:r>
      <w:r w:rsidR="00E24278">
        <w:rPr>
          <w:rFonts w:ascii="Times New Roman Bold" w:hAnsi="Times New Roman Bold"/>
          <w:b/>
          <w:bCs/>
          <w:lang w:val="fr-FR" w:bidi="ar-EG"/>
        </w:rPr>
        <w:t>6</w:t>
      </w:r>
      <w:r w:rsidR="00AE050F" w:rsidRPr="001D01A8">
        <w:rPr>
          <w:rFonts w:ascii="Times New Roman Bold" w:hAnsi="Times New Roman Bold"/>
          <w:b/>
          <w:bCs/>
          <w:rtl/>
          <w:lang w:val="fr-FR" w:bidi="ar-EG"/>
        </w:rPr>
        <w:t xml:space="preserve"> (إجراء الاعتماد والموافقة في نفس الوقت بالمراسلة)</w:t>
      </w:r>
    </w:p>
    <w:p w:rsidR="00AE050F" w:rsidRDefault="00AE050F" w:rsidP="00EE5E01">
      <w:pPr>
        <w:spacing w:before="480"/>
        <w:rPr>
          <w:rtl/>
          <w:lang w:val="en-US"/>
        </w:rPr>
      </w:pPr>
      <w:r w:rsidRPr="0001410A">
        <w:rPr>
          <w:rtl/>
          <w:lang w:val="en-US" w:bidi="ar-EG"/>
        </w:rPr>
        <w:t xml:space="preserve">تم بموجب </w:t>
      </w:r>
      <w:r w:rsidR="009E6D07">
        <w:rPr>
          <w:rFonts w:hint="cs"/>
          <w:rtl/>
          <w:lang w:val="en-US" w:bidi="ar-EG"/>
        </w:rPr>
        <w:t>الرسالة</w:t>
      </w:r>
      <w:r w:rsidRPr="0001410A">
        <w:rPr>
          <w:rtl/>
          <w:lang w:val="en-US" w:bidi="ar-EG"/>
        </w:rPr>
        <w:t xml:space="preserve"> الإدارية</w:t>
      </w:r>
      <w:r w:rsidR="00487D5C">
        <w:rPr>
          <w:rFonts w:hint="cs"/>
          <w:rtl/>
          <w:lang w:val="en-US" w:bidi="ar-EG"/>
        </w:rPr>
        <w:t xml:space="preserve"> المعممة</w:t>
      </w:r>
      <w:r w:rsidRPr="0001410A">
        <w:rPr>
          <w:rtl/>
          <w:lang w:val="en-US" w:bidi="ar-EG"/>
        </w:rPr>
        <w:t xml:space="preserve"> </w:t>
      </w:r>
      <w:r w:rsidR="00F725AC">
        <w:rPr>
          <w:lang w:val="en-US" w:bidi="ar-EG"/>
        </w:rPr>
        <w:t>CACE</w:t>
      </w:r>
      <w:r w:rsidRPr="0001410A">
        <w:rPr>
          <w:lang w:val="en-US" w:bidi="ar-EG"/>
        </w:rPr>
        <w:t>/</w:t>
      </w:r>
      <w:r w:rsidR="008F36DA">
        <w:rPr>
          <w:lang w:val="en-US" w:bidi="ar-EG"/>
        </w:rPr>
        <w:t>587</w:t>
      </w:r>
      <w:r w:rsidRPr="0001410A">
        <w:rPr>
          <w:rtl/>
          <w:lang w:val="en-US" w:bidi="ar-EG"/>
        </w:rPr>
        <w:t xml:space="preserve"> المؤرخة </w:t>
      </w:r>
      <w:r w:rsidR="008F36DA">
        <w:rPr>
          <w:lang w:val="en-US" w:bidi="ar-EG"/>
        </w:rPr>
        <w:t>19</w:t>
      </w:r>
      <w:r w:rsidR="008F36DA">
        <w:rPr>
          <w:rFonts w:hint="cs"/>
          <w:rtl/>
          <w:lang w:val="en-US" w:bidi="ar-EG"/>
        </w:rPr>
        <w:t xml:space="preserve"> أكتوب</w:t>
      </w:r>
      <w:r w:rsidR="00F725AC">
        <w:rPr>
          <w:rFonts w:hint="cs"/>
          <w:rtl/>
          <w:lang w:val="en-US" w:bidi="ar-EG"/>
        </w:rPr>
        <w:t xml:space="preserve">ر </w:t>
      </w:r>
      <w:r w:rsidR="00F725AC">
        <w:rPr>
          <w:lang w:val="en-US" w:bidi="ar-EG"/>
        </w:rPr>
        <w:t>2012</w:t>
      </w:r>
      <w:r w:rsidRPr="0001410A">
        <w:rPr>
          <w:rtl/>
          <w:lang w:val="en-US" w:bidi="ar-EG"/>
        </w:rPr>
        <w:t xml:space="preserve">، تقديم </w:t>
      </w:r>
      <w:r w:rsidR="00EE5E01">
        <w:rPr>
          <w:rFonts w:hint="cs"/>
          <w:rtl/>
          <w:lang w:val="en-US"/>
        </w:rPr>
        <w:t>مشروعي توصيتين جديدتين</w:t>
      </w:r>
      <w:r w:rsidR="00710DBE">
        <w:rPr>
          <w:rFonts w:hint="cs"/>
          <w:rtl/>
          <w:lang w:val="en-US"/>
        </w:rPr>
        <w:t xml:space="preserve"> ومشاريع مراجعة</w:t>
      </w:r>
      <w:r w:rsidR="00726CF3">
        <w:rPr>
          <w:rFonts w:hint="eastAsia"/>
          <w:rtl/>
          <w:lang w:val="en-US"/>
        </w:rPr>
        <w:t> </w:t>
      </w:r>
      <w:r w:rsidR="008F36DA">
        <w:rPr>
          <w:lang w:val="en-US"/>
        </w:rPr>
        <w:t>3</w:t>
      </w:r>
      <w:r w:rsidR="00710DBE">
        <w:rPr>
          <w:rFonts w:hint="cs"/>
          <w:rtl/>
          <w:lang w:val="en-US"/>
        </w:rPr>
        <w:t xml:space="preserve"> توصيات</w:t>
      </w:r>
      <w:r w:rsidR="002F45BB">
        <w:rPr>
          <w:rtl/>
          <w:lang w:val="en-US" w:bidi="ar-EG"/>
        </w:rPr>
        <w:t xml:space="preserve"> </w:t>
      </w:r>
      <w:r w:rsidR="00EE5E01">
        <w:rPr>
          <w:rFonts w:hint="cs"/>
          <w:rtl/>
          <w:lang w:val="fr-FR" w:bidi="ar-EG"/>
        </w:rPr>
        <w:t xml:space="preserve">لقطاع الاتصالات الراديوية </w:t>
      </w:r>
      <w:r>
        <w:rPr>
          <w:rtl/>
          <w:lang w:val="fr-FR" w:bidi="ar-EG"/>
        </w:rPr>
        <w:t>لاعتمادها</w:t>
      </w:r>
      <w:r w:rsidRPr="0001410A">
        <w:rPr>
          <w:rtl/>
          <w:lang w:val="fr-FR" w:bidi="ar-EG"/>
        </w:rPr>
        <w:t xml:space="preserve"> والموافقة عليها في نفس الوقت عن طريق المراسلة</w:t>
      </w:r>
      <w:r w:rsidR="00E24278">
        <w:rPr>
          <w:rFonts w:hint="cs"/>
          <w:rtl/>
          <w:lang w:val="fr-FR" w:bidi="ar-EG"/>
        </w:rPr>
        <w:t xml:space="preserve"> </w:t>
      </w:r>
      <w:r w:rsidR="00E24278" w:rsidRPr="00487D5C">
        <w:rPr>
          <w:lang w:val="en-US" w:bidi="ar-EG"/>
        </w:rPr>
        <w:t>(PSAA)</w:t>
      </w:r>
      <w:r w:rsidRPr="0001410A">
        <w:rPr>
          <w:rtl/>
          <w:lang w:val="fr-FR" w:bidi="ar-EG"/>
        </w:rPr>
        <w:t xml:space="preserve"> وفقاً للإجراء المنصوص عليه في</w:t>
      </w:r>
      <w:r w:rsidR="00811F14">
        <w:rPr>
          <w:rFonts w:hint="cs"/>
          <w:rtl/>
          <w:lang w:val="fr-FR" w:bidi="ar-EG"/>
        </w:rPr>
        <w:t> </w:t>
      </w:r>
      <w:r w:rsidRPr="0001410A">
        <w:rPr>
          <w:rtl/>
          <w:lang w:val="fr-FR" w:bidi="ar-EG"/>
        </w:rPr>
        <w:t>القرار</w:t>
      </w:r>
      <w:r w:rsidR="00811F14">
        <w:rPr>
          <w:rFonts w:hint="cs"/>
          <w:rtl/>
          <w:lang w:val="fr-FR" w:bidi="ar-EG"/>
        </w:rPr>
        <w:t> </w:t>
      </w:r>
      <w:r w:rsidRPr="0001410A">
        <w:rPr>
          <w:lang w:val="en-US" w:bidi="ar-EG"/>
        </w:rPr>
        <w:t>ITU</w:t>
      </w:r>
      <w:r w:rsidR="00726CF3">
        <w:rPr>
          <w:lang w:val="en-US" w:bidi="ar-EG"/>
        </w:rPr>
        <w:sym w:font="Symbol" w:char="F02D"/>
      </w:r>
      <w:r w:rsidRPr="0001410A">
        <w:rPr>
          <w:lang w:val="en-US" w:bidi="ar-EG"/>
        </w:rPr>
        <w:t>R 1</w:t>
      </w:r>
      <w:r w:rsidR="00D5604F">
        <w:rPr>
          <w:lang w:val="en-US" w:bidi="ar-EG"/>
        </w:rPr>
        <w:noBreakHyphen/>
      </w:r>
      <w:r w:rsidR="00E24278">
        <w:rPr>
          <w:lang w:val="en-US" w:bidi="ar-EG"/>
        </w:rPr>
        <w:t>6</w:t>
      </w:r>
      <w:r>
        <w:rPr>
          <w:rtl/>
          <w:lang w:val="en-US" w:bidi="ar-EG"/>
        </w:rPr>
        <w:t xml:space="preserve"> (الفقرة </w:t>
      </w:r>
      <w:r>
        <w:rPr>
          <w:lang w:val="en-US" w:bidi="ar-EG"/>
        </w:rPr>
        <w:t>3.10</w:t>
      </w:r>
      <w:r>
        <w:rPr>
          <w:rtl/>
          <w:lang w:val="en-US" w:bidi="ar-EG"/>
        </w:rPr>
        <w:t>).</w:t>
      </w:r>
    </w:p>
    <w:p w:rsidR="00AE050F" w:rsidRPr="00087766" w:rsidRDefault="00AE050F" w:rsidP="008F36DA">
      <w:pPr>
        <w:rPr>
          <w:rtl/>
          <w:lang w:val="en-US" w:bidi="ar-EG"/>
        </w:rPr>
      </w:pPr>
      <w:r w:rsidRPr="00087766">
        <w:rPr>
          <w:rtl/>
          <w:lang w:val="en-US" w:bidi="ar-EG"/>
        </w:rPr>
        <w:t xml:space="preserve">وقد استوفيت الشروط </w:t>
      </w:r>
      <w:r w:rsidR="00F725AC">
        <w:rPr>
          <w:rFonts w:hint="cs"/>
          <w:rtl/>
          <w:lang w:val="en-US" w:bidi="ar-EG"/>
        </w:rPr>
        <w:t xml:space="preserve">التي تحكم هذا </w:t>
      </w:r>
      <w:r w:rsidRPr="00087766">
        <w:rPr>
          <w:rtl/>
          <w:lang w:val="en-US" w:bidi="ar-EG"/>
        </w:rPr>
        <w:t xml:space="preserve">الإجراء في </w:t>
      </w:r>
      <w:r w:rsidR="008F36DA" w:rsidRPr="009E1AD1">
        <w:rPr>
          <w:u w:val="single"/>
          <w:lang w:val="en-US" w:bidi="ar-EG"/>
        </w:rPr>
        <w:t>19</w:t>
      </w:r>
      <w:r w:rsidR="008F36DA" w:rsidRPr="009E1AD1">
        <w:rPr>
          <w:rFonts w:hint="cs"/>
          <w:u w:val="single"/>
          <w:rtl/>
          <w:lang w:val="en-US" w:bidi="ar-EG"/>
        </w:rPr>
        <w:t xml:space="preserve"> ديسمبر</w:t>
      </w:r>
      <w:r w:rsidR="00F725AC" w:rsidRPr="009E1AD1">
        <w:rPr>
          <w:rFonts w:hint="cs"/>
          <w:u w:val="single"/>
          <w:rtl/>
          <w:lang w:val="en-US" w:bidi="ar-EG"/>
        </w:rPr>
        <w:t xml:space="preserve"> </w:t>
      </w:r>
      <w:r w:rsidR="005A0193" w:rsidRPr="009E1AD1">
        <w:rPr>
          <w:u w:val="single"/>
          <w:lang w:val="en-US" w:bidi="ar-EG"/>
        </w:rPr>
        <w:t>201</w:t>
      </w:r>
      <w:r w:rsidR="00171929" w:rsidRPr="009E1AD1">
        <w:rPr>
          <w:u w:val="single"/>
          <w:lang w:val="en-US" w:bidi="ar-EG"/>
        </w:rPr>
        <w:t>2</w:t>
      </w:r>
      <w:r w:rsidR="005A0193" w:rsidRPr="00087766">
        <w:rPr>
          <w:rFonts w:hint="cs"/>
          <w:rtl/>
          <w:lang w:val="en-US" w:bidi="ar-EG"/>
        </w:rPr>
        <w:t>.</w:t>
      </w:r>
    </w:p>
    <w:p w:rsidR="001C579A" w:rsidRPr="008F36DA" w:rsidRDefault="005A0193" w:rsidP="00B63CCA">
      <w:pPr>
        <w:rPr>
          <w:spacing w:val="-4"/>
          <w:rtl/>
        </w:rPr>
      </w:pPr>
      <w:r w:rsidRPr="008F36DA">
        <w:rPr>
          <w:spacing w:val="-4"/>
          <w:rtl/>
        </w:rPr>
        <w:t xml:space="preserve">وسينشر الاتحاد </w:t>
      </w:r>
      <w:r w:rsidR="00726CF3" w:rsidRPr="008F36DA">
        <w:rPr>
          <w:rFonts w:hint="cs"/>
          <w:spacing w:val="-4"/>
          <w:rtl/>
        </w:rPr>
        <w:t>التوصيات التي تمت الموافقة</w:t>
      </w:r>
      <w:r w:rsidR="00AE050F" w:rsidRPr="008F36DA">
        <w:rPr>
          <w:spacing w:val="-4"/>
          <w:rtl/>
        </w:rPr>
        <w:t xml:space="preserve"> عليها، ويتضمن الملحق</w:t>
      </w:r>
      <w:r w:rsidR="001C579A" w:rsidRPr="008F36DA">
        <w:rPr>
          <w:rFonts w:hint="cs"/>
          <w:spacing w:val="-4"/>
          <w:rtl/>
        </w:rPr>
        <w:t> </w:t>
      </w:r>
      <w:r w:rsidR="00AE050F" w:rsidRPr="008F36DA">
        <w:rPr>
          <w:spacing w:val="-4"/>
          <w:rtl/>
        </w:rPr>
        <w:t xml:space="preserve"> </w:t>
      </w:r>
      <w:r w:rsidRPr="008F36DA">
        <w:rPr>
          <w:rFonts w:hint="cs"/>
          <w:spacing w:val="-4"/>
          <w:rtl/>
        </w:rPr>
        <w:t>ب</w:t>
      </w:r>
      <w:r w:rsidR="00AE050F" w:rsidRPr="008F36DA">
        <w:rPr>
          <w:spacing w:val="-4"/>
          <w:rtl/>
        </w:rPr>
        <w:t xml:space="preserve">هذه النشرة </w:t>
      </w:r>
      <w:r w:rsidR="00726CF3" w:rsidRPr="008F36DA">
        <w:rPr>
          <w:rFonts w:hint="cs"/>
          <w:spacing w:val="-4"/>
          <w:rtl/>
        </w:rPr>
        <w:t>عناوين هذه التوصيات والأرقام المخصصة</w:t>
      </w:r>
      <w:r w:rsidR="00AE050F" w:rsidRPr="008F36DA">
        <w:rPr>
          <w:spacing w:val="-4"/>
          <w:rtl/>
        </w:rPr>
        <w:t xml:space="preserve"> لها.</w:t>
      </w:r>
    </w:p>
    <w:p w:rsidR="00AE050F" w:rsidRDefault="003F60F7" w:rsidP="00F725AC">
      <w:pPr>
        <w:spacing w:before="1440"/>
        <w:ind w:left="3969"/>
        <w:jc w:val="center"/>
        <w:rPr>
          <w:sz w:val="30"/>
          <w:rtl/>
          <w:lang w:val="en-US" w:bidi="ar-EG"/>
        </w:rPr>
      </w:pPr>
      <w:r>
        <w:rPr>
          <w:rFonts w:hint="cs"/>
          <w:sz w:val="30"/>
          <w:rtl/>
          <w:lang w:val="en-US" w:bidi="ar-EG"/>
        </w:rPr>
        <w:t>فرانسوا</w:t>
      </w:r>
      <w:r w:rsidR="00B61A1A">
        <w:rPr>
          <w:rFonts w:hint="eastAsia"/>
          <w:sz w:val="30"/>
          <w:rtl/>
          <w:lang w:val="en-US" w:bidi="ar-EG"/>
        </w:rPr>
        <w:t> </w:t>
      </w:r>
      <w:proofErr w:type="spellStart"/>
      <w:r>
        <w:rPr>
          <w:rFonts w:hint="cs"/>
          <w:sz w:val="30"/>
          <w:rtl/>
          <w:lang w:val="en-US" w:bidi="ar-EG"/>
        </w:rPr>
        <w:t>رانسي</w:t>
      </w:r>
      <w:proofErr w:type="spellEnd"/>
      <w:r w:rsidR="00AE050F" w:rsidRPr="00CB4CC7">
        <w:rPr>
          <w:sz w:val="30"/>
          <w:rtl/>
          <w:lang w:val="en-US" w:bidi="ar-EG"/>
        </w:rPr>
        <w:br/>
        <w:t>مدير مكتب الاتصالات الراديوية</w:t>
      </w:r>
    </w:p>
    <w:p w:rsidR="00AE050F" w:rsidRDefault="00AE050F" w:rsidP="00F725AC">
      <w:pPr>
        <w:tabs>
          <w:tab w:val="clear" w:pos="1191"/>
          <w:tab w:val="left" w:pos="1134"/>
        </w:tabs>
        <w:spacing w:before="0"/>
        <w:rPr>
          <w:sz w:val="30"/>
          <w:rtl/>
          <w:lang w:val="en-US" w:bidi="ar-EG"/>
        </w:rPr>
      </w:pPr>
      <w:r w:rsidRPr="00740E51">
        <w:rPr>
          <w:b/>
          <w:bCs/>
          <w:sz w:val="30"/>
          <w:rtl/>
          <w:lang w:val="en-US" w:bidi="ar-EG"/>
        </w:rPr>
        <w:t>الملحقات</w:t>
      </w:r>
      <w:r>
        <w:rPr>
          <w:sz w:val="30"/>
          <w:rtl/>
          <w:lang w:val="en-US" w:bidi="ar-EG"/>
        </w:rPr>
        <w:t xml:space="preserve">: </w:t>
      </w:r>
      <w:r w:rsidR="008F36DA">
        <w:rPr>
          <w:szCs w:val="22"/>
          <w:lang w:val="en-US" w:bidi="ar-EG"/>
        </w:rPr>
        <w:t>1</w:t>
      </w:r>
    </w:p>
    <w:p w:rsidR="00AE050F" w:rsidRPr="00415359" w:rsidRDefault="00AE050F" w:rsidP="00C049E2">
      <w:pPr>
        <w:spacing w:line="168" w:lineRule="auto"/>
        <w:rPr>
          <w:sz w:val="18"/>
          <w:szCs w:val="24"/>
          <w:rtl/>
          <w:lang w:val="en-US" w:bidi="ar-EG"/>
        </w:rPr>
      </w:pPr>
      <w:bookmarkStart w:id="4" w:name="ddistribution"/>
      <w:bookmarkEnd w:id="4"/>
      <w:r w:rsidRPr="00415359">
        <w:rPr>
          <w:b/>
          <w:bCs/>
          <w:sz w:val="18"/>
          <w:szCs w:val="24"/>
          <w:rtl/>
          <w:lang w:val="en-US" w:bidi="ar-EG"/>
        </w:rPr>
        <w:t>التوزيع</w:t>
      </w:r>
      <w:r w:rsidRPr="00415359">
        <w:rPr>
          <w:sz w:val="18"/>
          <w:szCs w:val="24"/>
          <w:rtl/>
          <w:lang w:val="en-US" w:bidi="ar-EG"/>
        </w:rPr>
        <w:t>:</w:t>
      </w:r>
    </w:p>
    <w:p w:rsidR="00AE050F" w:rsidRPr="00415359" w:rsidRDefault="00AE050F" w:rsidP="008F36DA">
      <w:pPr>
        <w:tabs>
          <w:tab w:val="left" w:pos="425"/>
        </w:tabs>
        <w:spacing w:before="60" w:line="168" w:lineRule="auto"/>
        <w:rPr>
          <w:sz w:val="18"/>
          <w:szCs w:val="24"/>
          <w:rtl/>
          <w:lang w:val="fr-CH" w:bidi="ar-EG"/>
        </w:rPr>
      </w:pPr>
      <w:r w:rsidRPr="00415359">
        <w:rPr>
          <w:sz w:val="18"/>
          <w:szCs w:val="24"/>
          <w:rtl/>
          <w:lang w:val="en-US" w:bidi="ar-EG"/>
        </w:rPr>
        <w:t>-</w:t>
      </w:r>
      <w:r w:rsidRPr="00415359">
        <w:rPr>
          <w:sz w:val="18"/>
          <w:szCs w:val="24"/>
          <w:rtl/>
          <w:lang w:val="en-US" w:bidi="ar-EG"/>
        </w:rPr>
        <w:tab/>
        <w:t>إدارات الدول الأعضاء</w:t>
      </w:r>
      <w:r w:rsidR="006E2755" w:rsidRPr="00415359">
        <w:rPr>
          <w:rFonts w:hint="cs"/>
          <w:sz w:val="18"/>
          <w:szCs w:val="24"/>
          <w:rtl/>
          <w:lang w:val="en-US" w:bidi="ar-EG"/>
        </w:rPr>
        <w:t xml:space="preserve"> في الاتحاد</w:t>
      </w:r>
      <w:r w:rsidRPr="00415359">
        <w:rPr>
          <w:sz w:val="18"/>
          <w:szCs w:val="24"/>
          <w:rtl/>
          <w:lang w:val="en-US" w:bidi="ar-EG"/>
        </w:rPr>
        <w:t xml:space="preserve"> وأعضاء قطاع الاتصالات الراديوية</w:t>
      </w:r>
      <w:r w:rsidR="002F45BB" w:rsidRPr="00415359">
        <w:rPr>
          <w:rFonts w:hint="cs"/>
          <w:sz w:val="18"/>
          <w:szCs w:val="24"/>
          <w:rtl/>
          <w:lang w:val="en-US" w:bidi="ar-EG"/>
        </w:rPr>
        <w:t xml:space="preserve"> المشاركون في أعمال لجنة الدراسات </w:t>
      </w:r>
      <w:r w:rsidR="008F36DA">
        <w:rPr>
          <w:sz w:val="18"/>
          <w:szCs w:val="24"/>
          <w:lang w:val="fr-CH" w:bidi="ar-EG"/>
        </w:rPr>
        <w:t>4</w:t>
      </w:r>
      <w:r w:rsidR="002F45BB" w:rsidRPr="00415359">
        <w:rPr>
          <w:rFonts w:hint="cs"/>
          <w:sz w:val="18"/>
          <w:szCs w:val="24"/>
          <w:rtl/>
          <w:lang w:val="fr-CH" w:bidi="ar-EG"/>
        </w:rPr>
        <w:t xml:space="preserve"> للاتصالات الراديوية</w:t>
      </w:r>
    </w:p>
    <w:p w:rsidR="00AE050F" w:rsidRPr="00415359" w:rsidRDefault="00AE050F" w:rsidP="008F36DA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 w:rsidRPr="00415359">
        <w:rPr>
          <w:sz w:val="18"/>
          <w:szCs w:val="24"/>
          <w:rtl/>
          <w:lang w:val="en-US" w:bidi="ar-EG"/>
        </w:rPr>
        <w:t>-</w:t>
      </w:r>
      <w:r w:rsidRPr="00415359">
        <w:rPr>
          <w:sz w:val="18"/>
          <w:szCs w:val="24"/>
          <w:rtl/>
          <w:lang w:val="en-US" w:bidi="ar-EG"/>
        </w:rPr>
        <w:tab/>
        <w:t>المنتسبون إلى قطاع الاتصالات الراديوية ا</w:t>
      </w:r>
      <w:r w:rsidR="008F36DA">
        <w:rPr>
          <w:sz w:val="18"/>
          <w:szCs w:val="24"/>
          <w:rtl/>
          <w:lang w:val="en-US" w:bidi="ar-EG"/>
        </w:rPr>
        <w:t>لمشاركون في أعمال لجنة الدراسات</w:t>
      </w:r>
      <w:r w:rsidR="008F36DA">
        <w:rPr>
          <w:rFonts w:hint="cs"/>
          <w:sz w:val="18"/>
          <w:szCs w:val="24"/>
          <w:rtl/>
          <w:lang w:val="en-US" w:bidi="ar-EG"/>
        </w:rPr>
        <w:t xml:space="preserve"> </w:t>
      </w:r>
      <w:r w:rsidR="008F36DA">
        <w:rPr>
          <w:sz w:val="18"/>
          <w:szCs w:val="24"/>
          <w:lang w:val="en-US" w:bidi="ar-EG"/>
        </w:rPr>
        <w:t>4</w:t>
      </w:r>
      <w:r w:rsidRPr="00415359">
        <w:rPr>
          <w:sz w:val="18"/>
          <w:szCs w:val="24"/>
          <w:rtl/>
          <w:lang w:val="en-US" w:bidi="ar-EG"/>
        </w:rPr>
        <w:t xml:space="preserve"> للاتصالات الراديوية</w:t>
      </w:r>
    </w:p>
    <w:p w:rsidR="002F45BB" w:rsidRPr="00415359" w:rsidRDefault="002F45BB" w:rsidP="002F45BB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 w:rsidRPr="00415359">
        <w:rPr>
          <w:rFonts w:hint="cs"/>
          <w:sz w:val="18"/>
          <w:szCs w:val="24"/>
          <w:rtl/>
          <w:lang w:val="en-US" w:bidi="ar-EG"/>
        </w:rPr>
        <w:t>-</w:t>
      </w:r>
      <w:r w:rsidRPr="00415359">
        <w:rPr>
          <w:rFonts w:hint="cs"/>
          <w:sz w:val="18"/>
          <w:szCs w:val="24"/>
          <w:rtl/>
          <w:lang w:val="en-US" w:bidi="ar-EG"/>
        </w:rPr>
        <w:tab/>
      </w:r>
      <w:r w:rsidRPr="00415359">
        <w:rPr>
          <w:rFonts w:hint="cs"/>
          <w:sz w:val="18"/>
          <w:szCs w:val="24"/>
          <w:rtl/>
          <w:lang w:val="en-US"/>
        </w:rPr>
        <w:t>الهيئات الأكاديمية المنضمة إلى قطاع الاتصالات الراديوية</w:t>
      </w:r>
    </w:p>
    <w:p w:rsidR="00AE050F" w:rsidRPr="00415359" w:rsidRDefault="00AE050F" w:rsidP="003F67A8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 w:rsidRPr="00415359">
        <w:rPr>
          <w:sz w:val="18"/>
          <w:szCs w:val="24"/>
          <w:rtl/>
          <w:lang w:val="en-US" w:bidi="ar-EG"/>
        </w:rPr>
        <w:t>-</w:t>
      </w:r>
      <w:r w:rsidRPr="00415359">
        <w:rPr>
          <w:sz w:val="18"/>
          <w:szCs w:val="24"/>
          <w:rtl/>
          <w:lang w:val="en-US" w:bidi="ar-EG"/>
        </w:rPr>
        <w:tab/>
        <w:t>رؤساء لجان دراسات الاتصالات الراديوية واللجنة الخاصة المعنية بالمسائل التنظيمية والإجرائية ونوابهم</w:t>
      </w:r>
    </w:p>
    <w:p w:rsidR="00AE050F" w:rsidRPr="00415359" w:rsidRDefault="00AE050F" w:rsidP="00D9532B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 w:rsidRPr="00415359">
        <w:rPr>
          <w:sz w:val="18"/>
          <w:szCs w:val="24"/>
          <w:rtl/>
          <w:lang w:val="en-US" w:bidi="ar-EG"/>
        </w:rPr>
        <w:t>-</w:t>
      </w:r>
      <w:r w:rsidRPr="00415359">
        <w:rPr>
          <w:sz w:val="18"/>
          <w:szCs w:val="24"/>
          <w:rtl/>
          <w:lang w:val="en-US" w:bidi="ar-EG"/>
        </w:rPr>
        <w:tab/>
        <w:t>رئيس الاجتماع التحضيري للمؤتمر ونوابه</w:t>
      </w:r>
    </w:p>
    <w:p w:rsidR="00AE050F" w:rsidRPr="00415359" w:rsidRDefault="00AE050F" w:rsidP="00106760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 w:rsidRPr="00415359">
        <w:rPr>
          <w:sz w:val="18"/>
          <w:szCs w:val="24"/>
          <w:rtl/>
          <w:lang w:val="en-US" w:bidi="ar-EG"/>
        </w:rPr>
        <w:t>-</w:t>
      </w:r>
      <w:r w:rsidRPr="00415359">
        <w:rPr>
          <w:sz w:val="18"/>
          <w:szCs w:val="24"/>
          <w:rtl/>
          <w:lang w:val="en-US" w:bidi="ar-EG"/>
        </w:rPr>
        <w:tab/>
        <w:t>أعضاء لجنة لوائح الراديو</w:t>
      </w:r>
    </w:p>
    <w:p w:rsidR="00AE050F" w:rsidRPr="00415359" w:rsidRDefault="00AE050F" w:rsidP="000F38AE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 w:rsidRPr="00415359">
        <w:rPr>
          <w:sz w:val="18"/>
          <w:szCs w:val="24"/>
          <w:rtl/>
          <w:lang w:val="en-US" w:bidi="ar-EG"/>
        </w:rPr>
        <w:t>-</w:t>
      </w:r>
      <w:r w:rsidRPr="00415359">
        <w:rPr>
          <w:sz w:val="18"/>
          <w:szCs w:val="24"/>
          <w:rtl/>
          <w:lang w:val="en-US" w:bidi="ar-EG"/>
        </w:rPr>
        <w:tab/>
        <w:t>الأمين العام للاتحاد ومدير مكتب تقييس الاتصالات ومدير مكتب تنمية الاتصالات</w:t>
      </w:r>
    </w:p>
    <w:p w:rsidR="00AE050F" w:rsidRPr="00395FC0" w:rsidRDefault="00AE050F" w:rsidP="00193E80">
      <w:pPr>
        <w:pStyle w:val="AnnexNo"/>
        <w:rPr>
          <w:b w:val="0"/>
          <w:bCs w:val="0"/>
          <w:rtl/>
        </w:rPr>
      </w:pPr>
      <w:r w:rsidRPr="00395FC0">
        <w:rPr>
          <w:b w:val="0"/>
          <w:bCs w:val="0"/>
          <w:rtl/>
        </w:rPr>
        <w:br w:type="page"/>
      </w:r>
      <w:r w:rsidRPr="00395FC0">
        <w:rPr>
          <w:rFonts w:hint="eastAsia"/>
          <w:b w:val="0"/>
          <w:bCs w:val="0"/>
          <w:rtl/>
        </w:rPr>
        <w:lastRenderedPageBreak/>
        <w:t>الملحـق</w:t>
      </w:r>
      <w:r w:rsidR="00367C62" w:rsidRPr="00395FC0">
        <w:rPr>
          <w:rFonts w:hint="cs"/>
          <w:b w:val="0"/>
          <w:bCs w:val="0"/>
          <w:rtl/>
        </w:rPr>
        <w:t xml:space="preserve"> </w:t>
      </w:r>
    </w:p>
    <w:p w:rsidR="00AE050F" w:rsidRDefault="0074724A" w:rsidP="00395FC0">
      <w:pPr>
        <w:pStyle w:val="Annextitle"/>
        <w:spacing w:after="480"/>
        <w:rPr>
          <w:rtl/>
        </w:rPr>
      </w:pPr>
      <w:r>
        <w:rPr>
          <w:rFonts w:hint="cs"/>
          <w:rtl/>
        </w:rPr>
        <w:t>عناوين التوصيات</w:t>
      </w:r>
      <w:r w:rsidR="00AE050F">
        <w:rPr>
          <w:rtl/>
        </w:rPr>
        <w:t xml:space="preserve"> </w:t>
      </w:r>
      <w:r w:rsidR="00AE050F">
        <w:rPr>
          <w:rFonts w:hint="eastAsia"/>
          <w:rtl/>
        </w:rPr>
        <w:t>المواف</w:t>
      </w:r>
      <w:r w:rsidR="009E79FD">
        <w:rPr>
          <w:rFonts w:hint="cs"/>
          <w:rtl/>
        </w:rPr>
        <w:t>َ</w:t>
      </w:r>
      <w:r w:rsidR="00AE050F">
        <w:rPr>
          <w:rFonts w:hint="eastAsia"/>
          <w:rtl/>
        </w:rPr>
        <w:t>ق</w:t>
      </w:r>
      <w:r w:rsidR="00AE050F">
        <w:rPr>
          <w:rtl/>
        </w:rPr>
        <w:t xml:space="preserve"> </w:t>
      </w:r>
      <w:r w:rsidR="00AE050F">
        <w:rPr>
          <w:rFonts w:hint="eastAsia"/>
          <w:rtl/>
        </w:rPr>
        <w:t>عليها</w:t>
      </w:r>
    </w:p>
    <w:p w:rsidR="008F36DA" w:rsidRDefault="008F36DA" w:rsidP="000F1226">
      <w:pPr>
        <w:keepNext/>
        <w:tabs>
          <w:tab w:val="left" w:pos="229"/>
          <w:tab w:val="right" w:pos="9639"/>
        </w:tabs>
        <w:spacing w:before="240"/>
        <w:rPr>
          <w:rtl/>
          <w:lang w:val="en-US" w:bidi="ar-EG"/>
        </w:rPr>
      </w:pPr>
      <w:r w:rsidRPr="00DB5730">
        <w:rPr>
          <w:rFonts w:hint="cs"/>
          <w:u w:val="single"/>
          <w:rtl/>
        </w:rPr>
        <w:t xml:space="preserve">التوصية </w:t>
      </w:r>
      <w:r w:rsidR="000F1226">
        <w:rPr>
          <w:u w:val="single"/>
        </w:rPr>
        <w:tab/>
      </w:r>
      <w:r>
        <w:rPr>
          <w:u w:val="single"/>
        </w:rPr>
        <w:t>ITU-R M.2030</w:t>
      </w:r>
      <w:r w:rsidRPr="00DB5730">
        <w:rPr>
          <w:rFonts w:hint="cs"/>
          <w:rtl/>
        </w:rPr>
        <w:tab/>
        <w:t>الوثيقة</w:t>
      </w:r>
      <w:r>
        <w:rPr>
          <w:rFonts w:hint="cs"/>
          <w:rtl/>
        </w:rPr>
        <w:t xml:space="preserve"> </w:t>
      </w:r>
      <w:r>
        <w:rPr>
          <w:lang w:val="en-US"/>
        </w:rPr>
        <w:t>4/11(</w:t>
      </w:r>
      <w:r>
        <w:rPr>
          <w:lang w:val="en-US" w:bidi="ar-EG"/>
        </w:rPr>
        <w:t>Rev.1)</w:t>
      </w:r>
    </w:p>
    <w:p w:rsidR="008F36DA" w:rsidRDefault="008F36DA" w:rsidP="008F36DA">
      <w:pPr>
        <w:pStyle w:val="Rectitle"/>
        <w:rPr>
          <w:rtl/>
          <w:lang w:bidi="ar-EG"/>
        </w:rPr>
      </w:pPr>
      <w:r>
        <w:rPr>
          <w:rFonts w:hint="cs"/>
          <w:rtl/>
          <w:lang w:bidi="ar-EG"/>
        </w:rPr>
        <w:t>طريقة لتقييم التداخل النبضي من المصادر الراديوية ذات الصلة</w:t>
      </w:r>
      <w:r>
        <w:rPr>
          <w:rtl/>
          <w:lang w:bidi="ar-EG"/>
        </w:rPr>
        <w:br/>
      </w:r>
      <w:r>
        <w:rPr>
          <w:rFonts w:hint="cs"/>
          <w:rtl/>
          <w:lang w:bidi="ar-EG"/>
        </w:rPr>
        <w:t xml:space="preserve">خلاف المصادر العاملة في خدمة الملاحة الراديوية </w:t>
      </w:r>
      <w:proofErr w:type="spellStart"/>
      <w:r>
        <w:rPr>
          <w:rFonts w:hint="cs"/>
          <w:rtl/>
          <w:lang w:bidi="ar-EG"/>
        </w:rPr>
        <w:t>الساتلية</w:t>
      </w:r>
      <w:proofErr w:type="spellEnd"/>
      <w:r>
        <w:rPr>
          <w:rtl/>
          <w:lang w:bidi="ar-EG"/>
        </w:rPr>
        <w:br/>
      </w:r>
      <w:r>
        <w:rPr>
          <w:rFonts w:hint="cs"/>
          <w:rtl/>
          <w:lang w:bidi="ar-EG"/>
        </w:rPr>
        <w:t xml:space="preserve">على أنظمة خدمة الملاحة الراديوية </w:t>
      </w:r>
      <w:proofErr w:type="spellStart"/>
      <w:r>
        <w:rPr>
          <w:rFonts w:hint="cs"/>
          <w:rtl/>
          <w:lang w:bidi="ar-EG"/>
        </w:rPr>
        <w:t>الساتلية</w:t>
      </w:r>
      <w:proofErr w:type="spellEnd"/>
      <w:r>
        <w:rPr>
          <w:rFonts w:hint="cs"/>
          <w:rtl/>
          <w:lang w:bidi="ar-EG"/>
        </w:rPr>
        <w:t xml:space="preserve"> وشبكاتها</w:t>
      </w:r>
      <w:r>
        <w:rPr>
          <w:rtl/>
          <w:lang w:bidi="ar-EG"/>
        </w:rPr>
        <w:br/>
      </w:r>
      <w:r>
        <w:rPr>
          <w:rFonts w:hint="cs"/>
          <w:rtl/>
          <w:lang w:bidi="ar-EG"/>
        </w:rPr>
        <w:t xml:space="preserve">العاملة في نطاق التردد </w:t>
      </w:r>
      <w:r>
        <w:t>MHz 1 215-1 164</w:t>
      </w:r>
      <w:r>
        <w:rPr>
          <w:rtl/>
          <w:lang w:bidi="ar-EG"/>
        </w:rPr>
        <w:br/>
      </w:r>
      <w:r>
        <w:rPr>
          <w:rFonts w:hint="cs"/>
          <w:rtl/>
          <w:lang w:bidi="ar-EG"/>
        </w:rPr>
        <w:t>و</w:t>
      </w:r>
      <w:r>
        <w:t>MHz 1 300-1 215</w:t>
      </w:r>
      <w:r>
        <w:rPr>
          <w:rFonts w:hint="cs"/>
          <w:rtl/>
          <w:lang w:bidi="ar-EG"/>
        </w:rPr>
        <w:t xml:space="preserve"> و</w:t>
      </w:r>
      <w:r>
        <w:t>MHz 1 610</w:t>
      </w:r>
      <w:r>
        <w:noBreakHyphen/>
        <w:t>1 559</w:t>
      </w:r>
    </w:p>
    <w:p w:rsidR="008F36DA" w:rsidRPr="0019114D" w:rsidRDefault="008F36DA" w:rsidP="00351394">
      <w:pPr>
        <w:keepNext/>
        <w:tabs>
          <w:tab w:val="left" w:pos="229"/>
          <w:tab w:val="right" w:pos="9639"/>
        </w:tabs>
        <w:spacing w:before="360"/>
        <w:rPr>
          <w:u w:val="single"/>
          <w:rtl/>
          <w:lang w:val="en-US" w:bidi="ar-EG"/>
        </w:rPr>
      </w:pPr>
      <w:r w:rsidRPr="00DB5730">
        <w:rPr>
          <w:rFonts w:hint="cs"/>
          <w:u w:val="single"/>
          <w:rtl/>
        </w:rPr>
        <w:t xml:space="preserve">التوصية </w:t>
      </w:r>
      <w:r w:rsidR="000F1226">
        <w:rPr>
          <w:u w:val="single"/>
        </w:rPr>
        <w:tab/>
      </w:r>
      <w:r w:rsidRPr="00EA1FB0">
        <w:rPr>
          <w:u w:val="single"/>
        </w:rPr>
        <w:t>ITU-R</w:t>
      </w:r>
      <w:r>
        <w:rPr>
          <w:u w:val="single"/>
        </w:rPr>
        <w:t xml:space="preserve"> </w:t>
      </w:r>
      <w:r w:rsidRPr="00EA1FB0">
        <w:rPr>
          <w:u w:val="single"/>
        </w:rPr>
        <w:t>S.</w:t>
      </w:r>
      <w:r>
        <w:rPr>
          <w:u w:val="single"/>
        </w:rPr>
        <w:t>20</w:t>
      </w:r>
      <w:r w:rsidR="009E1AD1">
        <w:rPr>
          <w:u w:val="single"/>
        </w:rPr>
        <w:t>29</w:t>
      </w:r>
      <w:r w:rsidRPr="00DB5730">
        <w:rPr>
          <w:rFonts w:hint="cs"/>
          <w:rtl/>
        </w:rPr>
        <w:tab/>
        <w:t>الوثيقة</w:t>
      </w:r>
      <w:r>
        <w:rPr>
          <w:rFonts w:hint="cs"/>
          <w:rtl/>
        </w:rPr>
        <w:t xml:space="preserve"> </w:t>
      </w:r>
      <w:r>
        <w:rPr>
          <w:lang w:val="en-US"/>
        </w:rPr>
        <w:t>4/20(</w:t>
      </w:r>
      <w:r>
        <w:rPr>
          <w:lang w:val="en-US" w:bidi="ar-EG"/>
        </w:rPr>
        <w:t>Rev.1)</w:t>
      </w:r>
    </w:p>
    <w:p w:rsidR="008F36DA" w:rsidRPr="00126477" w:rsidRDefault="008F36DA" w:rsidP="008F36DA">
      <w:pPr>
        <w:pStyle w:val="Rectitle"/>
        <w:rPr>
          <w:rtl/>
          <w:lang w:bidi="ar-EG"/>
        </w:rPr>
      </w:pPr>
      <w:r w:rsidRPr="00126477">
        <w:rPr>
          <w:rFonts w:hint="cs"/>
          <w:rtl/>
          <w:lang w:bidi="ar-EG"/>
        </w:rPr>
        <w:t>منهجية</w:t>
      </w:r>
      <w:r>
        <w:rPr>
          <w:rFonts w:hint="cs"/>
          <w:rtl/>
          <w:lang w:bidi="ar-EG"/>
        </w:rPr>
        <w:t xml:space="preserve"> إحصائية لتقييم التداخل المتغير مع الزمن الناجم عن شبكة</w:t>
      </w:r>
      <w:r>
        <w:rPr>
          <w:rtl/>
          <w:lang w:bidi="ar-EG"/>
        </w:rPr>
        <w:br/>
      </w:r>
      <w:r>
        <w:rPr>
          <w:rFonts w:hint="cs"/>
          <w:rtl/>
          <w:lang w:bidi="ar-EG"/>
        </w:rPr>
        <w:t xml:space="preserve">من المحطات الأرضية في الخدمة الثابتة </w:t>
      </w:r>
      <w:proofErr w:type="spellStart"/>
      <w:r>
        <w:rPr>
          <w:rFonts w:hint="cs"/>
          <w:rtl/>
          <w:lang w:bidi="ar-EG"/>
        </w:rPr>
        <w:t>الساتلية</w:t>
      </w:r>
      <w:proofErr w:type="spellEnd"/>
      <w:r>
        <w:rPr>
          <w:rFonts w:hint="cs"/>
          <w:rtl/>
          <w:lang w:bidi="ar-EG"/>
        </w:rPr>
        <w:t xml:space="preserve"> المستقرة بالنسبة</w:t>
      </w:r>
      <w:r>
        <w:rPr>
          <w:rtl/>
          <w:lang w:bidi="ar-EG"/>
        </w:rPr>
        <w:br/>
      </w:r>
      <w:r>
        <w:rPr>
          <w:rFonts w:hint="cs"/>
          <w:rtl/>
          <w:lang w:bidi="ar-EG"/>
        </w:rPr>
        <w:t xml:space="preserve">إلى الأرض تعمل بالمخططات </w:t>
      </w:r>
      <w:r w:rsidRPr="00C561C6">
        <w:t>M</w:t>
      </w:r>
      <w:r>
        <w:t>F-TDMA</w:t>
      </w:r>
      <w:r>
        <w:rPr>
          <w:rFonts w:hint="cs"/>
          <w:rtl/>
          <w:lang w:bidi="ar-EG"/>
        </w:rPr>
        <w:t xml:space="preserve"> على شبكات</w:t>
      </w:r>
      <w:r>
        <w:rPr>
          <w:rtl/>
          <w:lang w:bidi="ar-EG"/>
        </w:rPr>
        <w:br/>
      </w:r>
      <w:r>
        <w:rPr>
          <w:rFonts w:hint="cs"/>
          <w:rtl/>
          <w:lang w:bidi="ar-EG"/>
        </w:rPr>
        <w:t xml:space="preserve">الخدمة الثابتة </w:t>
      </w:r>
      <w:proofErr w:type="spellStart"/>
      <w:r>
        <w:rPr>
          <w:rFonts w:hint="cs"/>
          <w:rtl/>
          <w:lang w:bidi="ar-EG"/>
        </w:rPr>
        <w:t>الساتلية</w:t>
      </w:r>
      <w:proofErr w:type="spellEnd"/>
      <w:r>
        <w:rPr>
          <w:rFonts w:hint="cs"/>
          <w:rtl/>
          <w:lang w:bidi="ar-EG"/>
        </w:rPr>
        <w:t xml:space="preserve"> المستقرة بالنسبة إلى الأرض</w:t>
      </w:r>
    </w:p>
    <w:p w:rsidR="008F36DA" w:rsidRPr="0019114D" w:rsidRDefault="008F36DA" w:rsidP="00351394">
      <w:pPr>
        <w:keepNext/>
        <w:tabs>
          <w:tab w:val="left" w:pos="229"/>
          <w:tab w:val="right" w:pos="9639"/>
        </w:tabs>
        <w:spacing w:before="360"/>
        <w:rPr>
          <w:u w:val="single"/>
          <w:rtl/>
          <w:lang w:val="en-US" w:bidi="ar-EG"/>
        </w:rPr>
      </w:pPr>
      <w:r w:rsidRPr="00DB5730">
        <w:rPr>
          <w:rFonts w:hint="cs"/>
          <w:u w:val="single"/>
          <w:rtl/>
        </w:rPr>
        <w:t xml:space="preserve">التوصية </w:t>
      </w:r>
      <w:r w:rsidRPr="00EA1FB0">
        <w:rPr>
          <w:u w:val="single"/>
        </w:rPr>
        <w:t>ITU-R</w:t>
      </w:r>
      <w:r>
        <w:rPr>
          <w:u w:val="single"/>
        </w:rPr>
        <w:t xml:space="preserve"> M.1850-1</w:t>
      </w:r>
      <w:r w:rsidRPr="0019114D">
        <w:rPr>
          <w:rFonts w:hint="cs"/>
          <w:rtl/>
        </w:rPr>
        <w:t xml:space="preserve"> </w:t>
      </w:r>
      <w:r w:rsidRPr="00DB5730">
        <w:rPr>
          <w:rFonts w:hint="cs"/>
          <w:rtl/>
        </w:rPr>
        <w:tab/>
        <w:t>الوثيقة</w:t>
      </w:r>
      <w:r>
        <w:rPr>
          <w:rFonts w:hint="cs"/>
          <w:rtl/>
        </w:rPr>
        <w:t xml:space="preserve"> </w:t>
      </w:r>
      <w:r>
        <w:rPr>
          <w:lang w:val="en-US"/>
        </w:rPr>
        <w:t>4/12(</w:t>
      </w:r>
      <w:r>
        <w:rPr>
          <w:lang w:val="en-US" w:bidi="ar-EG"/>
        </w:rPr>
        <w:t>Rev.1)</w:t>
      </w:r>
    </w:p>
    <w:p w:rsidR="008F36DA" w:rsidRDefault="008F36DA" w:rsidP="008F36DA">
      <w:pPr>
        <w:pStyle w:val="Rectitle"/>
        <w:rPr>
          <w:rtl/>
          <w:lang w:eastAsia="zh-CN" w:bidi="ar-EG"/>
        </w:rPr>
      </w:pPr>
      <w:r w:rsidRPr="004E04CD">
        <w:rPr>
          <w:rFonts w:hint="cs"/>
          <w:rtl/>
        </w:rPr>
        <w:t xml:space="preserve">المواصفات التفصيلية للسطوح البينية الراديوية للمكوّن </w:t>
      </w:r>
      <w:proofErr w:type="spellStart"/>
      <w:r w:rsidRPr="004E04CD">
        <w:rPr>
          <w:rFonts w:hint="cs"/>
          <w:rtl/>
        </w:rPr>
        <w:t>الساتلي</w:t>
      </w:r>
      <w:proofErr w:type="spellEnd"/>
      <w:r>
        <w:rPr>
          <w:rtl/>
        </w:rPr>
        <w:br/>
      </w:r>
      <w:r w:rsidRPr="004E04CD">
        <w:rPr>
          <w:rFonts w:hint="cs"/>
          <w:rtl/>
        </w:rPr>
        <w:t>للاتصالات المتنقلة الدولية</w:t>
      </w:r>
      <w:r>
        <w:rPr>
          <w:rFonts w:hint="cs"/>
          <w:rtl/>
        </w:rPr>
        <w:t>-</w:t>
      </w:r>
      <w:r w:rsidRPr="004E04CD">
        <w:t>2000</w:t>
      </w:r>
      <w:r w:rsidRPr="004E04CD">
        <w:rPr>
          <w:rFonts w:hint="cs"/>
          <w:rtl/>
        </w:rPr>
        <w:t xml:space="preserve"> </w:t>
      </w:r>
      <w:r>
        <w:t>(</w:t>
      </w:r>
      <w:r w:rsidRPr="004E04CD">
        <w:t>IMT-2000</w:t>
      </w:r>
      <w:r>
        <w:t>)</w:t>
      </w:r>
    </w:p>
    <w:p w:rsidR="008F36DA" w:rsidRPr="0019114D" w:rsidRDefault="008F36DA" w:rsidP="00351394">
      <w:pPr>
        <w:keepNext/>
        <w:tabs>
          <w:tab w:val="left" w:pos="229"/>
          <w:tab w:val="right" w:pos="9639"/>
        </w:tabs>
        <w:spacing w:before="360"/>
        <w:rPr>
          <w:u w:val="single"/>
          <w:rtl/>
          <w:lang w:val="en-US" w:bidi="ar-EG"/>
        </w:rPr>
      </w:pPr>
      <w:r w:rsidRPr="00DB5730">
        <w:rPr>
          <w:rFonts w:hint="cs"/>
          <w:u w:val="single"/>
          <w:rtl/>
        </w:rPr>
        <w:t xml:space="preserve">التوصية </w:t>
      </w:r>
      <w:r w:rsidRPr="00EA1FB0">
        <w:rPr>
          <w:u w:val="single"/>
        </w:rPr>
        <w:t>ITU-R</w:t>
      </w:r>
      <w:r>
        <w:rPr>
          <w:u w:val="single"/>
        </w:rPr>
        <w:t xml:space="preserve"> BO.1898-1</w:t>
      </w:r>
      <w:r w:rsidRPr="00DB5730">
        <w:rPr>
          <w:rFonts w:hint="cs"/>
          <w:rtl/>
        </w:rPr>
        <w:tab/>
        <w:t>الوثيقة</w:t>
      </w:r>
      <w:r>
        <w:rPr>
          <w:rFonts w:hint="cs"/>
          <w:rtl/>
        </w:rPr>
        <w:t xml:space="preserve"> </w:t>
      </w:r>
      <w:r>
        <w:rPr>
          <w:lang w:val="en-US"/>
        </w:rPr>
        <w:t>4/17(</w:t>
      </w:r>
      <w:r>
        <w:rPr>
          <w:lang w:val="en-US" w:bidi="ar-EG"/>
        </w:rPr>
        <w:t>Rev.1)</w:t>
      </w:r>
    </w:p>
    <w:p w:rsidR="008F36DA" w:rsidRDefault="008F36DA" w:rsidP="00232E38">
      <w:pPr>
        <w:pStyle w:val="Rectitle"/>
        <w:rPr>
          <w:rtl/>
          <w:lang w:val="en-GB" w:eastAsia="zh-CN" w:bidi="ar-EG"/>
        </w:rPr>
      </w:pPr>
      <w:r w:rsidRPr="005058BC">
        <w:rPr>
          <w:rFonts w:hint="cs"/>
          <w:rtl/>
        </w:rPr>
        <w:t>قيمة كثافة تدفق القدرة اللازمة لحماية محطات الاستقبال الأرضية</w:t>
      </w:r>
      <w:r>
        <w:rPr>
          <w:rtl/>
        </w:rPr>
        <w:br/>
      </w:r>
      <w:r w:rsidRPr="005058BC">
        <w:rPr>
          <w:rFonts w:hint="cs"/>
          <w:rtl/>
        </w:rPr>
        <w:t xml:space="preserve">في الخدمة الإذاعية </w:t>
      </w:r>
      <w:proofErr w:type="spellStart"/>
      <w:r w:rsidRPr="005058BC">
        <w:rPr>
          <w:rFonts w:hint="cs"/>
          <w:rtl/>
        </w:rPr>
        <w:t>الساتلية</w:t>
      </w:r>
      <w:proofErr w:type="spellEnd"/>
      <w:r>
        <w:rPr>
          <w:rFonts w:hint="cs"/>
          <w:rtl/>
        </w:rPr>
        <w:t xml:space="preserve"> </w:t>
      </w:r>
      <w:r w:rsidRPr="005058BC">
        <w:rPr>
          <w:rFonts w:hint="cs"/>
          <w:rtl/>
        </w:rPr>
        <w:t xml:space="preserve">في الإقليمين </w:t>
      </w:r>
      <w:r w:rsidRPr="005058BC">
        <w:t>1</w:t>
      </w:r>
      <w:r w:rsidRPr="005058BC">
        <w:rPr>
          <w:rFonts w:hint="cs"/>
          <w:rtl/>
        </w:rPr>
        <w:t xml:space="preserve"> و</w:t>
      </w:r>
      <w:r w:rsidRPr="005058BC">
        <w:t>3</w:t>
      </w:r>
      <w:r w:rsidRPr="005058BC">
        <w:rPr>
          <w:rFonts w:hint="cs"/>
          <w:rtl/>
        </w:rPr>
        <w:t xml:space="preserve"> من إرسالات صادرة</w:t>
      </w:r>
      <w:r>
        <w:rPr>
          <w:rtl/>
        </w:rPr>
        <w:br/>
      </w:r>
      <w:r w:rsidRPr="005058BC">
        <w:rPr>
          <w:rFonts w:hint="cs"/>
          <w:rtl/>
        </w:rPr>
        <w:t xml:space="preserve">من محطة في الخدمة الثابتة و/أو المتنقلة في النطاق </w:t>
      </w:r>
      <w:r w:rsidRPr="005058BC">
        <w:t>GHz 22</w:t>
      </w:r>
      <w:r>
        <w:noBreakHyphen/>
      </w:r>
      <w:r w:rsidRPr="005058BC">
        <w:t>21,4</w:t>
      </w:r>
    </w:p>
    <w:p w:rsidR="008F36DA" w:rsidRPr="0019114D" w:rsidRDefault="008F36DA" w:rsidP="00351394">
      <w:pPr>
        <w:keepNext/>
        <w:tabs>
          <w:tab w:val="left" w:pos="229"/>
          <w:tab w:val="right" w:pos="9639"/>
        </w:tabs>
        <w:spacing w:before="360"/>
        <w:rPr>
          <w:u w:val="single"/>
          <w:rtl/>
          <w:lang w:val="en-US" w:bidi="ar-EG"/>
        </w:rPr>
      </w:pPr>
      <w:r w:rsidRPr="00DB5730">
        <w:rPr>
          <w:rFonts w:hint="cs"/>
          <w:u w:val="single"/>
          <w:rtl/>
        </w:rPr>
        <w:t xml:space="preserve">التوصية </w:t>
      </w:r>
      <w:r w:rsidRPr="00EA1FB0">
        <w:rPr>
          <w:u w:val="single"/>
        </w:rPr>
        <w:t>ITU-R</w:t>
      </w:r>
      <w:r>
        <w:rPr>
          <w:u w:val="single"/>
        </w:rPr>
        <w:t xml:space="preserve"> </w:t>
      </w:r>
      <w:r>
        <w:rPr>
          <w:u w:val="single"/>
          <w:lang w:val="en-US"/>
        </w:rPr>
        <w:t>S</w:t>
      </w:r>
      <w:r>
        <w:rPr>
          <w:u w:val="single"/>
        </w:rPr>
        <w:t>.732-1</w:t>
      </w:r>
      <w:r w:rsidR="002D5E2F">
        <w:rPr>
          <w:rFonts w:hint="cs"/>
          <w:rtl/>
        </w:rPr>
        <w:tab/>
      </w:r>
      <w:r w:rsidRPr="00DB5730">
        <w:rPr>
          <w:rFonts w:hint="cs"/>
          <w:rtl/>
        </w:rPr>
        <w:tab/>
        <w:t>الوثيقة</w:t>
      </w:r>
      <w:r>
        <w:rPr>
          <w:rFonts w:hint="cs"/>
          <w:rtl/>
        </w:rPr>
        <w:t xml:space="preserve"> </w:t>
      </w:r>
      <w:r>
        <w:rPr>
          <w:lang w:val="en-US"/>
        </w:rPr>
        <w:t>4/18(</w:t>
      </w:r>
      <w:r>
        <w:rPr>
          <w:lang w:val="en-US" w:bidi="ar-EG"/>
        </w:rPr>
        <w:t>Rev.1)</w:t>
      </w:r>
    </w:p>
    <w:p w:rsidR="008F36DA" w:rsidRDefault="008F36DA" w:rsidP="00F9035E">
      <w:pPr>
        <w:pStyle w:val="Rectitle"/>
        <w:rPr>
          <w:rtl/>
          <w:lang w:bidi="ar-EG"/>
        </w:rPr>
      </w:pPr>
      <w:r w:rsidRPr="00F37A68">
        <w:rPr>
          <w:rtl/>
        </w:rPr>
        <w:t>طريقة المعالجة الإحصائية لذرى الفصوص الجانبية</w:t>
      </w:r>
      <w:r w:rsidRPr="00F37A68">
        <w:rPr>
          <w:rFonts w:hint="cs"/>
          <w:rtl/>
        </w:rPr>
        <w:t xml:space="preserve"> </w:t>
      </w:r>
      <w:r w:rsidRPr="00F37A68">
        <w:rPr>
          <w:rtl/>
        </w:rPr>
        <w:t>لهوائيات المحطات الأرضية</w:t>
      </w:r>
      <w:r w:rsidR="002D5E2F">
        <w:rPr>
          <w:rFonts w:hint="cs"/>
          <w:rtl/>
        </w:rPr>
        <w:br/>
        <w:t xml:space="preserve">لتحديد </w:t>
      </w:r>
      <w:r w:rsidR="006B513A">
        <w:rPr>
          <w:rFonts w:hint="cs"/>
          <w:rtl/>
          <w:lang w:bidi="ar-EG"/>
        </w:rPr>
        <w:t>ال</w:t>
      </w:r>
      <w:r w:rsidR="002D5E2F">
        <w:rPr>
          <w:rFonts w:hint="cs"/>
          <w:rtl/>
          <w:lang w:bidi="ar-EG"/>
        </w:rPr>
        <w:t>تجاوز</w:t>
      </w:r>
      <w:r w:rsidR="006B513A">
        <w:rPr>
          <w:rFonts w:hint="cs"/>
          <w:rtl/>
          <w:lang w:bidi="ar-EG"/>
        </w:rPr>
        <w:t xml:space="preserve"> فيما يتعلق</w:t>
      </w:r>
      <w:r w:rsidR="002D5E2F">
        <w:rPr>
          <w:rFonts w:hint="cs"/>
          <w:rtl/>
          <w:lang w:bidi="ar-EG"/>
        </w:rPr>
        <w:t xml:space="preserve"> </w:t>
      </w:r>
      <w:r w:rsidR="006B513A">
        <w:rPr>
          <w:rFonts w:hint="cs"/>
          <w:rtl/>
          <w:lang w:bidi="ar-EG"/>
        </w:rPr>
        <w:t>ب</w:t>
      </w:r>
      <w:r w:rsidR="002D5E2F">
        <w:rPr>
          <w:rFonts w:hint="cs"/>
          <w:rtl/>
          <w:lang w:bidi="ar-EG"/>
        </w:rPr>
        <w:t xml:space="preserve">المخططات المرجعية للهوائي </w:t>
      </w:r>
      <w:r w:rsidR="00F9035E">
        <w:rPr>
          <w:rFonts w:hint="cs"/>
          <w:rtl/>
          <w:lang w:bidi="ar-EG"/>
        </w:rPr>
        <w:t>وشروط</w:t>
      </w:r>
      <w:r w:rsidR="002D5E2F">
        <w:rPr>
          <w:rFonts w:hint="cs"/>
          <w:rtl/>
          <w:lang w:bidi="ar-EG"/>
        </w:rPr>
        <w:t xml:space="preserve"> قبول أي تجاوزات</w:t>
      </w:r>
    </w:p>
    <w:p w:rsidR="008F36DA" w:rsidRPr="00664EE1" w:rsidRDefault="008F36DA" w:rsidP="008F36DA">
      <w:pPr>
        <w:jc w:val="center"/>
        <w:rPr>
          <w:rtl/>
          <w:lang w:val="en-US"/>
        </w:rPr>
      </w:pPr>
      <w:r>
        <w:rPr>
          <w:rFonts w:hint="cs"/>
          <w:rtl/>
          <w:lang w:val="en-US"/>
        </w:rPr>
        <w:t>__________</w:t>
      </w:r>
    </w:p>
    <w:sectPr w:rsidR="008F36DA" w:rsidRPr="00664EE1" w:rsidSect="00A8793D">
      <w:headerReference w:type="default" r:id="rId10"/>
      <w:footerReference w:type="default" r:id="rId11"/>
      <w:footerReference w:type="first" r:id="rId12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6DA" w:rsidRDefault="008F36DA">
      <w:r>
        <w:separator/>
      </w:r>
    </w:p>
  </w:endnote>
  <w:endnote w:type="continuationSeparator" w:id="0">
    <w:p w:rsidR="008F36DA" w:rsidRDefault="008F3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6DA" w:rsidRPr="0086415B" w:rsidRDefault="00B647ED" w:rsidP="0086415B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>
      <w:t>Y:\APP\BR\CIRCS_DMS\CACE\500\599\599a.docx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8F36DA" w:rsidTr="009A22F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8F36DA" w:rsidRDefault="008F36DA" w:rsidP="00206E2B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8F36DA" w:rsidRDefault="008F36DA" w:rsidP="00206E2B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8F36DA" w:rsidRDefault="008F36DA" w:rsidP="00206E2B">
          <w:pPr>
            <w:pStyle w:val="itu"/>
            <w:bidi w:val="0"/>
            <w:spacing w:line="240" w:lineRule="auto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8F36DA" w:rsidRDefault="008F36DA" w:rsidP="00206E2B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8F36DA" w:rsidTr="009A22FA">
      <w:trPr>
        <w:cantSplit/>
      </w:trPr>
      <w:tc>
        <w:tcPr>
          <w:tcW w:w="1062" w:type="pct"/>
        </w:tcPr>
        <w:p w:rsidR="008F36DA" w:rsidRDefault="008F36DA" w:rsidP="00206E2B">
          <w:pPr>
            <w:pStyle w:val="itu"/>
            <w:bidi w:val="0"/>
            <w:spacing w:line="240" w:lineRule="auto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8F36DA" w:rsidRDefault="008F36DA" w:rsidP="00206E2B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8F36DA" w:rsidRDefault="008F36DA" w:rsidP="00206E2B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8F36DA" w:rsidRDefault="008F36DA" w:rsidP="00206E2B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8F36DA" w:rsidTr="009A22FA">
      <w:trPr>
        <w:cantSplit/>
      </w:trPr>
      <w:tc>
        <w:tcPr>
          <w:tcW w:w="1062" w:type="pct"/>
        </w:tcPr>
        <w:p w:rsidR="008F36DA" w:rsidRDefault="008F36DA" w:rsidP="00206E2B">
          <w:pPr>
            <w:pStyle w:val="itu"/>
            <w:bidi w:val="0"/>
            <w:spacing w:line="240" w:lineRule="auto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8F36DA" w:rsidRDefault="008F36DA" w:rsidP="00206E2B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8F36DA" w:rsidRDefault="008F36DA" w:rsidP="00206E2B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8F36DA" w:rsidRDefault="008F36DA" w:rsidP="00206E2B">
          <w:pPr>
            <w:pStyle w:val="itu"/>
            <w:bidi w:val="0"/>
            <w:spacing w:line="240" w:lineRule="auto"/>
          </w:pPr>
        </w:p>
      </w:tc>
    </w:tr>
  </w:tbl>
  <w:p w:rsidR="008F36DA" w:rsidRPr="00CD6A72" w:rsidRDefault="008F36DA" w:rsidP="00A8793D">
    <w:pPr>
      <w:bidi w:val="0"/>
      <w:spacing w:before="0"/>
      <w:rPr>
        <w:lang w:val="es-ES"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6DA" w:rsidRDefault="008F36DA">
      <w:r>
        <w:t>____________________</w:t>
      </w:r>
    </w:p>
  </w:footnote>
  <w:footnote w:type="continuationSeparator" w:id="0">
    <w:p w:rsidR="008F36DA" w:rsidRDefault="008F36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6DA" w:rsidRPr="003F60F7" w:rsidRDefault="008F36DA" w:rsidP="003F60F7">
    <w:pPr>
      <w:pStyle w:val="Header"/>
      <w:bidi w:val="0"/>
      <w:rPr>
        <w:rStyle w:val="PageNumber"/>
        <w:rFonts w:cs="Traditional Arabic"/>
        <w:sz w:val="20"/>
        <w:szCs w:val="20"/>
      </w:rPr>
    </w:pPr>
    <w:r w:rsidRPr="003F60F7">
      <w:rPr>
        <w:sz w:val="20"/>
        <w:szCs w:val="20"/>
        <w:lang w:val="en-US"/>
      </w:rPr>
      <w:t xml:space="preserve">- </w:t>
    </w:r>
    <w:r w:rsidRPr="003F60F7">
      <w:rPr>
        <w:rStyle w:val="PageNumber"/>
        <w:rFonts w:cs="Traditional Arabic"/>
        <w:sz w:val="20"/>
        <w:szCs w:val="20"/>
      </w:rPr>
      <w:fldChar w:fldCharType="begin"/>
    </w:r>
    <w:r w:rsidRPr="003F60F7">
      <w:rPr>
        <w:rStyle w:val="PageNumber"/>
        <w:rFonts w:cs="Traditional Arabic"/>
        <w:sz w:val="20"/>
        <w:szCs w:val="20"/>
      </w:rPr>
      <w:instrText xml:space="preserve"> PAGE </w:instrText>
    </w:r>
    <w:r w:rsidRPr="003F60F7">
      <w:rPr>
        <w:rStyle w:val="PageNumber"/>
        <w:rFonts w:cs="Traditional Arabic"/>
        <w:sz w:val="20"/>
        <w:szCs w:val="20"/>
      </w:rPr>
      <w:fldChar w:fldCharType="separate"/>
    </w:r>
    <w:r w:rsidR="00B647ED">
      <w:rPr>
        <w:rStyle w:val="PageNumber"/>
        <w:rFonts w:cs="Traditional Arabic"/>
        <w:noProof/>
        <w:sz w:val="20"/>
        <w:szCs w:val="20"/>
      </w:rPr>
      <w:t>2</w:t>
    </w:r>
    <w:r w:rsidRPr="003F60F7">
      <w:rPr>
        <w:rStyle w:val="PageNumber"/>
        <w:rFonts w:cs="Traditional Arabic"/>
        <w:sz w:val="20"/>
        <w:szCs w:val="20"/>
      </w:rPr>
      <w:fldChar w:fldCharType="end"/>
    </w:r>
    <w:r w:rsidRPr="003F60F7">
      <w:rPr>
        <w:rStyle w:val="PageNumber"/>
        <w:rFonts w:cs="Traditional Arabic"/>
        <w:sz w:val="20"/>
        <w:szCs w:val="20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5F61B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F69A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049E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42F6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9DC4B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60E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A481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F9C13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F82A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7812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82"/>
    <w:rsid w:val="0000160F"/>
    <w:rsid w:val="00003C28"/>
    <w:rsid w:val="0001410A"/>
    <w:rsid w:val="00016557"/>
    <w:rsid w:val="00017CFE"/>
    <w:rsid w:val="000347DE"/>
    <w:rsid w:val="0004070C"/>
    <w:rsid w:val="00051EEA"/>
    <w:rsid w:val="00054872"/>
    <w:rsid w:val="000660F8"/>
    <w:rsid w:val="00076078"/>
    <w:rsid w:val="00082D29"/>
    <w:rsid w:val="00087766"/>
    <w:rsid w:val="000B2525"/>
    <w:rsid w:val="000B5C3B"/>
    <w:rsid w:val="000B6E18"/>
    <w:rsid w:val="000C6738"/>
    <w:rsid w:val="000E0EEB"/>
    <w:rsid w:val="000E15C1"/>
    <w:rsid w:val="000E27D1"/>
    <w:rsid w:val="000E64DA"/>
    <w:rsid w:val="000F1226"/>
    <w:rsid w:val="000F181D"/>
    <w:rsid w:val="000F38AE"/>
    <w:rsid w:val="000F527D"/>
    <w:rsid w:val="00106760"/>
    <w:rsid w:val="001145CA"/>
    <w:rsid w:val="00120B72"/>
    <w:rsid w:val="001214B1"/>
    <w:rsid w:val="00122CE1"/>
    <w:rsid w:val="00125F99"/>
    <w:rsid w:val="001262AF"/>
    <w:rsid w:val="001307AE"/>
    <w:rsid w:val="001315F3"/>
    <w:rsid w:val="0014668A"/>
    <w:rsid w:val="001532E1"/>
    <w:rsid w:val="001541D8"/>
    <w:rsid w:val="001708DB"/>
    <w:rsid w:val="00171929"/>
    <w:rsid w:val="001879A0"/>
    <w:rsid w:val="00193E80"/>
    <w:rsid w:val="001A634A"/>
    <w:rsid w:val="001B0C6D"/>
    <w:rsid w:val="001B33F8"/>
    <w:rsid w:val="001C02EC"/>
    <w:rsid w:val="001C2DF4"/>
    <w:rsid w:val="001C579A"/>
    <w:rsid w:val="001D01A8"/>
    <w:rsid w:val="001D0B93"/>
    <w:rsid w:val="001E0782"/>
    <w:rsid w:val="001E15AA"/>
    <w:rsid w:val="001E5AB0"/>
    <w:rsid w:val="001E6AAE"/>
    <w:rsid w:val="001E7A30"/>
    <w:rsid w:val="001F3B2A"/>
    <w:rsid w:val="00206A4D"/>
    <w:rsid w:val="00206E2B"/>
    <w:rsid w:val="00210B45"/>
    <w:rsid w:val="00213E60"/>
    <w:rsid w:val="00217604"/>
    <w:rsid w:val="00217A61"/>
    <w:rsid w:val="002234F0"/>
    <w:rsid w:val="0022559C"/>
    <w:rsid w:val="00227F65"/>
    <w:rsid w:val="00232E38"/>
    <w:rsid w:val="00234177"/>
    <w:rsid w:val="00244139"/>
    <w:rsid w:val="00251013"/>
    <w:rsid w:val="00253405"/>
    <w:rsid w:val="002620C2"/>
    <w:rsid w:val="00266C81"/>
    <w:rsid w:val="0027032C"/>
    <w:rsid w:val="00272B6B"/>
    <w:rsid w:val="00274377"/>
    <w:rsid w:val="00274EA6"/>
    <w:rsid w:val="002750E2"/>
    <w:rsid w:val="00282A09"/>
    <w:rsid w:val="002966D5"/>
    <w:rsid w:val="002A4340"/>
    <w:rsid w:val="002C3F64"/>
    <w:rsid w:val="002C7607"/>
    <w:rsid w:val="002D5E2F"/>
    <w:rsid w:val="002D5FFC"/>
    <w:rsid w:val="002E43E0"/>
    <w:rsid w:val="002F45BB"/>
    <w:rsid w:val="00307384"/>
    <w:rsid w:val="00310232"/>
    <w:rsid w:val="00315421"/>
    <w:rsid w:val="003250B5"/>
    <w:rsid w:val="0032727C"/>
    <w:rsid w:val="00327BB4"/>
    <w:rsid w:val="00330B20"/>
    <w:rsid w:val="00340B5E"/>
    <w:rsid w:val="00343581"/>
    <w:rsid w:val="00344931"/>
    <w:rsid w:val="00351394"/>
    <w:rsid w:val="00352DE6"/>
    <w:rsid w:val="00356D02"/>
    <w:rsid w:val="00357934"/>
    <w:rsid w:val="0036292F"/>
    <w:rsid w:val="00365151"/>
    <w:rsid w:val="00367C62"/>
    <w:rsid w:val="00376A60"/>
    <w:rsid w:val="00395851"/>
    <w:rsid w:val="00395FC0"/>
    <w:rsid w:val="003A00D0"/>
    <w:rsid w:val="003B2AF6"/>
    <w:rsid w:val="003B3F9E"/>
    <w:rsid w:val="003C51CD"/>
    <w:rsid w:val="003C5F59"/>
    <w:rsid w:val="003D3993"/>
    <w:rsid w:val="003D4BAC"/>
    <w:rsid w:val="003E03B0"/>
    <w:rsid w:val="003E2629"/>
    <w:rsid w:val="003E64E5"/>
    <w:rsid w:val="003F18DA"/>
    <w:rsid w:val="003F60F7"/>
    <w:rsid w:val="003F67A8"/>
    <w:rsid w:val="0040383D"/>
    <w:rsid w:val="00411C73"/>
    <w:rsid w:val="004140EA"/>
    <w:rsid w:val="00415359"/>
    <w:rsid w:val="00416965"/>
    <w:rsid w:val="004239C5"/>
    <w:rsid w:val="00427900"/>
    <w:rsid w:val="004406E3"/>
    <w:rsid w:val="00441904"/>
    <w:rsid w:val="0044634B"/>
    <w:rsid w:val="00471F5C"/>
    <w:rsid w:val="004826EC"/>
    <w:rsid w:val="004843CC"/>
    <w:rsid w:val="00487D5C"/>
    <w:rsid w:val="004A5AB1"/>
    <w:rsid w:val="004B1157"/>
    <w:rsid w:val="004B1FC8"/>
    <w:rsid w:val="004C1881"/>
    <w:rsid w:val="004C6D38"/>
    <w:rsid w:val="004C7217"/>
    <w:rsid w:val="004E5232"/>
    <w:rsid w:val="004E7028"/>
    <w:rsid w:val="004F26AE"/>
    <w:rsid w:val="00506F48"/>
    <w:rsid w:val="005078C6"/>
    <w:rsid w:val="0052066D"/>
    <w:rsid w:val="005211E6"/>
    <w:rsid w:val="00523421"/>
    <w:rsid w:val="00526035"/>
    <w:rsid w:val="00533BA0"/>
    <w:rsid w:val="00536301"/>
    <w:rsid w:val="0056345F"/>
    <w:rsid w:val="00572AFB"/>
    <w:rsid w:val="0057351C"/>
    <w:rsid w:val="005807A0"/>
    <w:rsid w:val="005818D3"/>
    <w:rsid w:val="00582519"/>
    <w:rsid w:val="00587A96"/>
    <w:rsid w:val="005933D1"/>
    <w:rsid w:val="00595800"/>
    <w:rsid w:val="00596BA9"/>
    <w:rsid w:val="005A0193"/>
    <w:rsid w:val="005B589A"/>
    <w:rsid w:val="005B73E9"/>
    <w:rsid w:val="005C2F59"/>
    <w:rsid w:val="005C4124"/>
    <w:rsid w:val="005C7A2B"/>
    <w:rsid w:val="005D6483"/>
    <w:rsid w:val="005D7A94"/>
    <w:rsid w:val="005F130D"/>
    <w:rsid w:val="005F1D97"/>
    <w:rsid w:val="005F424A"/>
    <w:rsid w:val="005F7F4C"/>
    <w:rsid w:val="00602FD1"/>
    <w:rsid w:val="00604CDC"/>
    <w:rsid w:val="006075B8"/>
    <w:rsid w:val="006108D7"/>
    <w:rsid w:val="00611E07"/>
    <w:rsid w:val="006136BC"/>
    <w:rsid w:val="00621F46"/>
    <w:rsid w:val="00624358"/>
    <w:rsid w:val="00630BAE"/>
    <w:rsid w:val="00631B5F"/>
    <w:rsid w:val="00636C9E"/>
    <w:rsid w:val="00637C9D"/>
    <w:rsid w:val="00640C3D"/>
    <w:rsid w:val="00640E54"/>
    <w:rsid w:val="006457AF"/>
    <w:rsid w:val="00657BB9"/>
    <w:rsid w:val="006601D2"/>
    <w:rsid w:val="00671439"/>
    <w:rsid w:val="00681995"/>
    <w:rsid w:val="00691FF0"/>
    <w:rsid w:val="006B3F95"/>
    <w:rsid w:val="006B513A"/>
    <w:rsid w:val="006B5E71"/>
    <w:rsid w:val="006D323A"/>
    <w:rsid w:val="006D44F6"/>
    <w:rsid w:val="006D5865"/>
    <w:rsid w:val="006E2755"/>
    <w:rsid w:val="00702A71"/>
    <w:rsid w:val="0070484E"/>
    <w:rsid w:val="0070638A"/>
    <w:rsid w:val="00707421"/>
    <w:rsid w:val="00710DBE"/>
    <w:rsid w:val="0071106C"/>
    <w:rsid w:val="00713194"/>
    <w:rsid w:val="0072288B"/>
    <w:rsid w:val="00726CF3"/>
    <w:rsid w:val="00731A92"/>
    <w:rsid w:val="00734796"/>
    <w:rsid w:val="00740E51"/>
    <w:rsid w:val="00746900"/>
    <w:rsid w:val="0074724A"/>
    <w:rsid w:val="00747BF3"/>
    <w:rsid w:val="00750B39"/>
    <w:rsid w:val="00751BD8"/>
    <w:rsid w:val="00754682"/>
    <w:rsid w:val="00757481"/>
    <w:rsid w:val="00757D5D"/>
    <w:rsid w:val="0076553E"/>
    <w:rsid w:val="00767F28"/>
    <w:rsid w:val="00771005"/>
    <w:rsid w:val="0077439C"/>
    <w:rsid w:val="0078518B"/>
    <w:rsid w:val="00786140"/>
    <w:rsid w:val="007953DC"/>
    <w:rsid w:val="007B1D6E"/>
    <w:rsid w:val="007B3C0A"/>
    <w:rsid w:val="007D7C2D"/>
    <w:rsid w:val="007E0116"/>
    <w:rsid w:val="007E5305"/>
    <w:rsid w:val="00811467"/>
    <w:rsid w:val="00811F14"/>
    <w:rsid w:val="00827AF6"/>
    <w:rsid w:val="008320D7"/>
    <w:rsid w:val="008355FD"/>
    <w:rsid w:val="008372B0"/>
    <w:rsid w:val="00847B1A"/>
    <w:rsid w:val="00863E00"/>
    <w:rsid w:val="0086415B"/>
    <w:rsid w:val="00865255"/>
    <w:rsid w:val="00865B94"/>
    <w:rsid w:val="008753C7"/>
    <w:rsid w:val="008753E4"/>
    <w:rsid w:val="00881D43"/>
    <w:rsid w:val="00893245"/>
    <w:rsid w:val="008A34FA"/>
    <w:rsid w:val="008A36C0"/>
    <w:rsid w:val="008A5DF1"/>
    <w:rsid w:val="008A6806"/>
    <w:rsid w:val="008B4DCA"/>
    <w:rsid w:val="008C5635"/>
    <w:rsid w:val="008D4874"/>
    <w:rsid w:val="008E2159"/>
    <w:rsid w:val="008E3F9C"/>
    <w:rsid w:val="008F36DA"/>
    <w:rsid w:val="00905178"/>
    <w:rsid w:val="0090625A"/>
    <w:rsid w:val="009129EA"/>
    <w:rsid w:val="0093664B"/>
    <w:rsid w:val="0093776F"/>
    <w:rsid w:val="00947214"/>
    <w:rsid w:val="00947C2E"/>
    <w:rsid w:val="00952FB0"/>
    <w:rsid w:val="009676DC"/>
    <w:rsid w:val="00970EFC"/>
    <w:rsid w:val="009746CA"/>
    <w:rsid w:val="00980D6F"/>
    <w:rsid w:val="00981A82"/>
    <w:rsid w:val="009846D5"/>
    <w:rsid w:val="00993A42"/>
    <w:rsid w:val="009A22FA"/>
    <w:rsid w:val="009A28D0"/>
    <w:rsid w:val="009B6AEF"/>
    <w:rsid w:val="009C7D03"/>
    <w:rsid w:val="009E14F3"/>
    <w:rsid w:val="009E1957"/>
    <w:rsid w:val="009E1AD1"/>
    <w:rsid w:val="009E6D07"/>
    <w:rsid w:val="009E79FD"/>
    <w:rsid w:val="009F11D2"/>
    <w:rsid w:val="009F72D8"/>
    <w:rsid w:val="00A01D89"/>
    <w:rsid w:val="00A06093"/>
    <w:rsid w:val="00A06F64"/>
    <w:rsid w:val="00A12083"/>
    <w:rsid w:val="00A20DC6"/>
    <w:rsid w:val="00A215DE"/>
    <w:rsid w:val="00A33BD6"/>
    <w:rsid w:val="00A33F0F"/>
    <w:rsid w:val="00A341B6"/>
    <w:rsid w:val="00A3798B"/>
    <w:rsid w:val="00A46325"/>
    <w:rsid w:val="00A52902"/>
    <w:rsid w:val="00A55AA3"/>
    <w:rsid w:val="00A609F8"/>
    <w:rsid w:val="00A674C8"/>
    <w:rsid w:val="00A67D30"/>
    <w:rsid w:val="00A7788E"/>
    <w:rsid w:val="00A81588"/>
    <w:rsid w:val="00A82282"/>
    <w:rsid w:val="00A8793D"/>
    <w:rsid w:val="00AB07C5"/>
    <w:rsid w:val="00AB19FA"/>
    <w:rsid w:val="00AC47DF"/>
    <w:rsid w:val="00AD550E"/>
    <w:rsid w:val="00AD6E16"/>
    <w:rsid w:val="00AE050F"/>
    <w:rsid w:val="00AE7E78"/>
    <w:rsid w:val="00AF5B54"/>
    <w:rsid w:val="00B01711"/>
    <w:rsid w:val="00B06335"/>
    <w:rsid w:val="00B1030C"/>
    <w:rsid w:val="00B11436"/>
    <w:rsid w:val="00B21CD3"/>
    <w:rsid w:val="00B21CDA"/>
    <w:rsid w:val="00B31898"/>
    <w:rsid w:val="00B55E68"/>
    <w:rsid w:val="00B57344"/>
    <w:rsid w:val="00B61A1A"/>
    <w:rsid w:val="00B6228B"/>
    <w:rsid w:val="00B63CCA"/>
    <w:rsid w:val="00B647ED"/>
    <w:rsid w:val="00B74977"/>
    <w:rsid w:val="00B758DB"/>
    <w:rsid w:val="00B76590"/>
    <w:rsid w:val="00B76B61"/>
    <w:rsid w:val="00B819D5"/>
    <w:rsid w:val="00B854A2"/>
    <w:rsid w:val="00B85691"/>
    <w:rsid w:val="00B87E04"/>
    <w:rsid w:val="00B947A4"/>
    <w:rsid w:val="00BA08FD"/>
    <w:rsid w:val="00BA1358"/>
    <w:rsid w:val="00BA53CC"/>
    <w:rsid w:val="00BB5F44"/>
    <w:rsid w:val="00BC23AD"/>
    <w:rsid w:val="00BC4737"/>
    <w:rsid w:val="00BD3B66"/>
    <w:rsid w:val="00BD6FF5"/>
    <w:rsid w:val="00BE4430"/>
    <w:rsid w:val="00BE46DC"/>
    <w:rsid w:val="00BF64F6"/>
    <w:rsid w:val="00C00246"/>
    <w:rsid w:val="00C021C9"/>
    <w:rsid w:val="00C049E2"/>
    <w:rsid w:val="00C0606B"/>
    <w:rsid w:val="00C06B45"/>
    <w:rsid w:val="00C11C9A"/>
    <w:rsid w:val="00C22686"/>
    <w:rsid w:val="00C22A2A"/>
    <w:rsid w:val="00C312D0"/>
    <w:rsid w:val="00C35132"/>
    <w:rsid w:val="00C42255"/>
    <w:rsid w:val="00C44A3C"/>
    <w:rsid w:val="00C52FD1"/>
    <w:rsid w:val="00C53DD3"/>
    <w:rsid w:val="00C57D87"/>
    <w:rsid w:val="00C60966"/>
    <w:rsid w:val="00C60F9A"/>
    <w:rsid w:val="00C613A1"/>
    <w:rsid w:val="00C72584"/>
    <w:rsid w:val="00C90BC5"/>
    <w:rsid w:val="00C97D3C"/>
    <w:rsid w:val="00CA1979"/>
    <w:rsid w:val="00CA4464"/>
    <w:rsid w:val="00CA5F9D"/>
    <w:rsid w:val="00CB4CC7"/>
    <w:rsid w:val="00CB73C8"/>
    <w:rsid w:val="00CC2143"/>
    <w:rsid w:val="00CD2CFF"/>
    <w:rsid w:val="00CD49E0"/>
    <w:rsid w:val="00CD6A72"/>
    <w:rsid w:val="00CE7DDC"/>
    <w:rsid w:val="00CF175A"/>
    <w:rsid w:val="00CF3AF6"/>
    <w:rsid w:val="00CF523A"/>
    <w:rsid w:val="00D02208"/>
    <w:rsid w:val="00D02FA2"/>
    <w:rsid w:val="00D03BDA"/>
    <w:rsid w:val="00D1255F"/>
    <w:rsid w:val="00D15681"/>
    <w:rsid w:val="00D231C7"/>
    <w:rsid w:val="00D238E6"/>
    <w:rsid w:val="00D35752"/>
    <w:rsid w:val="00D45DA3"/>
    <w:rsid w:val="00D463D0"/>
    <w:rsid w:val="00D5604F"/>
    <w:rsid w:val="00D61395"/>
    <w:rsid w:val="00D61661"/>
    <w:rsid w:val="00D744B4"/>
    <w:rsid w:val="00D82FF8"/>
    <w:rsid w:val="00D835B9"/>
    <w:rsid w:val="00D9532B"/>
    <w:rsid w:val="00DA2FBF"/>
    <w:rsid w:val="00DA4D2D"/>
    <w:rsid w:val="00DA51CA"/>
    <w:rsid w:val="00DA5883"/>
    <w:rsid w:val="00DC68DE"/>
    <w:rsid w:val="00DE6042"/>
    <w:rsid w:val="00E22745"/>
    <w:rsid w:val="00E24278"/>
    <w:rsid w:val="00E25F9F"/>
    <w:rsid w:val="00E43B86"/>
    <w:rsid w:val="00E55B49"/>
    <w:rsid w:val="00E642EB"/>
    <w:rsid w:val="00E65B17"/>
    <w:rsid w:val="00E66D15"/>
    <w:rsid w:val="00E67237"/>
    <w:rsid w:val="00E75C8D"/>
    <w:rsid w:val="00E85333"/>
    <w:rsid w:val="00E86407"/>
    <w:rsid w:val="00E931DD"/>
    <w:rsid w:val="00E938F4"/>
    <w:rsid w:val="00EA1FA3"/>
    <w:rsid w:val="00EA3EC1"/>
    <w:rsid w:val="00EA65A3"/>
    <w:rsid w:val="00EC710F"/>
    <w:rsid w:val="00EC75FD"/>
    <w:rsid w:val="00EE30FC"/>
    <w:rsid w:val="00EE3858"/>
    <w:rsid w:val="00EE4CC4"/>
    <w:rsid w:val="00EE5E01"/>
    <w:rsid w:val="00EF73B1"/>
    <w:rsid w:val="00F0314A"/>
    <w:rsid w:val="00F03D81"/>
    <w:rsid w:val="00F1170C"/>
    <w:rsid w:val="00F42740"/>
    <w:rsid w:val="00F45E6E"/>
    <w:rsid w:val="00F55179"/>
    <w:rsid w:val="00F601B0"/>
    <w:rsid w:val="00F725AC"/>
    <w:rsid w:val="00F73F2C"/>
    <w:rsid w:val="00F75AC0"/>
    <w:rsid w:val="00F838F2"/>
    <w:rsid w:val="00F9035E"/>
    <w:rsid w:val="00F9140A"/>
    <w:rsid w:val="00F931BB"/>
    <w:rsid w:val="00F96658"/>
    <w:rsid w:val="00F97C62"/>
    <w:rsid w:val="00FA74ED"/>
    <w:rsid w:val="00FC6453"/>
    <w:rsid w:val="00FD2EF8"/>
    <w:rsid w:val="00FD3EE3"/>
    <w:rsid w:val="00FE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532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iPriority="0" w:unhideWhenUsed="1" w:qFormat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288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2288B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72288B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72288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72288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72288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72288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72288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72288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2686"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22686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22686"/>
    <w:rPr>
      <w:rFonts w:ascii="Cambria" w:eastAsia="SimSu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22686"/>
    <w:rPr>
      <w:rFonts w:ascii="Calibri" w:eastAsia="SimSun" w:hAnsi="Calibri" w:cs="Arial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22686"/>
    <w:rPr>
      <w:rFonts w:ascii="Calibri" w:eastAsia="SimSun" w:hAnsi="Calibri" w:cs="Arial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22686"/>
    <w:rPr>
      <w:rFonts w:ascii="Calibri" w:eastAsia="SimSun" w:hAnsi="Calibri" w:cs="Arial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22686"/>
    <w:rPr>
      <w:rFonts w:ascii="Calibri" w:eastAsia="SimSun" w:hAnsi="Calibri" w:cs="Arial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22686"/>
    <w:rPr>
      <w:rFonts w:ascii="Calibri" w:eastAsia="SimSun" w:hAnsi="Calibri" w:cs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22686"/>
    <w:rPr>
      <w:rFonts w:ascii="Cambria" w:eastAsia="SimSun" w:hAnsi="Cambria" w:cs="Times New Roman"/>
      <w:lang w:val="en-GB" w:eastAsia="en-US"/>
    </w:rPr>
  </w:style>
  <w:style w:type="paragraph" w:customStyle="1" w:styleId="AnnexNotitle">
    <w:name w:val="Annex_No &amp; title"/>
    <w:basedOn w:val="Normal"/>
    <w:next w:val="Normalaftertitle"/>
    <w:autoRedefine/>
    <w:uiPriority w:val="99"/>
    <w:rsid w:val="007E5305"/>
    <w:pPr>
      <w:keepNext/>
      <w:keepLines/>
      <w:spacing w:before="480"/>
      <w:jc w:val="center"/>
    </w:pPr>
    <w:rPr>
      <w:sz w:val="26"/>
      <w:szCs w:val="36"/>
    </w:rPr>
  </w:style>
  <w:style w:type="paragraph" w:customStyle="1" w:styleId="Normalaftertitle">
    <w:name w:val="Normal_after_title"/>
    <w:basedOn w:val="Normal"/>
    <w:next w:val="Normal"/>
    <w:rsid w:val="0072288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uiPriority w:val="99"/>
    <w:rsid w:val="0072288B"/>
  </w:style>
  <w:style w:type="paragraph" w:customStyle="1" w:styleId="Figure">
    <w:name w:val="Figure"/>
    <w:basedOn w:val="Normal"/>
    <w:next w:val="FigureNotitle"/>
    <w:uiPriority w:val="99"/>
    <w:rsid w:val="0072288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sid w:val="0072288B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72288B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uiPriority w:val="99"/>
    <w:rsid w:val="0072288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uiPriority w:val="99"/>
    <w:rsid w:val="0072288B"/>
    <w:rPr>
      <w:b w:val="0"/>
    </w:rPr>
  </w:style>
  <w:style w:type="paragraph" w:customStyle="1" w:styleId="ASN1">
    <w:name w:val="ASN.1"/>
    <w:basedOn w:val="Normal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72288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uiPriority w:val="99"/>
    <w:rsid w:val="0072288B"/>
    <w:rPr>
      <w:rFonts w:cs="Times New Roman"/>
    </w:rPr>
  </w:style>
  <w:style w:type="paragraph" w:customStyle="1" w:styleId="Call">
    <w:name w:val="Call"/>
    <w:basedOn w:val="Normal"/>
    <w:next w:val="Normal"/>
    <w:uiPriority w:val="99"/>
    <w:rsid w:val="0072288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72288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72288B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72288B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stitle"/>
    <w:next w:val="Normalaftertitle"/>
    <w:rsid w:val="00F97C62"/>
  </w:style>
  <w:style w:type="paragraph" w:customStyle="1" w:styleId="QuestionNoBR">
    <w:name w:val="Question_No_BR"/>
    <w:basedOn w:val="RecNoBR"/>
    <w:next w:val="Questiontitle"/>
    <w:uiPriority w:val="99"/>
    <w:rsid w:val="0072288B"/>
  </w:style>
  <w:style w:type="paragraph" w:customStyle="1" w:styleId="Questiontitle">
    <w:name w:val="Question_title"/>
    <w:basedOn w:val="Rectitle"/>
    <w:next w:val="Questionref"/>
    <w:uiPriority w:val="99"/>
    <w:rsid w:val="0072288B"/>
  </w:style>
  <w:style w:type="paragraph" w:customStyle="1" w:styleId="Questionref">
    <w:name w:val="Question_ref"/>
    <w:basedOn w:val="Recref"/>
    <w:next w:val="Questiondate"/>
    <w:uiPriority w:val="99"/>
    <w:rsid w:val="0072288B"/>
  </w:style>
  <w:style w:type="paragraph" w:customStyle="1" w:styleId="Recref">
    <w:name w:val="Rec_ref"/>
    <w:basedOn w:val="Normal"/>
    <w:next w:val="Recdat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  <w:rsid w:val="0072288B"/>
  </w:style>
  <w:style w:type="character" w:styleId="EndnoteReference">
    <w:name w:val="endnote reference"/>
    <w:basedOn w:val="DefaultParagraphFont"/>
    <w:uiPriority w:val="99"/>
    <w:semiHidden/>
    <w:rsid w:val="0072288B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72288B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72288B"/>
    <w:pPr>
      <w:ind w:left="1191" w:hanging="397"/>
    </w:pPr>
  </w:style>
  <w:style w:type="paragraph" w:customStyle="1" w:styleId="enumlev3">
    <w:name w:val="enumlev3"/>
    <w:basedOn w:val="enumlev2"/>
    <w:uiPriority w:val="99"/>
    <w:rsid w:val="0072288B"/>
    <w:pPr>
      <w:ind w:left="1588"/>
    </w:pPr>
  </w:style>
  <w:style w:type="paragraph" w:customStyle="1" w:styleId="Equation">
    <w:name w:val="Equation"/>
    <w:basedOn w:val="Normal"/>
    <w:uiPriority w:val="99"/>
    <w:rsid w:val="0072288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72288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72288B"/>
  </w:style>
  <w:style w:type="paragraph" w:customStyle="1" w:styleId="Reptitle">
    <w:name w:val="Rep_title"/>
    <w:basedOn w:val="Rectitle"/>
    <w:next w:val="Repref"/>
    <w:uiPriority w:val="99"/>
    <w:rsid w:val="0072288B"/>
  </w:style>
  <w:style w:type="paragraph" w:customStyle="1" w:styleId="Repref">
    <w:name w:val="Rep_ref"/>
    <w:basedOn w:val="Recref"/>
    <w:next w:val="Repdate"/>
    <w:uiPriority w:val="99"/>
    <w:rsid w:val="0072288B"/>
  </w:style>
  <w:style w:type="paragraph" w:customStyle="1" w:styleId="Repdate">
    <w:name w:val="Rep_date"/>
    <w:basedOn w:val="Recdate"/>
    <w:next w:val="Normalaftertitle"/>
    <w:uiPriority w:val="99"/>
    <w:rsid w:val="0072288B"/>
  </w:style>
  <w:style w:type="paragraph" w:customStyle="1" w:styleId="ResNoBR">
    <w:name w:val="Res_No_BR"/>
    <w:basedOn w:val="RecNoBR"/>
    <w:next w:val="Restitle"/>
    <w:uiPriority w:val="99"/>
    <w:rsid w:val="0072288B"/>
  </w:style>
  <w:style w:type="paragraph" w:customStyle="1" w:styleId="Restitle">
    <w:name w:val="Res_title"/>
    <w:basedOn w:val="ResNo"/>
    <w:next w:val="Resref"/>
    <w:uiPriority w:val="99"/>
    <w:rsid w:val="00B11436"/>
    <w:pPr>
      <w:spacing w:before="360"/>
      <w:jc w:val="center"/>
    </w:pPr>
    <w:rPr>
      <w:rFonts w:ascii="Times New Roman Bold" w:hAnsi="Times New Roman Bold"/>
      <w:bCs/>
      <w:sz w:val="26"/>
      <w:szCs w:val="36"/>
      <w:lang w:val="en-US"/>
    </w:rPr>
  </w:style>
  <w:style w:type="paragraph" w:customStyle="1" w:styleId="Resref">
    <w:name w:val="Res_ref"/>
    <w:basedOn w:val="Recref"/>
    <w:next w:val="Resdate"/>
    <w:uiPriority w:val="99"/>
    <w:rsid w:val="0072288B"/>
  </w:style>
  <w:style w:type="paragraph" w:customStyle="1" w:styleId="Resdate">
    <w:name w:val="Res_date"/>
    <w:basedOn w:val="Recdate"/>
    <w:next w:val="Normalaftertitle"/>
    <w:uiPriority w:val="99"/>
    <w:rsid w:val="0072288B"/>
  </w:style>
  <w:style w:type="paragraph" w:customStyle="1" w:styleId="Section1">
    <w:name w:val="Section_1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72288B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FirstFooter">
    <w:name w:val="FirstFooter"/>
    <w:basedOn w:val="Footer"/>
    <w:uiPriority w:val="99"/>
    <w:rsid w:val="0072288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uiPriority w:val="99"/>
    <w:semiHidden/>
    <w:rsid w:val="0072288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72288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22686"/>
    <w:rPr>
      <w:rFonts w:ascii="Times New Roman" w:hAnsi="Times New Roman" w:cs="Traditional Arabic"/>
      <w:sz w:val="20"/>
      <w:szCs w:val="20"/>
      <w:lang w:val="en-GB" w:eastAsia="en-US" w:bidi="ar-SA"/>
    </w:rPr>
  </w:style>
  <w:style w:type="paragraph" w:customStyle="1" w:styleId="Note">
    <w:name w:val="Note"/>
    <w:basedOn w:val="Normal"/>
    <w:uiPriority w:val="99"/>
    <w:rsid w:val="0072288B"/>
    <w:pPr>
      <w:spacing w:before="80"/>
    </w:pPr>
  </w:style>
  <w:style w:type="paragraph" w:styleId="Header">
    <w:name w:val="header"/>
    <w:basedOn w:val="Normal"/>
    <w:link w:val="HeaderChar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Headingb">
    <w:name w:val="Heading_b"/>
    <w:basedOn w:val="Normal"/>
    <w:next w:val="Normal"/>
    <w:uiPriority w:val="99"/>
    <w:rsid w:val="0072288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72288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72288B"/>
  </w:style>
  <w:style w:type="paragraph" w:styleId="Index2">
    <w:name w:val="index 2"/>
    <w:basedOn w:val="Normal"/>
    <w:next w:val="Normal"/>
    <w:uiPriority w:val="99"/>
    <w:semiHidden/>
    <w:rsid w:val="0072288B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72288B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72288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72288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uiPriority w:val="99"/>
    <w:rsid w:val="0072288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72288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72288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72288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72288B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72288B"/>
  </w:style>
  <w:style w:type="character" w:customStyle="1" w:styleId="Recdef">
    <w:name w:val="Rec_def"/>
    <w:basedOn w:val="DefaultParagraphFont"/>
    <w:uiPriority w:val="99"/>
    <w:rsid w:val="0072288B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72288B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72288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72288B"/>
  </w:style>
  <w:style w:type="character" w:customStyle="1" w:styleId="Resdef">
    <w:name w:val="Res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72288B"/>
  </w:style>
  <w:style w:type="paragraph" w:customStyle="1" w:styleId="SectionNo">
    <w:name w:val="Section_No"/>
    <w:basedOn w:val="Normal"/>
    <w:next w:val="Sectiontitle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72288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72288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uiPriority w:val="99"/>
    <w:rsid w:val="0072288B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uiPriority w:val="99"/>
    <w:rsid w:val="0072288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72288B"/>
  </w:style>
  <w:style w:type="paragraph" w:customStyle="1" w:styleId="Title3">
    <w:name w:val="Title 3"/>
    <w:basedOn w:val="Title2"/>
    <w:next w:val="Title4"/>
    <w:uiPriority w:val="99"/>
    <w:rsid w:val="0072288B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72288B"/>
    <w:rPr>
      <w:b/>
    </w:rPr>
  </w:style>
  <w:style w:type="paragraph" w:customStyle="1" w:styleId="toc0">
    <w:name w:val="toc 0"/>
    <w:basedOn w:val="Normal"/>
    <w:next w:val="TOC1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72288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72288B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72288B"/>
  </w:style>
  <w:style w:type="paragraph" w:styleId="TOC4">
    <w:name w:val="toc 4"/>
    <w:basedOn w:val="TOC3"/>
    <w:uiPriority w:val="99"/>
    <w:semiHidden/>
    <w:rsid w:val="0072288B"/>
  </w:style>
  <w:style w:type="paragraph" w:styleId="TOC5">
    <w:name w:val="toc 5"/>
    <w:basedOn w:val="TOC4"/>
    <w:uiPriority w:val="99"/>
    <w:semiHidden/>
    <w:rsid w:val="0072288B"/>
  </w:style>
  <w:style w:type="paragraph" w:styleId="TOC6">
    <w:name w:val="toc 6"/>
    <w:basedOn w:val="TOC4"/>
    <w:uiPriority w:val="99"/>
    <w:semiHidden/>
    <w:rsid w:val="0072288B"/>
  </w:style>
  <w:style w:type="paragraph" w:styleId="TOC7">
    <w:name w:val="toc 7"/>
    <w:basedOn w:val="TOC4"/>
    <w:uiPriority w:val="99"/>
    <w:semiHidden/>
    <w:rsid w:val="0072288B"/>
  </w:style>
  <w:style w:type="paragraph" w:styleId="TOC8">
    <w:name w:val="toc 8"/>
    <w:basedOn w:val="TOC4"/>
    <w:uiPriority w:val="99"/>
    <w:semiHidden/>
    <w:rsid w:val="0072288B"/>
  </w:style>
  <w:style w:type="paragraph" w:customStyle="1" w:styleId="FiguretitleBR">
    <w:name w:val="Figure_title_BR"/>
    <w:basedOn w:val="TabletitleBR"/>
    <w:next w:val="Figurewithouttitle"/>
    <w:uiPriority w:val="99"/>
    <w:rsid w:val="0072288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72288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609F8"/>
    <w:rPr>
      <w:rFonts w:cs="Times New Roman"/>
      <w:color w:val="0000FF"/>
      <w:u w:val="single"/>
    </w:rPr>
  </w:style>
  <w:style w:type="character" w:styleId="Strong">
    <w:name w:val="Strong"/>
    <w:basedOn w:val="DefaultParagraphFont"/>
    <w:qFormat/>
    <w:rsid w:val="00A609F8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5D7A94"/>
    <w:rPr>
      <w:rFonts w:cs="Times New Roman"/>
      <w:color w:val="606420"/>
      <w:u w:val="single"/>
    </w:rPr>
  </w:style>
  <w:style w:type="paragraph" w:customStyle="1" w:styleId="Char">
    <w:name w:val="Char"/>
    <w:basedOn w:val="Normal"/>
    <w:rsid w:val="00A33BD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Verdana" w:hAnsi="Verdana" w:cs="Times New Roman"/>
      <w:sz w:val="20"/>
      <w:szCs w:val="20"/>
      <w:lang w:val="en-US"/>
    </w:rPr>
  </w:style>
  <w:style w:type="paragraph" w:customStyle="1" w:styleId="Annextitle">
    <w:name w:val="Annex_title"/>
    <w:basedOn w:val="AnnexNotitle"/>
    <w:rsid w:val="007E5305"/>
    <w:pPr>
      <w:spacing w:before="240" w:after="720"/>
    </w:pPr>
    <w:rPr>
      <w:rFonts w:ascii="Times New Roman Bold" w:hAnsi="Times New Roman Bold"/>
      <w:bCs/>
      <w:szCs w:val="40"/>
      <w:lang w:val="en-US" w:bidi="ar-EG"/>
    </w:rPr>
  </w:style>
  <w:style w:type="paragraph" w:customStyle="1" w:styleId="AnnexNo">
    <w:name w:val="Annex_No"/>
    <w:basedOn w:val="AnnexNotitle"/>
    <w:rsid w:val="00F75AC0"/>
    <w:pPr>
      <w:spacing w:before="0"/>
    </w:pPr>
    <w:rPr>
      <w:b/>
      <w:bCs/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F45B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5BB"/>
    <w:rPr>
      <w:rFonts w:ascii="Tahoma" w:hAnsi="Tahoma" w:cs="Tahoma"/>
      <w:sz w:val="16"/>
      <w:szCs w:val="16"/>
      <w:lang w:val="en-GB" w:eastAsia="en-US"/>
    </w:rPr>
  </w:style>
  <w:style w:type="table" w:customStyle="1" w:styleId="TableGrid1">
    <w:name w:val="Table Grid1"/>
    <w:basedOn w:val="TableNormal"/>
    <w:next w:val="TableGrid"/>
    <w:rsid w:val="003A00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title0">
    <w:name w:val="Annex_ title"/>
    <w:basedOn w:val="AnnexNotitle"/>
    <w:rsid w:val="00CD2CFF"/>
    <w:pPr>
      <w:spacing w:before="240"/>
    </w:pPr>
    <w:rPr>
      <w:rFonts w:ascii="Times New Roman Bold" w:eastAsia="SimSun" w:hAnsi="Times New Roman Bold"/>
      <w:b/>
      <w:bCs/>
      <w:lang w:val="en-US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iPriority="0" w:unhideWhenUsed="1" w:qFormat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288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2288B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72288B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72288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72288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72288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72288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72288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72288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2686"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22686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22686"/>
    <w:rPr>
      <w:rFonts w:ascii="Cambria" w:eastAsia="SimSu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22686"/>
    <w:rPr>
      <w:rFonts w:ascii="Calibri" w:eastAsia="SimSun" w:hAnsi="Calibri" w:cs="Arial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22686"/>
    <w:rPr>
      <w:rFonts w:ascii="Calibri" w:eastAsia="SimSun" w:hAnsi="Calibri" w:cs="Arial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22686"/>
    <w:rPr>
      <w:rFonts w:ascii="Calibri" w:eastAsia="SimSun" w:hAnsi="Calibri" w:cs="Arial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22686"/>
    <w:rPr>
      <w:rFonts w:ascii="Calibri" w:eastAsia="SimSun" w:hAnsi="Calibri" w:cs="Arial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22686"/>
    <w:rPr>
      <w:rFonts w:ascii="Calibri" w:eastAsia="SimSun" w:hAnsi="Calibri" w:cs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22686"/>
    <w:rPr>
      <w:rFonts w:ascii="Cambria" w:eastAsia="SimSun" w:hAnsi="Cambria" w:cs="Times New Roman"/>
      <w:lang w:val="en-GB" w:eastAsia="en-US"/>
    </w:rPr>
  </w:style>
  <w:style w:type="paragraph" w:customStyle="1" w:styleId="AnnexNotitle">
    <w:name w:val="Annex_No &amp; title"/>
    <w:basedOn w:val="Normal"/>
    <w:next w:val="Normalaftertitle"/>
    <w:autoRedefine/>
    <w:uiPriority w:val="99"/>
    <w:rsid w:val="007E5305"/>
    <w:pPr>
      <w:keepNext/>
      <w:keepLines/>
      <w:spacing w:before="480"/>
      <w:jc w:val="center"/>
    </w:pPr>
    <w:rPr>
      <w:sz w:val="26"/>
      <w:szCs w:val="36"/>
    </w:rPr>
  </w:style>
  <w:style w:type="paragraph" w:customStyle="1" w:styleId="Normalaftertitle">
    <w:name w:val="Normal_after_title"/>
    <w:basedOn w:val="Normal"/>
    <w:next w:val="Normal"/>
    <w:rsid w:val="0072288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uiPriority w:val="99"/>
    <w:rsid w:val="0072288B"/>
  </w:style>
  <w:style w:type="paragraph" w:customStyle="1" w:styleId="Figure">
    <w:name w:val="Figure"/>
    <w:basedOn w:val="Normal"/>
    <w:next w:val="FigureNotitle"/>
    <w:uiPriority w:val="99"/>
    <w:rsid w:val="0072288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sid w:val="0072288B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72288B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uiPriority w:val="99"/>
    <w:rsid w:val="0072288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uiPriority w:val="99"/>
    <w:rsid w:val="0072288B"/>
    <w:rPr>
      <w:b w:val="0"/>
    </w:rPr>
  </w:style>
  <w:style w:type="paragraph" w:customStyle="1" w:styleId="ASN1">
    <w:name w:val="ASN.1"/>
    <w:basedOn w:val="Normal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72288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uiPriority w:val="99"/>
    <w:rsid w:val="0072288B"/>
    <w:rPr>
      <w:rFonts w:cs="Times New Roman"/>
    </w:rPr>
  </w:style>
  <w:style w:type="paragraph" w:customStyle="1" w:styleId="Call">
    <w:name w:val="Call"/>
    <w:basedOn w:val="Normal"/>
    <w:next w:val="Normal"/>
    <w:uiPriority w:val="99"/>
    <w:rsid w:val="0072288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72288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72288B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72288B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stitle"/>
    <w:next w:val="Normalaftertitle"/>
    <w:rsid w:val="00F97C62"/>
  </w:style>
  <w:style w:type="paragraph" w:customStyle="1" w:styleId="QuestionNoBR">
    <w:name w:val="Question_No_BR"/>
    <w:basedOn w:val="RecNoBR"/>
    <w:next w:val="Questiontitle"/>
    <w:uiPriority w:val="99"/>
    <w:rsid w:val="0072288B"/>
  </w:style>
  <w:style w:type="paragraph" w:customStyle="1" w:styleId="Questiontitle">
    <w:name w:val="Question_title"/>
    <w:basedOn w:val="Rectitle"/>
    <w:next w:val="Questionref"/>
    <w:uiPriority w:val="99"/>
    <w:rsid w:val="0072288B"/>
  </w:style>
  <w:style w:type="paragraph" w:customStyle="1" w:styleId="Questionref">
    <w:name w:val="Question_ref"/>
    <w:basedOn w:val="Recref"/>
    <w:next w:val="Questiondate"/>
    <w:uiPriority w:val="99"/>
    <w:rsid w:val="0072288B"/>
  </w:style>
  <w:style w:type="paragraph" w:customStyle="1" w:styleId="Recref">
    <w:name w:val="Rec_ref"/>
    <w:basedOn w:val="Normal"/>
    <w:next w:val="Recdat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  <w:rsid w:val="0072288B"/>
  </w:style>
  <w:style w:type="character" w:styleId="EndnoteReference">
    <w:name w:val="endnote reference"/>
    <w:basedOn w:val="DefaultParagraphFont"/>
    <w:uiPriority w:val="99"/>
    <w:semiHidden/>
    <w:rsid w:val="0072288B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72288B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72288B"/>
    <w:pPr>
      <w:ind w:left="1191" w:hanging="397"/>
    </w:pPr>
  </w:style>
  <w:style w:type="paragraph" w:customStyle="1" w:styleId="enumlev3">
    <w:name w:val="enumlev3"/>
    <w:basedOn w:val="enumlev2"/>
    <w:uiPriority w:val="99"/>
    <w:rsid w:val="0072288B"/>
    <w:pPr>
      <w:ind w:left="1588"/>
    </w:pPr>
  </w:style>
  <w:style w:type="paragraph" w:customStyle="1" w:styleId="Equation">
    <w:name w:val="Equation"/>
    <w:basedOn w:val="Normal"/>
    <w:uiPriority w:val="99"/>
    <w:rsid w:val="0072288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72288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72288B"/>
  </w:style>
  <w:style w:type="paragraph" w:customStyle="1" w:styleId="Reptitle">
    <w:name w:val="Rep_title"/>
    <w:basedOn w:val="Rectitle"/>
    <w:next w:val="Repref"/>
    <w:uiPriority w:val="99"/>
    <w:rsid w:val="0072288B"/>
  </w:style>
  <w:style w:type="paragraph" w:customStyle="1" w:styleId="Repref">
    <w:name w:val="Rep_ref"/>
    <w:basedOn w:val="Recref"/>
    <w:next w:val="Repdate"/>
    <w:uiPriority w:val="99"/>
    <w:rsid w:val="0072288B"/>
  </w:style>
  <w:style w:type="paragraph" w:customStyle="1" w:styleId="Repdate">
    <w:name w:val="Rep_date"/>
    <w:basedOn w:val="Recdate"/>
    <w:next w:val="Normalaftertitle"/>
    <w:uiPriority w:val="99"/>
    <w:rsid w:val="0072288B"/>
  </w:style>
  <w:style w:type="paragraph" w:customStyle="1" w:styleId="ResNoBR">
    <w:name w:val="Res_No_BR"/>
    <w:basedOn w:val="RecNoBR"/>
    <w:next w:val="Restitle"/>
    <w:uiPriority w:val="99"/>
    <w:rsid w:val="0072288B"/>
  </w:style>
  <w:style w:type="paragraph" w:customStyle="1" w:styleId="Restitle">
    <w:name w:val="Res_title"/>
    <w:basedOn w:val="ResNo"/>
    <w:next w:val="Resref"/>
    <w:uiPriority w:val="99"/>
    <w:rsid w:val="00B11436"/>
    <w:pPr>
      <w:spacing w:before="360"/>
      <w:jc w:val="center"/>
    </w:pPr>
    <w:rPr>
      <w:rFonts w:ascii="Times New Roman Bold" w:hAnsi="Times New Roman Bold"/>
      <w:bCs/>
      <w:sz w:val="26"/>
      <w:szCs w:val="36"/>
      <w:lang w:val="en-US"/>
    </w:rPr>
  </w:style>
  <w:style w:type="paragraph" w:customStyle="1" w:styleId="Resref">
    <w:name w:val="Res_ref"/>
    <w:basedOn w:val="Recref"/>
    <w:next w:val="Resdate"/>
    <w:uiPriority w:val="99"/>
    <w:rsid w:val="0072288B"/>
  </w:style>
  <w:style w:type="paragraph" w:customStyle="1" w:styleId="Resdate">
    <w:name w:val="Res_date"/>
    <w:basedOn w:val="Recdate"/>
    <w:next w:val="Normalaftertitle"/>
    <w:uiPriority w:val="99"/>
    <w:rsid w:val="0072288B"/>
  </w:style>
  <w:style w:type="paragraph" w:customStyle="1" w:styleId="Section1">
    <w:name w:val="Section_1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72288B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FirstFooter">
    <w:name w:val="FirstFooter"/>
    <w:basedOn w:val="Footer"/>
    <w:uiPriority w:val="99"/>
    <w:rsid w:val="0072288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uiPriority w:val="99"/>
    <w:semiHidden/>
    <w:rsid w:val="0072288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72288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22686"/>
    <w:rPr>
      <w:rFonts w:ascii="Times New Roman" w:hAnsi="Times New Roman" w:cs="Traditional Arabic"/>
      <w:sz w:val="20"/>
      <w:szCs w:val="20"/>
      <w:lang w:val="en-GB" w:eastAsia="en-US" w:bidi="ar-SA"/>
    </w:rPr>
  </w:style>
  <w:style w:type="paragraph" w:customStyle="1" w:styleId="Note">
    <w:name w:val="Note"/>
    <w:basedOn w:val="Normal"/>
    <w:uiPriority w:val="99"/>
    <w:rsid w:val="0072288B"/>
    <w:pPr>
      <w:spacing w:before="80"/>
    </w:pPr>
  </w:style>
  <w:style w:type="paragraph" w:styleId="Header">
    <w:name w:val="header"/>
    <w:basedOn w:val="Normal"/>
    <w:link w:val="HeaderChar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Headingb">
    <w:name w:val="Heading_b"/>
    <w:basedOn w:val="Normal"/>
    <w:next w:val="Normal"/>
    <w:uiPriority w:val="99"/>
    <w:rsid w:val="0072288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72288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72288B"/>
  </w:style>
  <w:style w:type="paragraph" w:styleId="Index2">
    <w:name w:val="index 2"/>
    <w:basedOn w:val="Normal"/>
    <w:next w:val="Normal"/>
    <w:uiPriority w:val="99"/>
    <w:semiHidden/>
    <w:rsid w:val="0072288B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72288B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72288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72288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uiPriority w:val="99"/>
    <w:rsid w:val="0072288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72288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72288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72288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72288B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72288B"/>
  </w:style>
  <w:style w:type="character" w:customStyle="1" w:styleId="Recdef">
    <w:name w:val="Rec_def"/>
    <w:basedOn w:val="DefaultParagraphFont"/>
    <w:uiPriority w:val="99"/>
    <w:rsid w:val="0072288B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72288B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72288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72288B"/>
  </w:style>
  <w:style w:type="character" w:customStyle="1" w:styleId="Resdef">
    <w:name w:val="Res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72288B"/>
  </w:style>
  <w:style w:type="paragraph" w:customStyle="1" w:styleId="SectionNo">
    <w:name w:val="Section_No"/>
    <w:basedOn w:val="Normal"/>
    <w:next w:val="Sectiontitle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72288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72288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uiPriority w:val="99"/>
    <w:rsid w:val="0072288B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uiPriority w:val="99"/>
    <w:rsid w:val="0072288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72288B"/>
  </w:style>
  <w:style w:type="paragraph" w:customStyle="1" w:styleId="Title3">
    <w:name w:val="Title 3"/>
    <w:basedOn w:val="Title2"/>
    <w:next w:val="Title4"/>
    <w:uiPriority w:val="99"/>
    <w:rsid w:val="0072288B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72288B"/>
    <w:rPr>
      <w:b/>
    </w:rPr>
  </w:style>
  <w:style w:type="paragraph" w:customStyle="1" w:styleId="toc0">
    <w:name w:val="toc 0"/>
    <w:basedOn w:val="Normal"/>
    <w:next w:val="TOC1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72288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72288B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72288B"/>
  </w:style>
  <w:style w:type="paragraph" w:styleId="TOC4">
    <w:name w:val="toc 4"/>
    <w:basedOn w:val="TOC3"/>
    <w:uiPriority w:val="99"/>
    <w:semiHidden/>
    <w:rsid w:val="0072288B"/>
  </w:style>
  <w:style w:type="paragraph" w:styleId="TOC5">
    <w:name w:val="toc 5"/>
    <w:basedOn w:val="TOC4"/>
    <w:uiPriority w:val="99"/>
    <w:semiHidden/>
    <w:rsid w:val="0072288B"/>
  </w:style>
  <w:style w:type="paragraph" w:styleId="TOC6">
    <w:name w:val="toc 6"/>
    <w:basedOn w:val="TOC4"/>
    <w:uiPriority w:val="99"/>
    <w:semiHidden/>
    <w:rsid w:val="0072288B"/>
  </w:style>
  <w:style w:type="paragraph" w:styleId="TOC7">
    <w:name w:val="toc 7"/>
    <w:basedOn w:val="TOC4"/>
    <w:uiPriority w:val="99"/>
    <w:semiHidden/>
    <w:rsid w:val="0072288B"/>
  </w:style>
  <w:style w:type="paragraph" w:styleId="TOC8">
    <w:name w:val="toc 8"/>
    <w:basedOn w:val="TOC4"/>
    <w:uiPriority w:val="99"/>
    <w:semiHidden/>
    <w:rsid w:val="0072288B"/>
  </w:style>
  <w:style w:type="paragraph" w:customStyle="1" w:styleId="FiguretitleBR">
    <w:name w:val="Figure_title_BR"/>
    <w:basedOn w:val="TabletitleBR"/>
    <w:next w:val="Figurewithouttitle"/>
    <w:uiPriority w:val="99"/>
    <w:rsid w:val="0072288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72288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609F8"/>
    <w:rPr>
      <w:rFonts w:cs="Times New Roman"/>
      <w:color w:val="0000FF"/>
      <w:u w:val="single"/>
    </w:rPr>
  </w:style>
  <w:style w:type="character" w:styleId="Strong">
    <w:name w:val="Strong"/>
    <w:basedOn w:val="DefaultParagraphFont"/>
    <w:qFormat/>
    <w:rsid w:val="00A609F8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5D7A94"/>
    <w:rPr>
      <w:rFonts w:cs="Times New Roman"/>
      <w:color w:val="606420"/>
      <w:u w:val="single"/>
    </w:rPr>
  </w:style>
  <w:style w:type="paragraph" w:customStyle="1" w:styleId="Char">
    <w:name w:val="Char"/>
    <w:basedOn w:val="Normal"/>
    <w:rsid w:val="00A33BD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Verdana" w:hAnsi="Verdana" w:cs="Times New Roman"/>
      <w:sz w:val="20"/>
      <w:szCs w:val="20"/>
      <w:lang w:val="en-US"/>
    </w:rPr>
  </w:style>
  <w:style w:type="paragraph" w:customStyle="1" w:styleId="Annextitle">
    <w:name w:val="Annex_title"/>
    <w:basedOn w:val="AnnexNotitle"/>
    <w:rsid w:val="007E5305"/>
    <w:pPr>
      <w:spacing w:before="240" w:after="720"/>
    </w:pPr>
    <w:rPr>
      <w:rFonts w:ascii="Times New Roman Bold" w:hAnsi="Times New Roman Bold"/>
      <w:bCs/>
      <w:szCs w:val="40"/>
      <w:lang w:val="en-US" w:bidi="ar-EG"/>
    </w:rPr>
  </w:style>
  <w:style w:type="paragraph" w:customStyle="1" w:styleId="AnnexNo">
    <w:name w:val="Annex_No"/>
    <w:basedOn w:val="AnnexNotitle"/>
    <w:rsid w:val="00F75AC0"/>
    <w:pPr>
      <w:spacing w:before="0"/>
    </w:pPr>
    <w:rPr>
      <w:b/>
      <w:bCs/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F45B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5BB"/>
    <w:rPr>
      <w:rFonts w:ascii="Tahoma" w:hAnsi="Tahoma" w:cs="Tahoma"/>
      <w:sz w:val="16"/>
      <w:szCs w:val="16"/>
      <w:lang w:val="en-GB" w:eastAsia="en-US"/>
    </w:rPr>
  </w:style>
  <w:style w:type="table" w:customStyle="1" w:styleId="TableGrid1">
    <w:name w:val="Table Grid1"/>
    <w:basedOn w:val="TableNormal"/>
    <w:next w:val="TableGrid"/>
    <w:rsid w:val="003A00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title0">
    <w:name w:val="Annex_ title"/>
    <w:basedOn w:val="AnnexNotitle"/>
    <w:rsid w:val="00CD2CFF"/>
    <w:pPr>
      <w:spacing w:before="240"/>
    </w:pPr>
    <w:rPr>
      <w:rFonts w:ascii="Times New Roman Bold" w:eastAsia="SimSun" w:hAnsi="Times New Roman Bold"/>
      <w:b/>
      <w:bCs/>
      <w:lang w:val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rdany\Application%20Data\Microsoft\Templates\POOL%20A%20-%20ITU\PA_BRcirc(CA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F5B84-39EA-498E-92AC-6273A9FF0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PA_BRcirc(CA)</Template>
  <TotalTime>6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wardany</dc:creator>
  <cp:lastModifiedBy>capdessu</cp:lastModifiedBy>
  <cp:revision>5</cp:revision>
  <cp:lastPrinted>2013-01-29T15:11:00Z</cp:lastPrinted>
  <dcterms:created xsi:type="dcterms:W3CDTF">2012-12-10T12:53:00Z</dcterms:created>
  <dcterms:modified xsi:type="dcterms:W3CDTF">2013-01-29T15:11:00Z</dcterms:modified>
</cp:coreProperties>
</file>